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v:background id="_x0000_s1025" o:bwmode="white" o:targetscreensize="1024,768" filled="t" fillcolor="#ffffff"/>
  </w:background>
  <w:body>
    <w:p>
      <w:r>
        <w:rPr>
          <w:noProof/>
        </w:rPr>
        <w:drawing>
          <wp:anchor distT="0" distB="0" distL="114300" distR="114300" behindDoc="1" locked="0" layoutInCell="1" simplePos="0" relativeHeight="251659776" allowOverlap="1" hidden="0">
            <wp:simplePos x="0" y="0"/>
            <wp:positionH relativeFrom="column">
              <wp:posOffset>-267744</wp:posOffset>
            </wp:positionH>
            <wp:positionV relativeFrom="paragraph">
              <wp:posOffset>-114094</wp:posOffset>
            </wp:positionV>
            <wp:extent cx="984604" cy="847725"/>
            <wp:effectExtent l="30740" t="36130" r="30740" b="36130"/>
            <wp:wrapNone/>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rot="261079">
                      <a:off x="0" y="0"/>
                      <a:ext cx="984604" cy="847725"/>
                    </a:xfrm>
                    <a:prstGeom prst="rect"/>
                    <a:noFill/>
                    <a:ln>
                      <a:noFill/>
                      <a:miter lim="800000"/>
                    </a:ln>
                  </pic:spPr>
                </pic:pic>
              </a:graphicData>
            </a:graphic>
          </wp:anchor>
        </w:drawing>
      </w:r>
      <w:r>
        <w:t>;41a</w:t>
      </w:r>
    </w:p>
    <w:tbl>
      <w:tblPr>
        <w:tblW w:w="0" w:type="auto"/>
        <w:tblInd w:w="2088" w:type="dxa"/>
        <w:tblBorders>
          <w:bottom w:val="single" w:sz="18" w:space="0" w:color="365F91"/>
        </w:tblBorders>
        <w:tblLook w:val="04A0" w:firstRow="1" w:lastRow="0" w:firstColumn="1" w:lastColumn="0" w:noHBand="0" w:noVBand="1"/>
      </w:tblPr>
      <w:tblGrid>
        <w:gridCol w:w="2160"/>
        <w:gridCol w:w="6192"/>
      </w:tblGrid>
      <w:tr>
        <w:trPr>
          <w:trHeight w:val="423" w:hRule="atLeast"/>
        </w:trPr>
        <w:tc>
          <w:tcPr>
            <w:tcW w:w="2160" w:type="dxa"/>
            <w:vAlign w:val="center"/>
          </w:tcPr>
          <w:p>
            <w:pPr>
              <w:pStyle w:val="Name"/>
              <w:jc w:val="left"/>
              <w:rPr>
                <w:rFonts w:ascii="Times New Roman" w:hAnsi="Times New Roman" w:cs="Times New Roman"/>
                <w:sz w:val="32"/>
                <w:szCs w:val="32"/>
              </w:rPr>
            </w:pPr>
            <w:r>
              <w:rPr>
                <w:rFonts w:ascii="Times New Roman" w:hAnsi="Times New Roman" w:cs="Times New Roman"/>
                <w:sz w:val="32"/>
                <w:szCs w:val="32"/>
              </w:rPr>
              <w:t>DAMIAN POWELL</w:t>
            </w:r>
          </w:p>
        </w:tc>
        <w:tc>
          <w:tcPr>
            <w:tcW w:w="6192" w:type="dxa"/>
            <w:vAlign w:val="center"/>
          </w:tcPr>
          <w:p>
            <w:pPr>
              <w:pStyle w:val="Address"/>
              <w:jc w:val="left"/>
              <w:rPr>
                <w:rFonts w:ascii="Times New Roman" w:hAnsi="Times New Roman"/>
                <w:sz w:val="22"/>
                <w:szCs w:val="22"/>
              </w:rPr>
            </w:pPr>
            <w:r>
              <w:rPr>
                <w:rFonts w:ascii="Times New Roman" w:hAnsi="Times New Roman"/>
                <w:sz w:val="22"/>
                <w:szCs w:val="22"/>
              </w:rPr>
              <w:t xml:space="preserve">44 Tiffany Place </w:t>
            </w:r>
            <w:r>
              <w:rPr>
                <w:rFonts w:ascii="Times New Roman" w:hAnsi="Times New Roman"/>
                <w:sz w:val="22"/>
                <w:szCs w:val="22"/>
              </w:rPr>
              <w:sym w:font="Wingdings 2" w:char="F097"/>
            </w:r>
            <w:r>
              <w:rPr>
                <w:rFonts w:ascii="Times New Roman" w:hAnsi="Times New Roman"/>
                <w:sz w:val="22"/>
                <w:szCs w:val="22"/>
              </w:rPr>
              <w:t xml:space="preserve"> Irvington, NJ 07111 </w:t>
            </w:r>
            <w:r>
              <w:rPr>
                <w:rFonts w:ascii="Times New Roman" w:hAnsi="Times New Roman"/>
                <w:sz w:val="22"/>
                <w:szCs w:val="22"/>
              </w:rPr>
              <w:sym w:font="Wingdings 2" w:char="F097"/>
            </w:r>
            <w:r>
              <w:rPr>
                <w:rFonts w:ascii="Times New Roman" w:hAnsi="Times New Roman"/>
                <w:sz w:val="22"/>
                <w:szCs w:val="22"/>
              </w:rPr>
              <w:t xml:space="preserve">  Cell: (848) 216-9021 </w:t>
            </w:r>
          </w:p>
          <w:p>
            <w:pPr>
              <w:pStyle w:val="Address"/>
              <w:jc w:val="left"/>
              <w:rPr>
                <w:rFonts w:ascii="Times New Roman" w:hAnsi="Times New Roman"/>
                <w:sz w:val="22"/>
                <w:szCs w:val="22"/>
              </w:rPr>
            </w:pPr>
            <w:r>
              <w:rPr>
                <w:rFonts w:ascii="Times New Roman" w:hAnsi="Times New Roman"/>
                <w:sz w:val="32"/>
                <w:szCs w:val="32"/>
              </w:rPr>
              <w:t>•</w:t>
            </w:r>
            <w:r>
              <w:rPr>
                <w:rFonts w:ascii="Times New Roman" w:hAnsi="Times New Roman"/>
                <w:sz w:val="24"/>
              </w:rPr>
              <w:t>email: damibow</w:t>
            </w:r>
            <w:r>
              <w:rPr>
                <w:rFonts w:ascii="Times New Roman" w:hAnsi="Times New Roman"/>
                <w:sz w:val="22"/>
                <w:szCs w:val="22"/>
              </w:rPr>
              <w:t>@aol.com</w:t>
            </w:r>
          </w:p>
        </w:tc>
      </w:tr>
    </w:tbl>
    <w:p>
      <w:pPr>
        <w:pStyle w:val="JobTitle"/>
        <w:rPr>
          <w:rFonts w:ascii="Times New Roman" w:hAnsi="Times New Roman"/>
          <w:b/>
          <w:sz w:val="28"/>
          <w:szCs w:val="28"/>
        </w:rPr>
      </w:pPr>
      <w:r>
        <w:rPr>
          <w:rFonts w:ascii="Times New Roman" w:hAnsi="Times New Roman"/>
          <w:b/>
          <w:sz w:val="28"/>
          <w:szCs w:val="28"/>
        </w:rPr>
        <w:t>Certified PHLEBOTOMIST</w:t>
      </w:r>
    </w:p>
    <w:tbl>
      <w:tblPr>
        <w:tblW w:w="0" w:type="auto"/>
        <w:tblInd w:w="108" w:type="dxa"/>
        <w:tblLook w:val="04A0" w:firstRow="1" w:lastRow="0" w:firstColumn="1" w:lastColumn="0" w:noHBand="0" w:noVBand="1"/>
        <w:shd w:val="clear" w:color="auto" w:fill="EEECE1"/>
      </w:tblPr>
      <w:tblGrid>
        <w:gridCol w:w="10332"/>
      </w:tblGrid>
      <w:tr>
        <w:trPr>
          <w:trHeight w:val="1782" w:hRule="atLeast"/>
        </w:trPr>
        <w:tc>
          <w:tcPr>
            <w:tcW w:w="10332" w:type="dxa"/>
            <w:shd w:val="clear" w:color="auto" w:fill="EEECE1"/>
          </w:tcPr>
          <w:p>
            <w:pPr>
              <w:pStyle w:val="Summary"/>
              <w:rPr>
                <w:rFonts w:ascii="Times New Roman" w:hAnsi="Times New Roman"/>
                <w:sz w:val="22"/>
                <w:szCs w:val="22"/>
              </w:rPr>
            </w:pPr>
            <w:r>
              <w:rPr>
                <w:rFonts w:ascii="Times New Roman" w:hAnsi="Times New Roman"/>
                <w:sz w:val="22"/>
                <w:szCs w:val="22"/>
              </w:rPr>
              <w:t>Phlebotomist with experience in a multi-physician family medical practice and additional healthcare experience as a Lab Technician. Known for dedication to providing premium patient care. Skills include:</w:t>
            </w:r>
          </w:p>
          <w:tbl>
            <w:tblPr>
              <w:tblW w:w="0" w:type="auto"/>
              <w:tblInd w:w="288" w:type="dxa"/>
              <w:tblLook w:val="04A0" w:firstRow="1" w:lastRow="0" w:firstColumn="1" w:lastColumn="0" w:noHBand="0" w:noVBand="1"/>
            </w:tblPr>
            <w:tblGrid>
              <w:gridCol w:w="3474"/>
              <w:gridCol w:w="2880"/>
              <w:gridCol w:w="3150"/>
            </w:tblGrid>
            <w:tr>
              <w:tc>
                <w:tcPr>
                  <w:tcW w:w="3474" w:type="dxa"/>
                </w:tcPr>
                <w:p>
                  <w:pPr>
                    <w:rPr>
                      <w:rStyle w:val="Keyskills"/>
                      <w:rFonts w:ascii="Times New Roman" w:hAnsi="Times New Roman" w:cs="Times New Roman"/>
                      <w:sz w:val="22"/>
                      <w:szCs w:val="22"/>
                    </w:rPr>
                  </w:pPr>
                  <w:r>
                    <w:rPr>
                      <w:rStyle w:val="Keyskills"/>
                      <w:rFonts w:ascii="Times New Roman" w:hAnsi="Times New Roman" w:cs="Times New Roman"/>
                      <w:sz w:val="22"/>
                      <w:szCs w:val="22"/>
                    </w:rPr>
                    <w:t>— Medical Office Management</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Medical Billing &amp; Coding</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Medical Records Management</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xml:space="preserve">— Data Entry </w:t>
                  </w:r>
                </w:p>
              </w:tc>
              <w:tc>
                <w:tcPr>
                  <w:tcW w:w="2880" w:type="dxa"/>
                </w:tcPr>
                <w:p>
                  <w:pPr>
                    <w:rPr>
                      <w:rStyle w:val="Keyskills"/>
                      <w:rFonts w:ascii="Times New Roman" w:hAnsi="Times New Roman" w:cs="Times New Roman"/>
                      <w:sz w:val="22"/>
                      <w:szCs w:val="22"/>
                    </w:rPr>
                  </w:pPr>
                  <w:r>
                    <w:rPr>
                      <w:rStyle w:val="Keyskills"/>
                      <w:rFonts w:ascii="Times New Roman" w:hAnsi="Times New Roman" w:cs="Times New Roman"/>
                      <w:sz w:val="22"/>
                      <w:szCs w:val="22"/>
                    </w:rPr>
                    <w:t>— Bookkeeping &amp; Filing</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Taking Patient Vitals</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Blood Draws</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MS Word &amp; Excel</w:t>
                  </w:r>
                </w:p>
              </w:tc>
              <w:tc>
                <w:tcPr>
                  <w:tcW w:w="3150" w:type="dxa"/>
                </w:tcPr>
                <w:p>
                  <w:pPr>
                    <w:rPr>
                      <w:rStyle w:val="Keyskills"/>
                      <w:rFonts w:ascii="Times New Roman" w:hAnsi="Times New Roman" w:cs="Times New Roman"/>
                      <w:sz w:val="22"/>
                      <w:szCs w:val="22"/>
                    </w:rPr>
                  </w:pPr>
                  <w:r>
                    <w:rPr>
                      <w:rStyle w:val="Keyskills"/>
                      <w:rFonts w:ascii="Times New Roman" w:hAnsi="Times New Roman" w:cs="Times New Roman"/>
                      <w:sz w:val="22"/>
                      <w:szCs w:val="22"/>
                    </w:rPr>
                    <w:t>— Patient Scheduling</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Ancillary Testing</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Patient Education</w:t>
                  </w:r>
                </w:p>
                <w:p>
                  <w:pPr>
                    <w:rPr>
                      <w:rStyle w:val="Keyskills"/>
                      <w:rFonts w:ascii="Times New Roman" w:hAnsi="Times New Roman" w:cs="Times New Roman"/>
                      <w:sz w:val="22"/>
                      <w:szCs w:val="22"/>
                    </w:rPr>
                  </w:pPr>
                  <w:r>
                    <w:rPr>
                      <w:rStyle w:val="Keyskills"/>
                      <w:rFonts w:ascii="Times New Roman" w:hAnsi="Times New Roman" w:cs="Times New Roman"/>
                      <w:sz w:val="22"/>
                      <w:szCs w:val="22"/>
                    </w:rPr>
                    <w:t>— HIPAA &amp; JCAHO Knowledge</w:t>
                  </w:r>
                </w:p>
              </w:tc>
            </w:tr>
          </w:tbl>
          <w:p>
            <w:pPr>
              <w:rPr>
                <w:rFonts w:ascii="Times New Roman" w:hAnsi="Times New Roman"/>
                <w:sz w:val="22"/>
                <w:szCs w:val="22"/>
              </w:rPr>
            </w:pPr>
          </w:p>
        </w:tc>
      </w:tr>
    </w:tbl>
    <w:p>
      <w:pPr>
        <w:pStyle w:val="SectionHeading"/>
        <w:rPr>
          <w:rFonts w:ascii="Times New Roman" w:hAnsi="Times New Roman"/>
          <w:szCs w:val="28"/>
        </w:rPr>
      </w:pPr>
      <w:r>
        <w:rPr>
          <w:rFonts w:ascii="Times New Roman" w:hAnsi="Times New Roman"/>
          <w:szCs w:val="28"/>
        </w:rPr>
        <w:t>Education</w:t>
      </w:r>
    </w:p>
    <w:p>
      <w:pPr>
        <w:pStyle w:val="Degree"/>
        <w:spacing w:before="0"/>
        <w:rPr>
          <w:rFonts w:ascii="Times New Roman" w:hAnsi="Times New Roman"/>
          <w:sz w:val="22"/>
          <w:szCs w:val="22"/>
        </w:rPr>
      </w:pPr>
      <w:r>
        <w:rPr>
          <w:rStyle w:val="Education"/>
          <w:rFonts w:ascii="Times New Roman" w:hAnsi="Times New Roman" w:cs="Times New Roman"/>
          <w:i/>
          <w:sz w:val="22"/>
          <w:szCs w:val="22"/>
        </w:rPr>
        <w:t>Certification: Phlebotomy/Medical Assistance</w:t>
      </w:r>
      <w:r>
        <w:rPr>
          <w:rFonts w:ascii="Times New Roman" w:hAnsi="Times New Roman"/>
          <w:sz w:val="22"/>
          <w:szCs w:val="22"/>
        </w:rPr>
        <w:t>, Drake’s College of Business — Elizabeth, NJ 07201</w:t>
      </w:r>
    </w:p>
    <w:p>
      <w:pPr>
        <w:pStyle w:val="Degree"/>
        <w:spacing w:before="0"/>
        <w:rPr>
          <w:rFonts w:ascii="Times New Roman" w:hAnsi="Times New Roman"/>
          <w:sz w:val="22"/>
          <w:szCs w:val="22"/>
        </w:rPr>
      </w:pPr>
      <w:r>
        <w:rPr>
          <w:rFonts w:ascii="Times New Roman" w:hAnsi="Times New Roman"/>
          <w:b/>
          <w:i/>
          <w:sz w:val="22"/>
          <w:szCs w:val="22"/>
        </w:rPr>
        <w:t>Major: Biology / Medical Assistance</w:t>
      </w:r>
      <w:r>
        <w:rPr>
          <w:rFonts w:ascii="Times New Roman" w:hAnsi="Times New Roman"/>
          <w:sz w:val="22"/>
          <w:szCs w:val="22"/>
        </w:rPr>
        <w:t>, Essex County College – Newark, NJ 07102</w:t>
      </w:r>
    </w:p>
    <w:p>
      <w:pPr>
        <w:pStyle w:val="SectionHeading"/>
        <w:spacing w:before="0"/>
        <w:rPr>
          <w:rFonts w:ascii="Times New Roman" w:hAnsi="Times New Roman"/>
          <w:b w:val="0"/>
          <w:sz w:val="22"/>
          <w:szCs w:val="22"/>
        </w:rPr>
      </w:pPr>
      <w:r>
        <w:rPr>
          <w:rFonts w:ascii="Times New Roman" w:hAnsi="Times New Roman"/>
          <w:sz w:val="22"/>
          <w:szCs w:val="22"/>
        </w:rPr>
        <w:t>MANHATTAN LABS /BERNARDS FAMILY PRACTICE</w:t>
      </w:r>
      <w:r>
        <w:rPr>
          <w:rFonts w:ascii="Times New Roman" w:hAnsi="Times New Roman"/>
        </w:rPr>
        <w:t xml:space="preserve"> -</w:t>
      </w:r>
      <w:r>
        <w:rPr>
          <w:rFonts w:ascii="Times New Roman" w:hAnsi="Times New Roman"/>
          <w:b w:val="0"/>
          <w:sz w:val="22"/>
          <w:szCs w:val="22"/>
        </w:rPr>
        <w:t>Baskingridge</w:t>
      </w:r>
      <w:r>
        <w:rPr>
          <w:rFonts w:ascii="Times New Roman" w:hAnsi="Times New Roman"/>
          <w:b w:val="0"/>
          <w:sz w:val="24"/>
          <w:szCs w:val="24"/>
        </w:rPr>
        <w:t xml:space="preserve">, NJ                  </w:t>
      </w:r>
      <w:r>
        <w:rPr>
          <w:rFonts w:ascii="Times New Roman" w:hAnsi="Times New Roman"/>
          <w:b w:val="0"/>
          <w:sz w:val="22"/>
          <w:szCs w:val="22"/>
        </w:rPr>
        <w:t>12/2011-Present</w:t>
      </w:r>
    </w:p>
    <w:p>
      <w:pPr>
        <w:pStyle w:val="SectionHeading"/>
        <w:spacing w:before="0"/>
        <w:rPr>
          <w:rFonts w:ascii="Times New Roman" w:hAnsi="Times New Roman"/>
          <w:b w:val="0"/>
          <w:i/>
          <w:sz w:val="22"/>
          <w:szCs w:val="22"/>
        </w:rPr>
      </w:pPr>
      <w:r>
        <w:rPr>
          <w:rFonts w:ascii="Times New Roman" w:hAnsi="Times New Roman"/>
          <w:b w:val="0"/>
          <w:i/>
          <w:sz w:val="22"/>
          <w:szCs w:val="22"/>
          <w:u w:val="single" w:color="auto"/>
        </w:rPr>
        <w:t>Phlebotomist</w:t>
      </w:r>
      <w:r>
        <w:rPr>
          <w:rFonts w:ascii="Times New Roman" w:hAnsi="Times New Roman"/>
          <w:b w:val="0"/>
          <w:i/>
          <w:sz w:val="22"/>
          <w:szCs w:val="22"/>
        </w:rPr>
        <w:t xml:space="preserve"> </w:t>
      </w:r>
    </w:p>
    <w:p>
      <w:pPr>
        <w:pStyle w:val="SectionHeading"/>
        <w:spacing w:after="0" w:before="0"/>
        <w:rPr>
          <w:rFonts w:ascii="Times New Roman" w:hAnsi="Times New Roman"/>
          <w:b w:val="0"/>
          <w:sz w:val="24"/>
          <w:szCs w:val="24"/>
          <w:u w:val="single" w:color="auto"/>
        </w:rPr>
      </w:pPr>
      <w:r>
        <w:rPr>
          <w:rFonts w:ascii="Times New Roman" w:hAnsi="Times New Roman"/>
          <w:b w:val="0"/>
          <w:sz w:val="22"/>
          <w:szCs w:val="22"/>
        </w:rPr>
        <w:t>Process patients for daily blood draw. Prepare blood samples for shipment.</w:t>
      </w:r>
    </w:p>
    <w:p>
      <w:pPr>
        <w:rPr>
          <w:rStyle w:val="Employername"/>
          <w:rFonts w:ascii="Times New Roman" w:hAnsi="Times New Roman" w:cs="Times New Roman"/>
          <w:b/>
          <w:sz w:val="22"/>
          <w:szCs w:val="22"/>
        </w:rPr>
      </w:pPr>
    </w:p>
    <w:p>
      <w:pPr>
        <w:rPr>
          <w:rFonts w:ascii="Times New Roman" w:hAnsi="Times New Roman"/>
          <w:sz w:val="22"/>
          <w:szCs w:val="22"/>
        </w:rPr>
      </w:pPr>
      <w:r>
        <w:rPr>
          <w:rStyle w:val="Employername"/>
          <w:rFonts w:ascii="Times New Roman" w:hAnsi="Times New Roman" w:cs="Times New Roman"/>
          <w:b/>
          <w:sz w:val="22"/>
          <w:szCs w:val="22"/>
        </w:rPr>
        <w:t>BLOOD CENTER OF NEW JERSEY</w:t>
      </w:r>
      <w:r>
        <w:rPr>
          <w:rFonts w:ascii="Times New Roman" w:hAnsi="Times New Roman"/>
          <w:sz w:val="22"/>
          <w:szCs w:val="22"/>
        </w:rPr>
        <w:t xml:space="preserve"> — East Orange, NJ                                                       08/ 2007-11/2010</w:t>
      </w:r>
    </w:p>
    <w:p>
      <w:pPr>
        <w:rPr>
          <w:rFonts w:ascii="Times New Roman" w:hAnsi="Times New Roman"/>
          <w:sz w:val="22"/>
          <w:szCs w:val="22"/>
        </w:rPr>
      </w:pPr>
      <w:r>
        <w:rPr>
          <w:rStyle w:val="Jobtitleunderlined"/>
          <w:rFonts w:ascii="Times New Roman" w:hAnsi="Times New Roman" w:cs="Times New Roman"/>
          <w:b w:val="0"/>
          <w:i/>
          <w:sz w:val="22"/>
          <w:szCs w:val="22"/>
        </w:rPr>
        <w:t>Certified Phlebotomist</w:t>
      </w:r>
    </w:p>
    <w:p>
      <w:pPr>
        <w:pStyle w:val="KeyResultsBullets"/>
        <w:jc w:val="both"/>
        <w:rPr>
          <w:rFonts w:ascii="Times New Roman" w:hAnsi="Times New Roman" w:cs="Times New Roman"/>
          <w:sz w:val="22"/>
          <w:szCs w:val="22"/>
        </w:rPr>
      </w:pPr>
      <w:r>
        <w:rPr>
          <w:rFonts w:ascii="Times New Roman" w:hAnsi="Times New Roman" w:cs="Times New Roman"/>
          <w:sz w:val="22"/>
          <w:szCs w:val="22"/>
        </w:rPr>
        <w:t>Consistently praised for efficient handling of administrative duties (e.g., answering phones, scheduling appointments, maintaining medical records, and patient processing that allowed doctors and nursing staff to focus on the health concerns of donors. Demonstrated proficiency in taking patient medical histories and vital signs, as well as in performing veni-punctures, injections and various diagnostic procedures and ancillary tests (e.g., EKGs, immunoassays, chemistry analysis, hematology and urinalysis).</w:t>
      </w:r>
    </w:p>
    <w:p>
      <w:pPr>
        <w:pStyle w:val="KeyResultsBullets"/>
        <w:jc w:val="both"/>
        <w:rPr>
          <w:rFonts w:ascii="Times New Roman" w:hAnsi="Times New Roman" w:cs="Times New Roman"/>
          <w:sz w:val="22"/>
          <w:szCs w:val="22"/>
        </w:rPr>
      </w:pPr>
      <w:r>
        <w:rPr>
          <w:rFonts w:ascii="Times New Roman" w:hAnsi="Times New Roman" w:cs="Times New Roman"/>
          <w:sz w:val="22"/>
          <w:szCs w:val="22"/>
        </w:rPr>
        <w:t>Ensured the cleanliness, sanitation and maintenance of all facilities, exam rooms and equipment; Helped implement practice’s quality assurance and control program. Efforts ensured compliance with HIPAA, CLIA and OSHA regulations; improved patient care/satisfaction; Reacted calmly and effectively in emergency situations, and added the personal, caring touch that immediately put patients at ease.</w:t>
      </w:r>
    </w:p>
    <w:p>
      <w:pPr>
        <w:rPr>
          <w:rFonts w:ascii="Times New Roman" w:hAnsi="Times New Roman"/>
          <w:sz w:val="22"/>
          <w:szCs w:val="22"/>
        </w:rPr>
      </w:pPr>
      <w:r>
        <w:rPr>
          <w:rStyle w:val="Employername"/>
          <w:rFonts w:ascii="Times New Roman" w:hAnsi="Times New Roman" w:cs="Times New Roman"/>
          <w:b/>
          <w:sz w:val="22"/>
          <w:szCs w:val="22"/>
        </w:rPr>
        <w:t>LABORATORY CORPORATION OF AMERICA</w:t>
      </w:r>
      <w:r>
        <w:rPr>
          <w:rStyle w:val="Employername"/>
          <w:rFonts w:ascii="Times New Roman" w:hAnsi="Times New Roman" w:cs="Times New Roman"/>
          <w:sz w:val="22"/>
          <w:szCs w:val="22"/>
        </w:rPr>
        <w:t xml:space="preserve">, - Wayne, NJ                                            </w:t>
      </w:r>
      <w:r>
        <w:rPr>
          <w:rFonts w:ascii="Times New Roman" w:hAnsi="Times New Roman"/>
          <w:sz w:val="22"/>
          <w:szCs w:val="22"/>
        </w:rPr>
        <w:t>05/2006 – 07/2007</w:t>
      </w:r>
    </w:p>
    <w:p>
      <w:pPr>
        <w:rPr>
          <w:rFonts w:ascii="Times New Roman" w:hAnsi="Times New Roman"/>
          <w:sz w:val="22"/>
          <w:szCs w:val="22"/>
        </w:rPr>
      </w:pPr>
      <w:r>
        <w:rPr>
          <w:rStyle w:val="Jobtitleunderlined"/>
          <w:rFonts w:ascii="Times New Roman" w:hAnsi="Times New Roman" w:cs="Times New Roman"/>
          <w:b w:val="0"/>
          <w:i/>
          <w:sz w:val="22"/>
          <w:szCs w:val="22"/>
        </w:rPr>
        <w:t>Laboratory Phlebotomy Technician</w:t>
      </w:r>
    </w:p>
    <w:p>
      <w:pPr>
        <w:pStyle w:val="Summary"/>
        <w:rPr>
          <w:rFonts w:ascii="Times New Roman" w:hAnsi="Times New Roman"/>
        </w:rPr>
      </w:pPr>
      <w:r>
        <w:rPr>
          <w:rFonts w:ascii="Times New Roman" w:hAnsi="Times New Roman"/>
          <w:b/>
          <w:sz w:val="24"/>
        </w:rPr>
        <w:t xml:space="preserve">• </w:t>
      </w:r>
      <w:r>
        <w:rPr>
          <w:rFonts w:ascii="Times New Roman" w:hAnsi="Times New Roman"/>
          <w:sz w:val="22"/>
          <w:szCs w:val="22"/>
        </w:rPr>
        <w:t xml:space="preserve">    Collected patient blood samples in a safe, sanitary manner for diagnostic testing as a certified phlebotomist</w:t>
      </w:r>
      <w:r>
        <w:rPr>
          <w:rFonts w:ascii="Times New Roman" w:hAnsi="Times New Roman"/>
        </w:rPr>
        <w:t>.</w:t>
      </w:r>
    </w:p>
    <w:p>
      <w:pPr>
        <w:pStyle w:val="Summary"/>
        <w:rPr>
          <w:rFonts w:ascii="Times New Roman" w:hAnsi="Times New Roman"/>
          <w:sz w:val="22"/>
          <w:szCs w:val="22"/>
        </w:rPr>
      </w:pPr>
      <w:r>
        <w:rPr>
          <w:rFonts w:ascii="Times New Roman" w:hAnsi="Times New Roman"/>
          <w:sz w:val="22"/>
          <w:szCs w:val="22"/>
        </w:rPr>
        <w:t xml:space="preserve">•     Greeted geriatric and pediatric patients for testing obtaining computerized information; filed lab results and </w:t>
      </w:r>
    </w:p>
    <w:p>
      <w:pPr>
        <w:pStyle w:val="Summary"/>
        <w:rPr>
          <w:rFonts w:ascii="Times New Roman" w:hAnsi="Times New Roman"/>
          <w:sz w:val="22"/>
          <w:szCs w:val="22"/>
        </w:rPr>
      </w:pPr>
      <w:r>
        <w:rPr>
          <w:rFonts w:ascii="Times New Roman" w:hAnsi="Times New Roman"/>
          <w:sz w:val="22"/>
          <w:szCs w:val="22"/>
        </w:rPr>
        <w:t xml:space="preserve">      processed to physicians.</w:t>
      </w:r>
    </w:p>
    <w:p>
      <w:pPr>
        <w:pStyle w:val="LineSeparator"/>
        <w:spacing w:before="0"/>
        <w:rPr>
          <w:rFonts w:ascii="Times New Roman" w:hAnsi="Times New Roman" w:cs="Times New Roman"/>
          <w:b w:val="0"/>
          <w:sz w:val="22"/>
          <w:szCs w:val="22"/>
        </w:rPr>
      </w:pPr>
      <w:r>
        <w:rPr>
          <w:rFonts w:ascii="Times New Roman" w:hAnsi="Times New Roman" w:cs="Times New Roman"/>
          <w:sz w:val="22"/>
          <w:szCs w:val="22"/>
        </w:rPr>
        <w:t xml:space="preserve">REFERENCES: </w:t>
      </w:r>
      <w:r>
        <w:rPr>
          <w:rFonts w:ascii="Times New Roman" w:hAnsi="Times New Roman" w:cs="Times New Roman"/>
          <w:b w:val="0"/>
          <w:sz w:val="22"/>
          <w:szCs w:val="22"/>
        </w:rPr>
        <w:t>Dr. Elizabeth Drews, P.A. -  (908) 285-1791</w:t>
      </w:r>
    </w:p>
    <w:p>
      <w:pPr>
        <w:pStyle w:val="LineSeparator"/>
        <w:spacing w:before="0"/>
        <w:rPr>
          <w:rFonts w:ascii="Times New Roman" w:hAnsi="Times New Roman" w:cs="Times New Roman"/>
          <w:b w:val="0"/>
          <w:sz w:val="22"/>
          <w:szCs w:val="22"/>
        </w:rPr>
      </w:pPr>
      <w:r>
        <w:rPr>
          <w:rFonts w:ascii="Times New Roman" w:hAnsi="Times New Roman" w:cs="Times New Roman"/>
          <w:b w:val="0"/>
          <w:sz w:val="22"/>
          <w:szCs w:val="22"/>
        </w:rPr>
        <w:t xml:space="preserve">                              Joseph Morandi, M.D. -  (908) 303-3779</w:t>
      </w:r>
    </w:p>
    <w:p>
      <w:pPr>
        <w:pStyle w:val="LineSeparator"/>
        <w:spacing w:before="0"/>
        <w:rPr>
          <w:rFonts w:ascii="Times New Roman" w:hAnsi="Times New Roman" w:cs="Times New Roman"/>
          <w:b w:val="0"/>
          <w:sz w:val="22"/>
          <w:szCs w:val="22"/>
        </w:rPr>
      </w:pPr>
      <w:r>
        <w:rPr>
          <w:rFonts w:ascii="Times New Roman" w:hAnsi="Times New Roman" w:cs="Times New Roman"/>
          <w:b w:val="0"/>
          <w:sz w:val="22"/>
          <w:szCs w:val="22"/>
        </w:rPr>
        <w:t xml:space="preserve">                              Allison Harhigh - (908) 930-1799</w:t>
      </w:r>
    </w:p>
    <w:p>
      <w:pPr>
        <w:pStyle w:val="LineSeparator"/>
        <w:rPr>
          <w:rFonts w:ascii="Times New Roman" w:hAnsi="Times New Roman" w:cs="Times New Roman"/>
          <w:b w:val="0"/>
          <w:sz w:val="22"/>
          <w:szCs w:val="22"/>
        </w:rPr>
      </w:pPr>
      <w:r>
        <w:rPr>
          <w:rFonts w:ascii="Times New Roman" w:hAnsi="Times New Roman" w:cs="Times New Roman"/>
          <w:b w:val="0"/>
          <w:sz w:val="22"/>
          <w:szCs w:val="22"/>
        </w:rPr>
        <w:t xml:space="preserve"> </w:t>
      </w:r>
    </w:p>
    <w:sectPr>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00007A87" w:usb1="80000000" w:usb2="00000008" w:usb3="00000001" w:csb0="400001FF" w:csb1="FFFF0000"/>
  </w:font>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00007A87" w:usb1="80000000" w:usb2="00000008" w:usb3="00000001" w:csb0="400001FF" w:csb1="FFFF0000"/>
  </w:font>
  <w:font w:name="Wingdings">
    <w:panose1 w:val="05000000000000000000"/>
    <w:family w:val="auto"/>
    <w:charset w:val="02"/>
    <w:notTrueType w:val="true"/>
    <w:sig w:usb0="00000001" w:usb1="00000001" w:usb2="00000001" w:usb3="00000001" w:csb0="80000000" w:csb1="00000001"/>
  </w:font>
  <w:font w:name="Tahoma">
    <w:panose1 w:val="020B0604030504040204"/>
    <w:family w:val="swiss"/>
    <w:charset w:val="00"/>
    <w:notTrueType w:val="true"/>
    <w:sig w:usb0="E1002EFF" w:usb1="C000605B" w:usb2="00000029" w:usb3="00000001" w:csb0="200101FF" w:csb1="2028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d8f7723"/>
    <w:multiLevelType w:val="hybridMultilevel"/>
    <w:tmpl w:val="41920f92"/>
    <w:lvl w:ilvl="0" w:tplc="d09229f6">
      <w:start w:val="1"/>
      <w:numFmt w:val="bullet"/>
      <w:lvlText w:val=""/>
      <w:lvlJc w:val="left"/>
      <w:pStyle w:val="KeyResultsBullets"/>
      <w:rPr>
        <w:rFonts w:ascii="Symbol" w:hAnsi="Symbol" w:hint="default"/>
        <w:sz w:val="20"/>
      </w:rPr>
    </w:lvl>
    <w:lvl w:ilvl="1" w:tentative="on" w:tplc="4090003">
      <w:start w:val="1"/>
      <w:numFmt w:val="bullet"/>
      <w:lvlText w:val="o"/>
      <w:lvlJc w:val="left"/>
      <w:rPr>
        <w:rFonts w:ascii="Courier New" w:hAnsi="Courier New" w:cs="Courier New" w:hint="default"/>
      </w:rPr>
    </w:lvl>
    <w:lvl w:ilvl="2" w:tentative="on" w:tplc="4090005">
      <w:start w:val="1"/>
      <w:numFmt w:val="bullet"/>
      <w:lvlText w:val=""/>
      <w:lvlJc w:val="left"/>
      <w:rPr>
        <w:rFonts w:ascii="Wingdings" w:hAnsi="Wingdings" w:hint="default"/>
      </w:rPr>
    </w:lvl>
    <w:lvl w:ilvl="3" w:tentative="on" w:tplc="4090001">
      <w:start w:val="1"/>
      <w:numFmt w:val="bullet"/>
      <w:lvlText w:val=""/>
      <w:lvlJc w:val="left"/>
      <w:rPr>
        <w:rFonts w:ascii="Symbol" w:hAnsi="Symbol" w:hint="default"/>
      </w:rPr>
    </w:lvl>
    <w:lvl w:ilvl="4" w:tentative="on" w:tplc="4090003">
      <w:start w:val="1"/>
      <w:numFmt w:val="bullet"/>
      <w:lvlText w:val="o"/>
      <w:lvlJc w:val="left"/>
      <w:rPr>
        <w:rFonts w:ascii="Courier New" w:hAnsi="Courier New" w:cs="Courier New" w:hint="default"/>
      </w:rPr>
    </w:lvl>
    <w:lvl w:ilvl="5" w:tentative="on" w:tplc="4090005">
      <w:start w:val="1"/>
      <w:numFmt w:val="bullet"/>
      <w:lvlText w:val=""/>
      <w:lvlJc w:val="left"/>
      <w:rPr>
        <w:rFonts w:ascii="Wingdings" w:hAnsi="Wingdings" w:hint="default"/>
      </w:rPr>
    </w:lvl>
    <w:lvl w:ilvl="6" w:tentative="on" w:tplc="4090001">
      <w:start w:val="1"/>
      <w:numFmt w:val="bullet"/>
      <w:lvlText w:val=""/>
      <w:lvlJc w:val="left"/>
      <w:rPr>
        <w:rFonts w:ascii="Symbol" w:hAnsi="Symbol" w:hint="default"/>
      </w:rPr>
    </w:lvl>
    <w:lvl w:ilvl="7" w:tentative="on" w:tplc="4090003">
      <w:start w:val="1"/>
      <w:numFmt w:val="bullet"/>
      <w:lvlText w:val="o"/>
      <w:lvlJc w:val="left"/>
      <w:rPr>
        <w:rFonts w:ascii="Courier New" w:hAnsi="Courier New" w:cs="Courier New" w:hint="default"/>
      </w:rPr>
    </w:lvl>
    <w:lvl w:ilvl="8" w:tentative="on" w:tplc="4090005">
      <w:start w:val="1"/>
      <w:numFmt w:val="bullet"/>
      <w:lvlText w:val=""/>
      <w:lvlJc w:val="left"/>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noPunctuationKerning/>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imes New Roman" w:eastAsia="Times New Roman" w:hAnsi="Times New Roman" w:cs="Times New Roman"/>
      </w:rPr>
    </w:rPrDefault>
    <w:pPrDefault>
      <w:pPr/>
    </w:pPrDefault>
  </w:docDefaults>
  <w:style w:type="paragraph" w:default="1" w:styleId="normal">
    <w:name w:val="Normal"/>
    <w:qFormat/>
    <w:rPr>
      <w:rFonts w:asciiTheme="minorHAnsi" w:hAnsiTheme="minorHAnsi"/>
      <w:szCs w:val="24"/>
    </w:rPr>
  </w:style>
  <w:style w:type="character" w:default="1" w:styleId="defaultParagraphFont">
    <w:name w:val="Default Paragraph Font"/>
    <w:semiHidden/>
    <w:unhideWhenUsed/>
  </w:style>
  <w:style w:type="table" w:default="1" w:styleId="TableNormal">
    <w:name w:val="Normal Table"/>
    <w:qFormat/>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Employername">
    <w:name w:val="Employer name"/>
    <w:basedOn w:val="defaultParagraphFont"/>
    <w:qFormat/>
    <w:rPr>
      <w:rFonts w:asciiTheme="minorHAnsi" w:hAnsiTheme="minorHAnsi" w:cs="Tahoma"/>
      <w:sz w:val="20"/>
      <w:szCs w:val="20"/>
    </w:rPr>
  </w:style>
  <w:style w:type="paragraph" w:customStyle="1" w:styleId="JobTitle">
    <w:name w:val="Job Title"/>
    <w:basedOn w:val="normal"/>
    <w:qFormat/>
    <w:pPr>
      <w:jc w:val="right"/>
      <w:spacing w:after="220" w:before="200"/>
    </w:pPr>
    <w:rPr>
      <w:caps/>
      <w:rFonts w:asciiTheme="majorHAnsi" w:hAnsiTheme="majorHAnsi"/>
      <w:color w:val="365F91"/>
      <w:sz w:val="48"/>
      <w:shadow/>
      <w:spacing w:val="12"/>
    </w:rPr>
  </w:style>
  <w:style w:type="paragraph" w:customStyle="1" w:styleId="Address">
    <w:name w:val="Address"/>
    <w:basedOn w:val="normal"/>
    <w:qFormat/>
    <w:pPr>
      <w:jc w:val="right"/>
    </w:pPr>
    <w:rPr>
      <w:sz w:val="17"/>
    </w:rPr>
  </w:style>
  <w:style w:type="paragraph" w:customStyle="1" w:styleId="Degree">
    <w:name w:val="Degree"/>
    <w:basedOn w:val="normal"/>
    <w:qFormat/>
    <w:pPr>
      <w:spacing w:before="200"/>
    </w:pPr>
  </w:style>
  <w:style w:type="paragraph" w:customStyle="1" w:styleId="KeyResultsBullets">
    <w:name w:val="Key Results Bullets"/>
    <w:basedOn w:val="normal"/>
    <w:qFormat/>
    <w:pPr>
      <w:numPr>
        <w:ilvl w:val="0"/>
        <w:numId w:val="1"/>
      </w:numPr>
      <w:spacing w:after="120"/>
    </w:pPr>
    <w:rPr>
      <w:rFonts w:cs="Tahoma"/>
      <w:color w:val="000000"/>
      <w:szCs w:val="20"/>
    </w:rPr>
  </w:style>
  <w:style w:type="paragraph" w:customStyle="1" w:styleId="Summary">
    <w:name w:val="Summary"/>
    <w:basedOn w:val="normal"/>
    <w:qFormat/>
    <w:pPr>
      <w:spacing w:after="120" w:before="60"/>
    </w:pPr>
  </w:style>
  <w:style w:type="paragraph" w:customStyle="1" w:styleId="LineSeparator">
    <w:name w:val="Line Separator"/>
    <w:basedOn w:val="normal"/>
    <w:qFormat/>
    <w:pPr>
      <w:keepNext/>
      <w:outlineLvl w:val="0"/>
      <w:pBdr>
        <w:top w:val="single" w:sz="18" w:space="0" w:color="365F91"/>
      </w:pBdr>
      <w:spacing w:after="120" w:before="320"/>
    </w:pPr>
    <w:rPr>
      <w:rFonts w:ascii="Tahoma" w:hAnsi="Tahoma" w:cs="Tahoma"/>
      <w:b/>
      <w:bCs/>
      <w:sz w:val="8"/>
      <w:szCs w:val="8"/>
    </w:rPr>
  </w:style>
  <w:style w:type="paragraph" w:customStyle="1" w:styleId="Name">
    <w:name w:val="Name"/>
    <w:basedOn w:val="normal"/>
    <w:qFormat/>
    <w:pPr>
      <w:jc w:val="right"/>
    </w:pPr>
    <w:rPr>
      <w:caps/>
      <w:rFonts w:asciiTheme="majorHAnsi" w:hAnsiTheme="majorHAnsi" w:cs="Tahoma"/>
      <w:b/>
      <w:noProof/>
      <w:sz w:val="34"/>
    </w:rPr>
  </w:style>
  <w:style w:type="character" w:customStyle="1" w:styleId="Keyskills">
    <w:name w:val="Key skills"/>
    <w:basedOn w:val="defaultParagraphFont"/>
    <w:qFormat/>
    <w:rPr>
      <w:rFonts w:asciiTheme="minorHAnsi" w:hAnsiTheme="minorHAnsi" w:cs="Tahoma"/>
      <w:i/>
      <w:sz w:val="20"/>
      <w:szCs w:val="20"/>
    </w:rPr>
  </w:style>
  <w:style w:type="paragraph" w:customStyle="1" w:styleId="SectionHeading">
    <w:name w:val="Section Heading"/>
    <w:basedOn w:val="normal"/>
    <w:pPr>
      <w:keepNext/>
      <w:outlineLvl w:val="0"/>
      <w:pBdr>
        <w:top w:val="single" w:sz="18" w:space="0" w:color="365F91"/>
      </w:pBdr>
      <w:spacing w:after="120" w:before="320"/>
    </w:pPr>
    <w:rPr>
      <w:rFonts w:asciiTheme="majorHAnsi" w:hAnsiTheme="majorHAnsi"/>
      <w:b/>
      <w:bCs/>
      <w:sz w:val="28"/>
      <w:szCs w:val="20"/>
    </w:rPr>
  </w:style>
  <w:style w:type="character" w:customStyle="1" w:styleId="Jobtitleunderlined">
    <w:name w:val="Job title underlined"/>
    <w:basedOn w:val="defaultParagraphFont"/>
    <w:qFormat/>
    <w:rPr>
      <w:rFonts w:asciiTheme="minorHAnsi" w:hAnsiTheme="minorHAnsi" w:cs="Tahoma"/>
      <w:b/>
      <w:sz w:val="20"/>
      <w:szCs w:val="20"/>
      <w:u w:val="single" w:color="auto"/>
    </w:rPr>
  </w:style>
  <w:style w:type="character" w:customStyle="1" w:styleId="Education">
    <w:name w:val="Education"/>
    <w:basedOn w:val="defaultParagraphFont"/>
    <w:qFormat/>
    <w:rPr>
      <w:rFonts w:asciiTheme="minorHAnsi" w:hAnsiTheme="minorHAnsi" w:cs="Tahoma"/>
      <w:b/>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Tahoma"/>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1</cp:revision>
  <dcterms:created xsi:type="dcterms:W3CDTF">2012-03-17T20:40:00Z</dcterms:created>
  <dcterms:modified xsi:type="dcterms:W3CDTF">2017-03-28T14:27:08Z</dcterms:modified>
  <cp:lastPrinted>2013-10-23T14:51:00Z</cp:lastPrinted>
  <cp:version>04.2000</cp:version>
</cp:coreProperties>
</file>