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e293b"/>
          </w:tcPr>
          <w:p>
            <w:pPr>
              <w:jc w:val="center"/>
            </w:pPr>
            <w:r>
              <w:rPr>
                <w:rFonts w:ascii="Calibri" w:hAnsi="Calibri"/>
                <w:b/>
                <w:color w:val="FFFFFF"/>
                <w:sz w:val="28"/>
              </w:rPr>
              <w:t>WIRELESS GAME GROUP LLC</w:t>
            </w:r>
          </w:p>
        </w:tc>
      </w:tr>
    </w:tbl>
    <w:p/>
    <w:p>
      <w:pPr>
        <w:jc w:val="center"/>
      </w:pPr>
      <w:r>
        <w:rPr>
          <w:rFonts w:ascii="Calibri" w:hAnsi="Calibri"/>
          <w:b/>
          <w:color w:val="1E293B"/>
          <w:sz w:val="36"/>
        </w:rPr>
        <w:t>EMPLOYEE ACCOUNTABILITY POLICY</w:t>
      </w:r>
    </w:p>
    <w:p>
      <w:pPr>
        <w:jc w:val="center"/>
      </w:pPr>
      <w:r>
        <w:rPr>
          <w:rFonts w:ascii="Calibri" w:hAnsi="Calibri"/>
          <w:color w:val="7C3AED"/>
          <w:sz w:val="26"/>
        </w:rPr>
        <w:t>Progressive Discipline &amp; Documentation Standards</w:t>
      </w:r>
    </w:p>
    <w:p>
      <w:pPr>
        <w:jc w:val="center"/>
      </w:pPr>
      <w:r>
        <w:rPr>
          <w:rFonts w:ascii="Calibri" w:hAnsi="Calibri"/>
          <w:color w:val="6B7280"/>
          <w:sz w:val="20"/>
        </w:rPr>
        <w:t>Effective: May 2026  |  Classification: Internal — Employee Handbook</w:t>
      </w:r>
    </w:p>
    <w:p/>
    <w:tbl>
      <w:tblPr>
        <w:tblW w:type="auto" w:w="0"/>
        <w:tblLook w:firstColumn="1" w:firstRow="1" w:lastColumn="0" w:lastRow="0" w:noHBand="0" w:noVBand="1" w:val="04A0"/>
      </w:tblPr>
      <w:tblGrid>
        <w:gridCol w:w="8640"/>
      </w:tblGrid>
      <w:tr>
        <w:tc>
          <w:tcPr>
            <w:tcW w:type="dxa" w:w="8640"/>
            <w:shd w:val="clear" w:color="auto" w:fill="7c3aed"/>
          </w:tcPr>
          <w:p>
            <w:r/>
          </w:p>
        </w:tc>
      </w:tr>
    </w:tbl>
    <w:p/>
    <w:p>
      <w:pPr>
        <w:pStyle w:val="Heading1"/>
        <w:spacing w:before="240" w:after="80"/>
      </w:pPr>
      <w:r>
        <w:rPr>
          <w:color w:val="1E293B"/>
          <w:sz w:val="32"/>
        </w:rPr>
        <w:t>1. Purpose</w:t>
      </w:r>
    </w:p>
    <w:p>
      <w:pPr>
        <w:spacing w:after="120"/>
      </w:pPr>
      <w:r>
        <w:rPr>
          <w:rFonts w:ascii="Calibri" w:hAnsi="Calibri"/>
          <w:sz w:val="22"/>
        </w:rPr>
        <w:t>Wireless Game Group LLC is committed to maintaining a professional, productive, and respectful work environment. This policy establishes a consistent, fair, and transparent process for addressing employee performance issues, policy violations, and conduct concerns through progressive discipline and formal documentation.</w:t>
      </w:r>
    </w:p>
    <w:p>
      <w:pPr>
        <w:spacing w:after="120"/>
      </w:pPr>
      <w:r>
        <w:rPr>
          <w:rFonts w:ascii="Calibri" w:hAnsi="Calibri"/>
          <w:sz w:val="22"/>
        </w:rPr>
        <w:t>The accountability documentation process is administered through Field Manager Pro (FMP), the Company's internal management platform. All formal notices are generated, tracked, and stored digitally with a complete, immutable audit trail.</w:t>
      </w:r>
    </w:p>
    <w:p>
      <w:pPr>
        <w:pStyle w:val="Heading1"/>
        <w:spacing w:before="240" w:after="80"/>
      </w:pPr>
      <w:r>
        <w:rPr>
          <w:color w:val="1E293B"/>
          <w:sz w:val="32"/>
        </w:rPr>
        <w:t>2. Scope</w:t>
      </w:r>
    </w:p>
    <w:p>
      <w:pPr>
        <w:spacing w:after="120"/>
      </w:pPr>
      <w:r>
        <w:rPr>
          <w:rFonts w:ascii="Calibri" w:hAnsi="Calibri"/>
          <w:sz w:val="22"/>
        </w:rPr>
        <w:t>This policy applies to all employees of Wireless Game Group LLC, including full-time, part-time, and temporary team members at all locations. District Managers are responsible for initiating and managing accountability documentation for their direct reports. Sales Directors and Ownership are responsible for reviewing and approving formal written notices.</w:t>
      </w:r>
    </w:p>
    <w:p>
      <w:pPr>
        <w:pStyle w:val="Heading1"/>
        <w:spacing w:before="240" w:after="80"/>
      </w:pPr>
      <w:r>
        <w:rPr>
          <w:color w:val="1E293B"/>
          <w:sz w:val="32"/>
        </w:rPr>
        <w:t>3. Progressive Discipline Framework</w:t>
      </w:r>
    </w:p>
    <w:p>
      <w:pPr>
        <w:spacing w:after="120"/>
      </w:pPr>
      <w:r>
        <w:rPr>
          <w:rFonts w:ascii="Calibri" w:hAnsi="Calibri"/>
          <w:sz w:val="22"/>
        </w:rPr>
        <w:t>The Company uses a three-level progressive discipline model. The appropriate level is determined by the severity and frequency of the issue. The following levels are available: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293b"/>
          </w:tcPr>
          <w:p>
            <w:pPr>
              <w:jc w:val="center"/>
            </w:pPr>
            <w:r>
              <w:rPr>
                <w:rFonts w:ascii="Calibri" w:hAnsi="Calibri"/>
                <w:b/>
                <w:color w:val="FFFFFF"/>
                <w:sz w:val="22"/>
              </w:rPr>
              <w:t>Level</w:t>
            </w:r>
          </w:p>
        </w:tc>
        <w:tc>
          <w:tcPr>
            <w:tcW w:type="dxa" w:w="2160"/>
            <w:shd w:val="clear" w:color="auto" w:fill="1e293b"/>
          </w:tcPr>
          <w:p>
            <w:pPr>
              <w:jc w:val="center"/>
            </w:pPr>
            <w:r>
              <w:rPr>
                <w:rFonts w:ascii="Calibri" w:hAnsi="Calibri"/>
                <w:b/>
                <w:color w:val="FFFFFF"/>
                <w:sz w:val="22"/>
              </w:rPr>
              <w:t>Notice Type</w:t>
            </w:r>
          </w:p>
        </w:tc>
        <w:tc>
          <w:tcPr>
            <w:tcW w:type="dxa" w:w="2160"/>
            <w:shd w:val="clear" w:color="auto" w:fill="1e293b"/>
          </w:tcPr>
          <w:p>
            <w:pPr>
              <w:jc w:val="center"/>
            </w:pPr>
            <w:r>
              <w:rPr>
                <w:rFonts w:ascii="Calibri" w:hAnsi="Calibri"/>
                <w:b/>
                <w:color w:val="FFFFFF"/>
                <w:sz w:val="22"/>
              </w:rPr>
              <w:t>Approval Required</w:t>
            </w:r>
          </w:p>
        </w:tc>
        <w:tc>
          <w:tcPr>
            <w:tcW w:type="dxa" w:w="2160"/>
            <w:shd w:val="clear" w:color="auto" w:fill="1e293b"/>
          </w:tcPr>
          <w:p>
            <w:pPr>
              <w:jc w:val="center"/>
            </w:pPr>
            <w:r>
              <w:rPr>
                <w:rFonts w:ascii="Calibri" w:hAnsi="Calibri"/>
                <w:b/>
                <w:color w:val="FFFFFF"/>
                <w:sz w:val="22"/>
              </w:rPr>
              <w:t>Typical Use</w:t>
            </w:r>
          </w:p>
        </w:tc>
      </w:tr>
      <w:tr>
        <w:tc>
          <w:tcPr>
            <w:tcW w:type="dxa" w:w="2160"/>
            <w:shd w:val="clear" w:color="auto" w:fill="b45a09"/>
          </w:tcPr>
          <w:p>
            <w:pPr>
              <w:jc w:val="center"/>
            </w:pPr>
            <w:r>
              <w:rPr>
                <w:rFonts w:ascii="Calibri" w:hAnsi="Calibri"/>
                <w:b/>
                <w:color w:val="FFFFFF"/>
                <w:sz w:val="20"/>
              </w:rPr>
              <w:t>Level 1</w:t>
            </w:r>
          </w:p>
        </w:tc>
        <w:tc>
          <w:tcPr>
            <w:tcW w:type="dxa" w:w="2160"/>
          </w:tcPr>
          <w:p>
            <w:r>
              <w:rPr>
                <w:rFonts w:ascii="Calibri" w:hAnsi="Calibri"/>
                <w:sz w:val="20"/>
              </w:rPr>
              <w:t>Verbal Notice</w:t>
            </w:r>
          </w:p>
        </w:tc>
        <w:tc>
          <w:tcPr>
            <w:tcW w:type="dxa" w:w="2160"/>
          </w:tcPr>
          <w:p>
            <w:r>
              <w:rPr>
                <w:rFonts w:ascii="Calibri" w:hAnsi="Calibri"/>
                <w:sz w:val="20"/>
              </w:rPr>
              <w:t>None — sent immediately</w:t>
            </w:r>
          </w:p>
        </w:tc>
        <w:tc>
          <w:tcPr>
            <w:tcW w:type="dxa" w:w="2160"/>
          </w:tcPr>
          <w:p>
            <w:r>
              <w:rPr>
                <w:rFonts w:ascii="Calibri" w:hAnsi="Calibri"/>
                <w:sz w:val="20"/>
              </w:rPr>
              <w:t>Minor infractions, first occurrences, attendance reminders</w:t>
            </w:r>
          </w:p>
        </w:tc>
      </w:tr>
      <w:tr>
        <w:tc>
          <w:tcPr>
            <w:tcW w:type="dxa" w:w="2160"/>
            <w:shd w:val="clear" w:color="auto" w:fill="c2410c"/>
          </w:tcPr>
          <w:p>
            <w:pPr>
              <w:jc w:val="center"/>
            </w:pPr>
            <w:r>
              <w:rPr>
                <w:rFonts w:ascii="Calibri" w:hAnsi="Calibri"/>
                <w:b/>
                <w:color w:val="FFFFFF"/>
                <w:sz w:val="20"/>
              </w:rPr>
              <w:t>Level 2</w:t>
            </w:r>
          </w:p>
        </w:tc>
        <w:tc>
          <w:tcPr>
            <w:tcW w:type="dxa" w:w="2160"/>
          </w:tcPr>
          <w:p>
            <w:r>
              <w:rPr>
                <w:rFonts w:ascii="Calibri" w:hAnsi="Calibri"/>
                <w:sz w:val="20"/>
              </w:rPr>
              <w:t>Written Notice</w:t>
            </w:r>
          </w:p>
        </w:tc>
        <w:tc>
          <w:tcPr>
            <w:tcW w:type="dxa" w:w="2160"/>
          </w:tcPr>
          <w:p>
            <w:r>
              <w:rPr>
                <w:rFonts w:ascii="Calibri" w:hAnsi="Calibri"/>
                <w:sz w:val="20"/>
              </w:rPr>
              <w:t>Sales Director + Owner (72 hrs)</w:t>
            </w:r>
          </w:p>
        </w:tc>
        <w:tc>
          <w:tcPr>
            <w:tcW w:type="dxa" w:w="2160"/>
          </w:tcPr>
          <w:p>
            <w:r>
              <w:rPr>
                <w:rFonts w:ascii="Calibri" w:hAnsi="Calibri"/>
                <w:sz w:val="20"/>
              </w:rPr>
              <w:t>Repeated violations, moderate misconduct, performance failures</w:t>
            </w:r>
          </w:p>
        </w:tc>
      </w:tr>
      <w:tr>
        <w:tc>
          <w:tcPr>
            <w:tcW w:type="dxa" w:w="2160"/>
            <w:shd w:val="clear" w:color="auto" w:fill="991b1b"/>
          </w:tcPr>
          <w:p>
            <w:pPr>
              <w:jc w:val="center"/>
            </w:pPr>
            <w:r>
              <w:rPr>
                <w:rFonts w:ascii="Calibri" w:hAnsi="Calibri"/>
                <w:b/>
                <w:color w:val="FFFFFF"/>
                <w:sz w:val="20"/>
              </w:rPr>
              <w:t>Level 3</w:t>
            </w:r>
          </w:p>
        </w:tc>
        <w:tc>
          <w:tcPr>
            <w:tcW w:type="dxa" w:w="2160"/>
          </w:tcPr>
          <w:p>
            <w:r>
              <w:rPr>
                <w:rFonts w:ascii="Calibri" w:hAnsi="Calibri"/>
                <w:sz w:val="20"/>
              </w:rPr>
              <w:t>Final Written Notice</w:t>
            </w:r>
          </w:p>
        </w:tc>
        <w:tc>
          <w:tcPr>
            <w:tcW w:type="dxa" w:w="2160"/>
          </w:tcPr>
          <w:p>
            <w:r>
              <w:rPr>
                <w:rFonts w:ascii="Calibri" w:hAnsi="Calibri"/>
                <w:sz w:val="20"/>
              </w:rPr>
              <w:t>Sales Director + Owner (72 hrs)</w:t>
            </w:r>
          </w:p>
        </w:tc>
        <w:tc>
          <w:tcPr>
            <w:tcW w:type="dxa" w:w="2160"/>
          </w:tcPr>
          <w:p>
            <w:r>
              <w:rPr>
                <w:rFonts w:ascii="Calibri" w:hAnsi="Calibri"/>
                <w:sz w:val="20"/>
              </w:rPr>
              <w:t>Serious violations, continued non-compliance; includes termination warning</w:t>
            </w:r>
          </w:p>
        </w:tc>
      </w:tr>
    </w:tbl>
    <w:p/>
    <w:p>
      <w:pPr>
        <w:spacing w:after="120"/>
      </w:pPr>
      <w:r>
        <w:rPr>
          <w:rFonts w:ascii="Calibri" w:hAnsi="Calibri"/>
          <w:sz w:val="22"/>
        </w:rPr>
        <w:t>Note: The Company reserves the right to skip levels or bypass the progressive process when the severity of the conduct warrants immediate serious action, including suspension or termination without prior notice.</w:t>
      </w:r>
    </w:p>
    <w:p>
      <w:pPr>
        <w:pStyle w:val="Heading1"/>
        <w:spacing w:before="240" w:after="80"/>
      </w:pPr>
      <w:r>
        <w:rPr>
          <w:color w:val="1E293B"/>
          <w:sz w:val="32"/>
        </w:rPr>
        <w:t>4. Documentation Submission Process</w:t>
      </w:r>
    </w:p>
    <w:p>
      <w:pPr>
        <w:spacing w:after="120"/>
      </w:pPr>
      <w:r>
        <w:rPr>
          <w:rFonts w:ascii="Calibri" w:hAnsi="Calibri"/>
          <w:sz w:val="22"/>
        </w:rPr>
        <w:t>District Managers initiate all accountability documentation through Field Manager Pro. The process is as follows:</w:t>
      </w:r>
    </w:p>
    <w:p>
      <w:pPr>
        <w:pStyle w:val="Heading2"/>
        <w:spacing w:before="240" w:after="80"/>
      </w:pPr>
      <w:r>
        <w:rPr>
          <w:color w:val="7C3AED"/>
          <w:sz w:val="26"/>
        </w:rPr>
        <w:t>Step 1 — Identify the Issue</w:t>
      </w:r>
    </w:p>
    <w:p>
      <w:pPr>
        <w:spacing w:after="120"/>
      </w:pPr>
      <w:r>
        <w:rPr>
          <w:rFonts w:ascii="Calibri" w:hAnsi="Calibri"/>
          <w:sz w:val="22"/>
        </w:rPr>
        <w:t>The District Manager identifies a specific, documented performance issue, policy violation, or conduct concern. Notes should reflect observable facts: what happened, when, where, and who was involved. Vague or subjective language should be avoided.</w:t>
      </w:r>
    </w:p>
    <w:p>
      <w:pPr>
        <w:pStyle w:val="Heading2"/>
        <w:spacing w:before="240" w:after="80"/>
      </w:pPr>
      <w:r>
        <w:rPr>
          <w:color w:val="7C3AED"/>
          <w:sz w:val="26"/>
        </w:rPr>
        <w:t>Step 2 — Select the Appropriate Notice Level</w:t>
      </w:r>
    </w:p>
    <w:p>
      <w:pPr>
        <w:spacing w:after="120"/>
      </w:pPr>
      <w:r>
        <w:rPr>
          <w:rFonts w:ascii="Calibri" w:hAnsi="Calibri"/>
          <w:sz w:val="22"/>
        </w:rPr>
        <w:t>Based on the severity of the issue and the employee's history, the District Manager selects the appropriate notice level (Verbal, Written, or Final Written). Prior verbal conversations and any previously issued notices may be referenced and linked within the document.</w:t>
      </w:r>
    </w:p>
    <w:p>
      <w:pPr>
        <w:pStyle w:val="Heading2"/>
        <w:spacing w:before="240" w:after="80"/>
      </w:pPr>
      <w:r>
        <w:rPr>
          <w:color w:val="7C3AED"/>
          <w:sz w:val="26"/>
        </w:rPr>
        <w:t>Step 3 — Complete the Document</w:t>
      </w:r>
    </w:p>
    <w:p>
      <w:pPr>
        <w:spacing w:after="120"/>
      </w:pPr>
      <w:r>
        <w:rPr>
          <w:rFonts w:ascii="Calibri" w:hAnsi="Calibri"/>
          <w:sz w:val="22"/>
        </w:rPr>
        <w:t>The following information is required for every accountability document:</w:t>
      </w:r>
    </w:p>
    <w:p>
      <w:pPr>
        <w:pStyle w:val="ListBullet"/>
        <w:spacing w:after="60"/>
        <w:ind w:left="432"/>
      </w:pPr>
      <w:r>
        <w:rPr>
          <w:rFonts w:ascii="Calibri" w:hAnsi="Calibri"/>
          <w:sz w:val="22"/>
        </w:rPr>
        <w:t>Document Title — a concise description of the issue</w:t>
      </w:r>
    </w:p>
    <w:p>
      <w:pPr>
        <w:pStyle w:val="ListBullet"/>
        <w:spacing w:after="60"/>
        <w:ind w:left="432"/>
      </w:pPr>
      <w:r>
        <w:rPr>
          <w:rFonts w:ascii="Calibri" w:hAnsi="Calibri"/>
          <w:sz w:val="22"/>
        </w:rPr>
        <w:t>Date of Incident — the actual date the issue occurred</w:t>
      </w:r>
    </w:p>
    <w:p>
      <w:pPr>
        <w:pStyle w:val="ListBullet"/>
        <w:spacing w:after="60"/>
        <w:ind w:left="432"/>
      </w:pPr>
      <w:r>
        <w:rPr>
          <w:rFonts w:ascii="Calibri" w:hAnsi="Calibri"/>
          <w:sz w:val="22"/>
        </w:rPr>
        <w:t>Notice Level — Verbal, Written, or Final Written</w:t>
      </w:r>
    </w:p>
    <w:p>
      <w:pPr>
        <w:pStyle w:val="ListBullet"/>
        <w:spacing w:after="60"/>
        <w:ind w:left="432"/>
      </w:pPr>
      <w:r>
        <w:rPr>
          <w:rFonts w:ascii="Calibri" w:hAnsi="Calibri"/>
          <w:sz w:val="22"/>
        </w:rPr>
        <w:t>Detailed Notes — a full, factual narrative of the issue</w:t>
      </w:r>
    </w:p>
    <w:p>
      <w:pPr>
        <w:pStyle w:val="ListBullet"/>
        <w:spacing w:after="60"/>
        <w:ind w:left="432"/>
      </w:pPr>
      <w:r>
        <w:rPr>
          <w:rFonts w:ascii="Calibri" w:hAnsi="Calibri"/>
          <w:sz w:val="22"/>
        </w:rPr>
        <w:t>Expectations — specific, measurable actions the employee must take going forward</w:t>
      </w:r>
    </w:p>
    <w:p>
      <w:pPr>
        <w:pStyle w:val="ListBullet"/>
        <w:spacing w:after="60"/>
        <w:ind w:left="432"/>
      </w:pPr>
      <w:r>
        <w:rPr>
          <w:rFonts w:ascii="Calibri" w:hAnsi="Calibri"/>
          <w:sz w:val="22"/>
        </w:rPr>
        <w:t>Prior Conversations — any verbal discussions that preceded this notice (optional but strongly recommended)</w:t>
      </w:r>
    </w:p>
    <w:p>
      <w:pPr>
        <w:pStyle w:val="ListBullet"/>
        <w:spacing w:after="60"/>
        <w:ind w:left="432"/>
      </w:pPr>
      <w:r>
        <w:rPr>
          <w:rFonts w:ascii="Calibri" w:hAnsi="Calibri"/>
          <w:sz w:val="22"/>
        </w:rPr>
        <w:t>Prior Verbal Notices — any existing Level 1 notices on file for this employee (optional)</w:t>
      </w:r>
    </w:p>
    <w:p>
      <w:pPr>
        <w:pStyle w:val="Heading2"/>
        <w:spacing w:before="240" w:after="80"/>
      </w:pPr>
      <w:r>
        <w:rPr>
          <w:color w:val="7C3AED"/>
          <w:sz w:val="26"/>
        </w:rPr>
        <w:t>Step 4 — Confirm and Submit</w:t>
      </w:r>
    </w:p>
    <w:p>
      <w:pPr>
        <w:spacing w:after="120"/>
      </w:pPr>
      <w:r>
        <w:rPr>
          <w:rFonts w:ascii="Calibri" w:hAnsi="Calibri"/>
          <w:sz w:val="22"/>
        </w:rPr>
        <w:t>Before submitting, the District Manager must check a confirmation box acknowledging their responsibility to retain physical documentation of the incident. Once submitted:</w:t>
      </w:r>
    </w:p>
    <w:p>
      <w:pPr>
        <w:pStyle w:val="ListBullet"/>
        <w:spacing w:after="60"/>
        <w:ind w:left="432"/>
      </w:pPr>
      <w:r>
        <w:rPr>
          <w:rFonts w:ascii="Calibri" w:hAnsi="Calibri"/>
          <w:sz w:val="22"/>
        </w:rPr>
        <w:t>Verbal Notices are sent immediately to the employee via email. No approval is required.</w:t>
      </w:r>
    </w:p>
    <w:p>
      <w:pPr>
        <w:pStyle w:val="ListBullet"/>
        <w:spacing w:after="60"/>
        <w:ind w:left="432"/>
      </w:pPr>
      <w:r>
        <w:rPr>
          <w:rFonts w:ascii="Calibri" w:hAnsi="Calibri"/>
          <w:sz w:val="22"/>
        </w:rPr>
        <w:t>Written and Final Written Notices enter a Pending Approval status and are routed to the Sales Director and Owner for review.</w:t>
      </w:r>
    </w:p>
    <w:p>
      <w:pPr>
        <w:pStyle w:val="Heading1"/>
        <w:spacing w:before="240" w:after="80"/>
      </w:pPr>
      <w:r>
        <w:rPr>
          <w:color w:val="1E293B"/>
          <w:sz w:val="32"/>
        </w:rPr>
        <w:t>5. Approval Process (Written &amp; Final Written Notices)</w:t>
      </w:r>
    </w:p>
    <w:p>
      <w:pPr>
        <w:spacing w:after="120"/>
      </w:pPr>
      <w:r>
        <w:rPr>
          <w:rFonts w:ascii="Calibri" w:hAnsi="Calibri"/>
          <w:sz w:val="22"/>
        </w:rPr>
        <w:t>All Written (2nd Level) and Final Written (3rd Level) notices require approval before delivery to the employee. The approval workflow is as follows:</w:t>
      </w:r>
    </w:p>
    <w:p>
      <w:pPr>
        <w:pStyle w:val="ListNumber"/>
        <w:spacing w:after="80"/>
        <w:ind w:left="432"/>
      </w:pPr>
      <w:r>
        <w:rPr>
          <w:rFonts w:ascii="Calibri" w:hAnsi="Calibri"/>
          <w:sz w:val="22"/>
        </w:rPr>
        <w:t>The Sales Director and Owner assigned to the submitting DM's organization receive an immediate push notification and email upon submission.</w:t>
      </w:r>
    </w:p>
    <w:p>
      <w:pPr>
        <w:pStyle w:val="ListNumber"/>
        <w:spacing w:after="80"/>
        <w:ind w:left="432"/>
      </w:pPr>
      <w:r>
        <w:rPr>
          <w:rFonts w:ascii="Calibri" w:hAnsi="Calibri"/>
          <w:sz w:val="22"/>
        </w:rPr>
        <w:t>The approver has 72 hours to review and take action.</w:t>
      </w:r>
    </w:p>
    <w:p>
      <w:pPr>
        <w:pStyle w:val="ListNumber"/>
        <w:spacing w:after="80"/>
        <w:ind w:left="432"/>
      </w:pPr>
      <w:r>
        <w:rPr>
          <w:rFonts w:ascii="Calibri" w:hAnsi="Calibri"/>
          <w:sz w:val="22"/>
        </w:rPr>
        <w:t>If no action is taken within 72 hours, the Organization Owner receives an automatic escalation alert.</w:t>
      </w:r>
    </w:p>
    <w:p>
      <w:pPr>
        <w:pStyle w:val="ListNumber"/>
        <w:spacing w:after="80"/>
        <w:ind w:left="432"/>
      </w:pPr>
      <w:r>
        <w:rPr>
          <w:rFonts w:ascii="Calibri" w:hAnsi="Calibri"/>
          <w:sz w:val="22"/>
        </w:rPr>
        <w:t>The approver may Approve or Reject the notice.</w:t>
      </w:r>
    </w:p>
    <w:p>
      <w:pPr>
        <w:pStyle w:val="Heading3"/>
        <w:spacing w:before="240" w:after="80"/>
      </w:pPr>
      <w:r>
        <w:rPr>
          <w:color w:val="334155"/>
          <w:sz w:val="24"/>
        </w:rPr>
        <w:t>If Approved:</w:t>
      </w:r>
    </w:p>
    <w:p>
      <w:pPr>
        <w:spacing w:after="120"/>
      </w:pPr>
      <w:r>
        <w:rPr>
          <w:rFonts w:ascii="Calibri" w:hAnsi="Calibri"/>
          <w:sz w:val="22"/>
        </w:rPr>
        <w:t>A formal accountability document is emailed to the employee. The email includes a one-time, secure acknowledgment link. A retained copy is also sent to the submitting District Manager and, if applicable, the Sales Director.</w:t>
      </w:r>
    </w:p>
    <w:p>
      <w:pPr>
        <w:pStyle w:val="Heading3"/>
        <w:spacing w:before="240" w:after="80"/>
      </w:pPr>
      <w:r>
        <w:rPr>
          <w:color w:val="334155"/>
          <w:sz w:val="24"/>
        </w:rPr>
        <w:t>If Rejected:</w:t>
      </w:r>
    </w:p>
    <w:p>
      <w:pPr>
        <w:spacing w:after="120"/>
      </w:pPr>
      <w:r>
        <w:rPr>
          <w:rFonts w:ascii="Calibri" w:hAnsi="Calibri"/>
          <w:sz w:val="22"/>
        </w:rPr>
        <w:t>The approver's rejection and notes are recorded in the audit log. The original Written or Final Written notice is preserved as 'Rejected' and is not delivered to the employee. The system automatically converts the document to a Verbal (Level 1) notice under a new reference number, which is sent immediately. The submitting DM receives a push notification and email explaining the rejection.</w:t>
      </w:r>
    </w:p>
    <w:p>
      <w:pPr>
        <w:pStyle w:val="Heading1"/>
        <w:spacing w:before="240" w:after="80"/>
      </w:pPr>
      <w:r>
        <w:rPr>
          <w:color w:val="1E293B"/>
          <w:sz w:val="32"/>
        </w:rPr>
        <w:t>6. Employee Acknowledgment of Receipt</w:t>
      </w:r>
    </w:p>
    <w:p>
      <w:pPr>
        <w:spacing w:after="120"/>
      </w:pPr>
      <w:r>
        <w:rPr>
          <w:rFonts w:ascii="Calibri" w:hAnsi="Calibri"/>
          <w:sz w:val="22"/>
        </w:rPr>
        <w:t>Upon delivery of an accountability document, the employee is required to acknowledge receipt within 24 hours. This is completed via a secure link included in the delivery email. No login to any company system is required — the link works directly from the email.</w:t>
      </w:r>
    </w:p>
    <w:p>
      <w:pPr>
        <w:pStyle w:val="Heading3"/>
        <w:spacing w:before="240" w:after="80"/>
      </w:pPr>
      <w:r>
        <w:rPr>
          <w:color w:val="334155"/>
          <w:sz w:val="24"/>
        </w:rPr>
        <w:t>Important Clarification:</w:t>
      </w:r>
    </w:p>
    <w:p>
      <w:pPr>
        <w:spacing w:after="120"/>
      </w:pPr>
      <w:r>
        <w:rPr>
          <w:rFonts w:ascii="Calibri" w:hAnsi="Calibri"/>
          <w:sz w:val="22"/>
        </w:rPr>
        <w:t>Acknowledgment of receipt is not an admission of guilt or agreement with the contents of the document. It is solely a confirmation that the employee has received and read the notice.</w:t>
      </w:r>
    </w:p>
    <w:p>
      <w:pPr>
        <w:pStyle w:val="Heading3"/>
        <w:spacing w:before="240" w:after="80"/>
      </w:pPr>
      <w:r>
        <w:rPr>
          <w:color w:val="334155"/>
          <w:sz w:val="24"/>
        </w:rPr>
        <w:t>Failure to Acknowledge:</w:t>
      </w:r>
    </w:p>
    <w:p>
      <w:pPr>
        <w:spacing w:after="120"/>
      </w:pPr>
      <w:r>
        <w:rPr>
          <w:rFonts w:ascii="Calibri" w:hAnsi="Calibri"/>
          <w:sz w:val="22"/>
        </w:rPr>
        <w:t>If an employee fails to acknowledge within 24 hours, the submitting District Manager and Sales Director receive an automatic alert. Failure to acknowledge may result in administrative action, including restriction from returning to scheduled work duties until acknowledgment is completed.</w:t>
      </w:r>
    </w:p>
    <w:p>
      <w:pPr>
        <w:pStyle w:val="Heading1"/>
        <w:spacing w:before="240" w:after="80"/>
      </w:pPr>
      <w:r>
        <w:rPr>
          <w:color w:val="1E293B"/>
          <w:sz w:val="32"/>
        </w:rPr>
        <w:t>7. Records Retention &amp; Confidentiality</w:t>
      </w:r>
    </w:p>
    <w:p>
      <w:pPr>
        <w:spacing w:after="120"/>
      </w:pPr>
      <w:r>
        <w:rPr>
          <w:rFonts w:ascii="Calibri" w:hAnsi="Calibri"/>
          <w:sz w:val="22"/>
        </w:rPr>
        <w:t>All accountability records are maintained permanently in Field Manager Pro. Records are immutable — once created, they cannot be deleted or altered. This ensures a complete and legally defensible audit trail.</w:t>
      </w:r>
    </w:p>
    <w:p>
      <w:pPr>
        <w:spacing w:after="120"/>
      </w:pPr>
      <w:r>
        <w:rPr>
          <w:rFonts w:ascii="Calibri" w:hAnsi="Calibri"/>
          <w:sz w:val="22"/>
        </w:rPr>
        <w:t>Each document is assigned a unique Reference Number (format: ACC-YEAR-NNNN). This number should be referenced in any related HR correspondence or disciplinary proceedings.</w:t>
      </w:r>
    </w:p>
    <w:p>
      <w:pPr>
        <w:spacing w:after="120"/>
      </w:pPr>
      <w:r>
        <w:rPr>
          <w:rFonts w:ascii="Calibri" w:hAnsi="Calibri"/>
          <w:sz w:val="22"/>
        </w:rPr>
        <w:t>Accountability records are confidential and are accessible only to the submitting District Manager, the assigned Sales Director, the Organization Owner, and authorized Operations Managers. Employees do not have access to the management platform but will receive formal copies of documents issued to them.</w:t>
      </w:r>
    </w:p>
    <w:p>
      <w:pPr>
        <w:pStyle w:val="Heading1"/>
        <w:spacing w:before="240" w:after="80"/>
      </w:pPr>
      <w:r>
        <w:rPr>
          <w:color w:val="1E293B"/>
          <w:sz w:val="32"/>
        </w:rPr>
        <w:t>8. Employee Rights</w:t>
      </w:r>
    </w:p>
    <w:p>
      <w:pPr>
        <w:spacing w:after="120"/>
      </w:pPr>
      <w:r>
        <w:rPr>
          <w:rFonts w:ascii="Calibri" w:hAnsi="Calibri"/>
          <w:sz w:val="22"/>
        </w:rPr>
        <w:t>Employees subject to accountability documentation have the following rights:</w:t>
      </w:r>
    </w:p>
    <w:p>
      <w:pPr>
        <w:pStyle w:val="ListBullet"/>
        <w:spacing w:after="60"/>
        <w:ind w:left="432"/>
      </w:pPr>
      <w:r>
        <w:rPr>
          <w:rFonts w:ascii="Calibri" w:hAnsi="Calibri"/>
          <w:sz w:val="22"/>
        </w:rPr>
        <w:t>To receive a copy of any formal notice issued to them via email at the time of delivery.</w:t>
      </w:r>
    </w:p>
    <w:p>
      <w:pPr>
        <w:pStyle w:val="ListBullet"/>
        <w:spacing w:after="60"/>
        <w:ind w:left="432"/>
      </w:pPr>
      <w:r>
        <w:rPr>
          <w:rFonts w:ascii="Calibri" w:hAnsi="Calibri"/>
          <w:sz w:val="22"/>
        </w:rPr>
        <w:t>To acknowledge receipt without it being construed as an admission of guilt or agreement with the notice.</w:t>
      </w:r>
    </w:p>
    <w:p>
      <w:pPr>
        <w:pStyle w:val="ListBullet"/>
        <w:spacing w:after="60"/>
        <w:ind w:left="432"/>
      </w:pPr>
      <w:r>
        <w:rPr>
          <w:rFonts w:ascii="Calibri" w:hAnsi="Calibri"/>
          <w:sz w:val="22"/>
        </w:rPr>
        <w:t>To provide a written response or rebuttal to any notice, which will be maintained in their employment record upon request to the District Manager or HR representative.</w:t>
      </w:r>
    </w:p>
    <w:p>
      <w:pPr>
        <w:pStyle w:val="ListBullet"/>
        <w:spacing w:after="60"/>
        <w:ind w:left="432"/>
      </w:pPr>
      <w:r>
        <w:rPr>
          <w:rFonts w:ascii="Calibri" w:hAnsi="Calibri"/>
          <w:sz w:val="22"/>
        </w:rPr>
        <w:t>To be treated with dignity and respect throughout the disciplinary process.</w:t>
      </w:r>
    </w:p>
    <w:p>
      <w:pPr>
        <w:pStyle w:val="Heading1"/>
        <w:spacing w:before="240" w:after="80"/>
      </w:pPr>
      <w:r>
        <w:rPr>
          <w:color w:val="1E293B"/>
          <w:sz w:val="32"/>
        </w:rPr>
        <w:t>9. District Manager Responsibilities</w:t>
      </w:r>
    </w:p>
    <w:p>
      <w:pPr>
        <w:pStyle w:val="ListBullet"/>
        <w:spacing w:after="60"/>
        <w:ind w:left="432"/>
      </w:pPr>
      <w:r>
        <w:rPr>
          <w:rFonts w:ascii="Calibri" w:hAnsi="Calibri"/>
          <w:sz w:val="22"/>
        </w:rPr>
        <w:t>Document incidents accurately, specifically, and factually using the FMP platform.</w:t>
      </w:r>
    </w:p>
    <w:p>
      <w:pPr>
        <w:pStyle w:val="ListBullet"/>
        <w:spacing w:after="60"/>
        <w:ind w:left="432"/>
      </w:pPr>
      <w:r>
        <w:rPr>
          <w:rFonts w:ascii="Calibri" w:hAnsi="Calibri"/>
          <w:sz w:val="22"/>
        </w:rPr>
        <w:t>Select the appropriate notice level based on the severity and frequency of the issue.</w:t>
      </w:r>
    </w:p>
    <w:p>
      <w:pPr>
        <w:pStyle w:val="ListBullet"/>
        <w:spacing w:after="60"/>
        <w:ind w:left="432"/>
      </w:pPr>
      <w:r>
        <w:rPr>
          <w:rFonts w:ascii="Calibri" w:hAnsi="Calibri"/>
          <w:sz w:val="22"/>
        </w:rPr>
        <w:t>Retain all physical supporting documentation (written statements, photographs, incident reports) in a secure file.</w:t>
      </w:r>
    </w:p>
    <w:p>
      <w:pPr>
        <w:pStyle w:val="ListBullet"/>
        <w:spacing w:after="60"/>
        <w:ind w:left="432"/>
      </w:pPr>
      <w:r>
        <w:rPr>
          <w:rFonts w:ascii="Calibri" w:hAnsi="Calibri"/>
          <w:sz w:val="22"/>
        </w:rPr>
        <w:t>Not discuss pending Written or Final Written notices with the employee prior to approval and formal delivery.</w:t>
      </w:r>
    </w:p>
    <w:p>
      <w:pPr>
        <w:pStyle w:val="ListBullet"/>
        <w:spacing w:after="60"/>
        <w:ind w:left="432"/>
      </w:pPr>
      <w:r>
        <w:rPr>
          <w:rFonts w:ascii="Calibri" w:hAnsi="Calibri"/>
          <w:sz w:val="22"/>
        </w:rPr>
        <w:t>Follow up on acknowledgment status and escalate appropriately if an employee fails to acknowledge.</w:t>
      </w:r>
    </w:p>
    <w:p>
      <w:pPr>
        <w:pStyle w:val="ListBullet"/>
        <w:spacing w:after="60"/>
        <w:ind w:left="432"/>
      </w:pPr>
      <w:r>
        <w:rPr>
          <w:rFonts w:ascii="Calibri" w:hAnsi="Calibri"/>
          <w:sz w:val="22"/>
        </w:rPr>
        <w:t>Treat all accountability records as strictly confidential.</w:t>
      </w:r>
    </w:p>
    <w:p>
      <w:pPr>
        <w:pStyle w:val="Heading1"/>
        <w:spacing w:before="240" w:after="80"/>
      </w:pPr>
      <w:r>
        <w:rPr>
          <w:color w:val="1E293B"/>
          <w:sz w:val="32"/>
        </w:rPr>
        <w:t>10. Policy Administration</w:t>
      </w:r>
    </w:p>
    <w:p>
      <w:pPr>
        <w:spacing w:after="120"/>
      </w:pPr>
      <w:r>
        <w:rPr>
          <w:rFonts w:ascii="Calibri" w:hAnsi="Calibri"/>
          <w:sz w:val="22"/>
        </w:rPr>
        <w:t>This policy is administered by Wireless Game Group LLC ownership and the Sales Director team. Questions regarding this policy or the documentation process should be directed to your Sales Director or the Field Manager Pro support team at fieldmanagerpro.app.</w:t>
      </w:r>
    </w:p>
    <w:p>
      <w:pPr>
        <w:spacing w:after="120"/>
      </w:pPr>
      <w:r>
        <w:rPr>
          <w:rFonts w:ascii="Calibri" w:hAnsi="Calibri"/>
          <w:sz w:val="22"/>
        </w:rPr>
        <w:t>This policy is effective as of May 2026 and supersedes any previously informal accountability or disciplinary documentation practices.</w:t>
      </w:r>
    </w:p>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sz w:val="20"/>
              </w:rPr>
              <w:br/>
              <w:br/>
              <w:t>Employee Name (Print)</w:t>
            </w:r>
          </w:p>
        </w:tc>
        <w:tc>
          <w:tcPr>
            <w:tcW w:type="dxa" w:w="4320"/>
          </w:tcPr>
          <w:p>
            <w:r>
              <w:rPr>
                <w:rFonts w:ascii="Calibri" w:hAnsi="Calibri"/>
                <w:sz w:val="20"/>
              </w:rPr>
              <w:br/>
              <w:br/>
              <w:t>Date</w:t>
            </w:r>
          </w:p>
        </w:tc>
      </w:tr>
      <w:tr>
        <w:tc>
          <w:tcPr>
            <w:tcW w:type="dxa" w:w="4320"/>
          </w:tcPr>
          <w:p>
            <w:r>
              <w:rPr>
                <w:rFonts w:ascii="Calibri" w:hAnsi="Calibri"/>
                <w:sz w:val="20"/>
              </w:rPr>
              <w:br/>
              <w:br/>
              <w:t>Employee Signature</w:t>
            </w:r>
          </w:p>
        </w:tc>
        <w:tc>
          <w:tcPr>
            <w:tcW w:type="dxa" w:w="4320"/>
          </w:tcPr>
          <w:p>
            <w:r>
              <w:rPr>
                <w:rFonts w:ascii="Calibri" w:hAnsi="Calibri"/>
                <w:sz w:val="20"/>
              </w:rPr>
              <w:br/>
              <w:br/>
            </w:r>
          </w:p>
        </w:tc>
      </w:tr>
      <w:tr>
        <w:tc>
          <w:tcPr>
            <w:tcW w:type="dxa" w:w="4320"/>
          </w:tcPr>
          <w:p>
            <w:r>
              <w:rPr>
                <w:rFonts w:ascii="Calibri" w:hAnsi="Calibri"/>
                <w:sz w:val="20"/>
              </w:rPr>
              <w:br/>
              <w:br/>
              <w:t>District Manager Signature</w:t>
            </w:r>
          </w:p>
        </w:tc>
        <w:tc>
          <w:tcPr>
            <w:tcW w:type="dxa" w:w="4320"/>
          </w:tcPr>
          <w:p>
            <w:r>
              <w:rPr>
                <w:rFonts w:ascii="Calibri" w:hAnsi="Calibri"/>
                <w:sz w:val="20"/>
              </w:rPr>
              <w:br/>
              <w:br/>
              <w:t>Date</w:t>
            </w:r>
          </w:p>
        </w:tc>
      </w:tr>
    </w:tbl>
    <w:p/>
    <w:p>
      <w:pPr>
        <w:jc w:val="center"/>
      </w:pPr>
      <w:r>
        <w:rPr>
          <w:rFonts w:ascii="Calibri" w:hAnsi="Calibri"/>
          <w:color w:val="6B7280"/>
          <w:sz w:val="16"/>
        </w:rPr>
        <w:t>Wireless Game Group LLC  |  Powered by Field Manager Pro  |  fieldmanagerpro.app</w:t>
        <w:br/>
        <w:t>This document is intended for internal use. All records are maintained in accordance with applicable employment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