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1EF6" w14:textId="77777777" w:rsidR="00A57B3D" w:rsidRPr="00C37A89" w:rsidRDefault="00000000" w:rsidP="00C37A89">
      <w:pPr>
        <w:pStyle w:val="Heading1"/>
        <w:spacing w:before="0" w:after="0" w:line="275" w:lineRule="auto"/>
        <w:jc w:val="center"/>
        <w:rPr>
          <w:rFonts w:ascii="Times New Roman" w:eastAsia="Google Sans" w:hAnsi="Times New Roman" w:cs="Times New Roman"/>
          <w:color w:val="EE0000"/>
          <w:sz w:val="44"/>
          <w:szCs w:val="44"/>
        </w:rPr>
      </w:pPr>
      <w:r w:rsidRPr="00C37A89">
        <w:rPr>
          <w:rFonts w:ascii="Times New Roman" w:eastAsia="Google Sans" w:hAnsi="Times New Roman" w:cs="Times New Roman"/>
          <w:color w:val="EE0000"/>
          <w:sz w:val="44"/>
          <w:szCs w:val="44"/>
        </w:rPr>
        <w:t>Sales Forecasting Project - Business Report</w:t>
      </w:r>
    </w:p>
    <w:p w14:paraId="5153830E" w14:textId="77777777" w:rsidR="00A57B3D" w:rsidRPr="00C37A89" w:rsidRDefault="00000000" w:rsidP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Times New Roman" w:eastAsia="Google Sans" w:hAnsi="Times New Roman" w:cs="Times New Roman"/>
          <w:b/>
          <w:bCs/>
          <w:color w:val="1F1F1F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Superstore Sales Dataset | Week 3 &amp; 4 Internship Project</w:t>
      </w:r>
    </w:p>
    <w:p w14:paraId="0BD79910" w14:textId="77777777" w:rsidR="00A57B3D" w:rsidRPr="00C37A89" w:rsidRDefault="00A57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</w:p>
    <w:p w14:paraId="4F465EDF" w14:textId="77777777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Executive Summary</w:t>
      </w:r>
    </w:p>
    <w:p w14:paraId="59B25E30" w14:textId="77777777" w:rsidR="00A57B3D" w:rsidRPr="00C37A8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 xml:space="preserve">This report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analyzes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four years of Superstore sales data to identify temporal trends, construct predictive models, isolate statistical anomalies, and segment products by demand predictability. Total aggregate sales across the four-year period reached approximately $2.26 million. The data exhibits a consistent upward trajectory alongside pronounced seasonal patterns, characterized by major spikes every November and December.</w:t>
      </w:r>
    </w:p>
    <w:p w14:paraId="2AD434BA" w14:textId="77777777" w:rsidR="00A57B3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 xml:space="preserve">To optimize operational planning, three forecasting methodologies were evaluated, eleven anomalous sales weeks were identified, and the product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catalog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was classified into four distinct demand segments to replace uniform inventory strategies with tailored stocking protocols.</w:t>
      </w:r>
    </w:p>
    <w:p w14:paraId="69D9A179" w14:textId="77777777" w:rsidR="00C37A89" w:rsidRPr="00C37A89" w:rsidRDefault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</w:p>
    <w:p w14:paraId="29F77C84" w14:textId="77777777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Key Data Insights</w:t>
      </w:r>
    </w:p>
    <w:p w14:paraId="1670AF98" w14:textId="77777777" w:rsidR="00A57B3D" w:rsidRPr="00C37A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Revenue Distribution: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Technology generated the highest total revenue ($827,456), followed closely by Furniture ($728,659) and Office Supplies ($705,422).</w:t>
      </w:r>
    </w:p>
    <w:p w14:paraId="7C0D1350" w14:textId="77777777" w:rsidR="00A57B3D" w:rsidRPr="00C37A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Seasonality &amp; Trends: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A robust year-over-year upward trend is present. Q4 (October–December) consistently represents the highest-earning quarter of each fiscal year.</w:t>
      </w:r>
    </w:p>
    <w:p w14:paraId="1CAACDA4" w14:textId="77777777" w:rsidR="00A57B3D" w:rsidRPr="00C37A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Model Evaluation: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SARIMA, Prophet, and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XGBoost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models were trained and validated against the final three months of known historical data.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XGBoost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demonstrated superior accuracy, yielding a Mean Absolute Percentage Error (MAPE) of approximately 19%, compared to roughly 22% for both SARIMA and Prophet. Consequently,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XGBoost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was selected as the primary forecasting engine.</w:t>
      </w:r>
    </w:p>
    <w:p w14:paraId="5F9FBD81" w14:textId="77777777" w:rsidR="00A57B3D" w:rsidRPr="00C37A8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Anomaly Detection: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Two statistical anomaly-detection frameworks identified eleven weeks with highly irregular sales volumes. While both methodologies aligned on major volume spikes, minor deviations occurred due to differing mathematical definitions of variance.</w:t>
      </w:r>
    </w:p>
    <w:p w14:paraId="4618C8BE" w14:textId="77777777" w:rsidR="00C37A89" w:rsidRPr="00C37A89" w:rsidRDefault="00C37A89" w:rsidP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</w:p>
    <w:p w14:paraId="0E35EF29" w14:textId="77777777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Three-Month Sales Forecast</w:t>
      </w:r>
    </w:p>
    <w:p w14:paraId="46249D95" w14:textId="77777777" w:rsidR="00A57B3D" w:rsidRPr="00C37A8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 xml:space="preserve">The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XGBoost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model projects the following sales volumes for the upcoming quarter. The provided ranges reflect the historical prediction intervals established during model validation:</w:t>
      </w:r>
    </w:p>
    <w:p w14:paraId="05BE44FC" w14:textId="77777777" w:rsidR="00A57B3D" w:rsidRPr="00C37A89" w:rsidRDefault="00A57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3158"/>
        <w:gridCol w:w="3159"/>
        <w:gridCol w:w="3159"/>
      </w:tblGrid>
      <w:tr w:rsidR="00C37A89" w14:paraId="7F808D14" w14:textId="77777777" w:rsidTr="00352F55">
        <w:trPr>
          <w:trHeight w:val="627"/>
        </w:trPr>
        <w:tc>
          <w:tcPr>
            <w:tcW w:w="3158" w:type="dxa"/>
          </w:tcPr>
          <w:p w14:paraId="38BE218A" w14:textId="2C40B87B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Month</w:t>
            </w:r>
          </w:p>
        </w:tc>
        <w:tc>
          <w:tcPr>
            <w:tcW w:w="3159" w:type="dxa"/>
          </w:tcPr>
          <w:p w14:paraId="71197216" w14:textId="49F2180E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Predicted Sales</w:t>
            </w:r>
          </w:p>
        </w:tc>
        <w:tc>
          <w:tcPr>
            <w:tcW w:w="3159" w:type="dxa"/>
          </w:tcPr>
          <w:p w14:paraId="783AB6B7" w14:textId="6791B4F7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Forecast Range</w:t>
            </w:r>
          </w:p>
        </w:tc>
      </w:tr>
      <w:tr w:rsidR="00C37A89" w14:paraId="4B1FAD77" w14:textId="77777777" w:rsidTr="00352F55">
        <w:trPr>
          <w:trHeight w:val="627"/>
        </w:trPr>
        <w:tc>
          <w:tcPr>
            <w:tcW w:w="3158" w:type="dxa"/>
          </w:tcPr>
          <w:p w14:paraId="01B12930" w14:textId="5BD84670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January 2019</w:t>
            </w:r>
          </w:p>
        </w:tc>
        <w:tc>
          <w:tcPr>
            <w:tcW w:w="3159" w:type="dxa"/>
          </w:tcPr>
          <w:p w14:paraId="0485BFBA" w14:textId="1313274F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</w:rPr>
              <w:t>~$45,200</w:t>
            </w:r>
          </w:p>
        </w:tc>
        <w:tc>
          <w:tcPr>
            <w:tcW w:w="3159" w:type="dxa"/>
          </w:tcPr>
          <w:p w14:paraId="1A18F946" w14:textId="60D7B566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</w:rPr>
              <w:t>$24,200 – $66,100</w:t>
            </w:r>
          </w:p>
        </w:tc>
      </w:tr>
      <w:tr w:rsidR="00C37A89" w14:paraId="77D24B9A" w14:textId="77777777" w:rsidTr="00352F55">
        <w:trPr>
          <w:trHeight w:val="627"/>
        </w:trPr>
        <w:tc>
          <w:tcPr>
            <w:tcW w:w="3158" w:type="dxa"/>
          </w:tcPr>
          <w:p w14:paraId="194E7DEB" w14:textId="4E56F0A2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February 2019</w:t>
            </w:r>
          </w:p>
        </w:tc>
        <w:tc>
          <w:tcPr>
            <w:tcW w:w="3159" w:type="dxa"/>
          </w:tcPr>
          <w:p w14:paraId="73416DB2" w14:textId="785A43E0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</w:rPr>
              <w:t>~$24,200</w:t>
            </w:r>
          </w:p>
        </w:tc>
        <w:tc>
          <w:tcPr>
            <w:tcW w:w="3159" w:type="dxa"/>
          </w:tcPr>
          <w:p w14:paraId="301A30E3" w14:textId="39EADE17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</w:rPr>
              <w:t>$3,300 – $45,200</w:t>
            </w:r>
          </w:p>
        </w:tc>
      </w:tr>
      <w:tr w:rsidR="00C37A89" w14:paraId="3F3628E0" w14:textId="77777777" w:rsidTr="00352F55">
        <w:trPr>
          <w:trHeight w:val="627"/>
        </w:trPr>
        <w:tc>
          <w:tcPr>
            <w:tcW w:w="3158" w:type="dxa"/>
          </w:tcPr>
          <w:p w14:paraId="59AB5CAA" w14:textId="0256D99F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March 2019</w:t>
            </w:r>
          </w:p>
        </w:tc>
        <w:tc>
          <w:tcPr>
            <w:tcW w:w="3159" w:type="dxa"/>
          </w:tcPr>
          <w:p w14:paraId="1E0EBA34" w14:textId="58E76441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</w:rPr>
              <w:t>~$56,500</w:t>
            </w:r>
          </w:p>
        </w:tc>
        <w:tc>
          <w:tcPr>
            <w:tcW w:w="3159" w:type="dxa"/>
          </w:tcPr>
          <w:p w14:paraId="360A2B91" w14:textId="3FFDF3FF" w:rsidR="00C37A89" w:rsidRDefault="00C37A89" w:rsidP="00C37A89">
            <w:pP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</w:rPr>
              <w:t>$35,500 – $77,500</w:t>
            </w:r>
          </w:p>
        </w:tc>
      </w:tr>
    </w:tbl>
    <w:p w14:paraId="000985A1" w14:textId="77777777" w:rsidR="00C37A89" w:rsidRDefault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</w:p>
    <w:p w14:paraId="21B77D10" w14:textId="7A99F99A" w:rsidR="00A57B3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Trend Analysis: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The forecast indicates sustaining momentum in January, followed by a sharp contraction in February that aligns with historical post-holiday slowdowns. Sales are projected to rebound in March. This cyclical trajectory applies across all regions and product categories. Proportionally, Office Supplies exhibits the highest resilience during the post-holiday contraction, whereas Furniture and the East region experience the sharpest declines.</w:t>
      </w:r>
    </w:p>
    <w:p w14:paraId="6856B01A" w14:textId="29958909" w:rsidR="00C37A89" w:rsidRPr="00C37A89" w:rsidRDefault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</w:p>
    <w:p w14:paraId="17458883" w14:textId="77777777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Primary Sales Anomalies</w:t>
      </w:r>
    </w:p>
    <w:p w14:paraId="6192B7D2" w14:textId="77777777" w:rsidR="00A57B3D" w:rsidRPr="00C37A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Early December 2018 (~$36,000):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A significant single-week spike corresponding to Cyber Monday and early holiday promotional surges.</w:t>
      </w:r>
    </w:p>
    <w:p w14:paraId="54A2CFE6" w14:textId="77777777" w:rsidR="00A57B3D" w:rsidRPr="00C37A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Late March 2015 (~$37,700):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The largest single-week volume spike in the dataset, likely indicating concurrent bulk corporate procurement rather than a structural shift in baseline consumer demand.</w:t>
      </w:r>
    </w:p>
    <w:p w14:paraId="050E97E1" w14:textId="77777777" w:rsidR="00A57B3D" w:rsidRPr="00C37A8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First Week of January 2015 (~$300):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An extreme downward anomaly reflecting standard post-holiday retail stagnation compounded by fewer operational business days.</w:t>
      </w:r>
    </w:p>
    <w:p w14:paraId="2A6B0B96" w14:textId="77777777" w:rsidR="00C37A89" w:rsidRPr="00C37A89" w:rsidRDefault="00C37A89" w:rsidP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</w:p>
    <w:p w14:paraId="1BE546BE" w14:textId="77777777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Demand Segmentation &amp; Inventory Strategy</w:t>
      </w:r>
    </w:p>
    <w:p w14:paraId="45D79CBF" w14:textId="77777777" w:rsidR="00A57B3D" w:rsidRPr="00C37A8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The 17 product sub-categories were clustered into four distinct segments based on sales volume, compound growth rates, and monthly demand volatility:</w:t>
      </w:r>
    </w:p>
    <w:p w14:paraId="7BA52E4A" w14:textId="77777777" w:rsidR="00A57B3D" w:rsidRPr="00C37A89" w:rsidRDefault="00A57B3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</w:p>
    <w:tbl>
      <w:tblPr>
        <w:tblStyle w:val="TableGrid"/>
        <w:tblW w:w="9467" w:type="dxa"/>
        <w:tblLook w:val="04A0" w:firstRow="1" w:lastRow="0" w:firstColumn="1" w:lastColumn="0" w:noHBand="0" w:noVBand="1"/>
      </w:tblPr>
      <w:tblGrid>
        <w:gridCol w:w="3155"/>
        <w:gridCol w:w="3156"/>
        <w:gridCol w:w="3156"/>
      </w:tblGrid>
      <w:tr w:rsidR="00C37A89" w14:paraId="4D47FA1C" w14:textId="77777777" w:rsidTr="00352F55">
        <w:trPr>
          <w:trHeight w:val="621"/>
        </w:trPr>
        <w:tc>
          <w:tcPr>
            <w:tcW w:w="3155" w:type="dxa"/>
          </w:tcPr>
          <w:p w14:paraId="01660CAE" w14:textId="3568949B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  <w:sz w:val="22"/>
                <w:szCs w:val="22"/>
              </w:rPr>
              <w:t>Cluster Segments</w:t>
            </w:r>
          </w:p>
        </w:tc>
        <w:tc>
          <w:tcPr>
            <w:tcW w:w="3156" w:type="dxa"/>
          </w:tcPr>
          <w:p w14:paraId="43011127" w14:textId="0819DDD9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  <w:sz w:val="22"/>
                <w:szCs w:val="22"/>
              </w:rPr>
              <w:t>Sub-Categories</w:t>
            </w:r>
          </w:p>
        </w:tc>
        <w:tc>
          <w:tcPr>
            <w:tcW w:w="3156" w:type="dxa"/>
          </w:tcPr>
          <w:p w14:paraId="1AFBE9E0" w14:textId="636071A5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color w:val="1F1F1F"/>
                <w:sz w:val="22"/>
                <w:szCs w:val="22"/>
              </w:rPr>
              <w:t>Strategic Action Plan</w:t>
            </w:r>
          </w:p>
        </w:tc>
      </w:tr>
      <w:tr w:rsidR="00C37A89" w14:paraId="5DB77EBF" w14:textId="77777777" w:rsidTr="00352F55">
        <w:trPr>
          <w:trHeight w:val="1299"/>
        </w:trPr>
        <w:tc>
          <w:tcPr>
            <w:tcW w:w="3155" w:type="dxa"/>
          </w:tcPr>
          <w:p w14:paraId="5D52E5CD" w14:textId="05F4C067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High Volume, Stable Demand</w:t>
            </w:r>
          </w:p>
        </w:tc>
        <w:tc>
          <w:tcPr>
            <w:tcW w:w="3156" w:type="dxa"/>
          </w:tcPr>
          <w:p w14:paraId="5046DD50" w14:textId="1985F3C1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Accessories, Binders, Chairs, Phones, Storage, Tables</w:t>
            </w:r>
          </w:p>
        </w:tc>
        <w:tc>
          <w:tcPr>
            <w:tcW w:w="3156" w:type="dxa"/>
          </w:tcPr>
          <w:p w14:paraId="49A518DC" w14:textId="42E4FFC4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Maintain standardized, automated replenishment schedules.</w:t>
            </w:r>
          </w:p>
        </w:tc>
      </w:tr>
      <w:tr w:rsidR="00C37A89" w14:paraId="0F1D90A8" w14:textId="77777777" w:rsidTr="00352F55">
        <w:trPr>
          <w:trHeight w:val="960"/>
        </w:trPr>
        <w:tc>
          <w:tcPr>
            <w:tcW w:w="3155" w:type="dxa"/>
          </w:tcPr>
          <w:p w14:paraId="63864285" w14:textId="6634D512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Growing Demand</w:t>
            </w:r>
          </w:p>
        </w:tc>
        <w:tc>
          <w:tcPr>
            <w:tcW w:w="3156" w:type="dxa"/>
          </w:tcPr>
          <w:p w14:paraId="30B2E00E" w14:textId="13DF0FB3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Copiers</w:t>
            </w:r>
          </w:p>
        </w:tc>
        <w:tc>
          <w:tcPr>
            <w:tcW w:w="3156" w:type="dxa"/>
          </w:tcPr>
          <w:p w14:paraId="594A369A" w14:textId="6F69F8AD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Increase safety stock levels and increase review frequency.</w:t>
            </w:r>
          </w:p>
        </w:tc>
      </w:tr>
      <w:tr w:rsidR="00C37A89" w14:paraId="3F2DBB86" w14:textId="77777777" w:rsidTr="00352F55">
        <w:trPr>
          <w:trHeight w:val="1652"/>
        </w:trPr>
        <w:tc>
          <w:tcPr>
            <w:tcW w:w="3155" w:type="dxa"/>
          </w:tcPr>
          <w:p w14:paraId="7C434748" w14:textId="4F75FCF5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Low Volume, High Volatility</w:t>
            </w:r>
          </w:p>
        </w:tc>
        <w:tc>
          <w:tcPr>
            <w:tcW w:w="3156" w:type="dxa"/>
          </w:tcPr>
          <w:p w14:paraId="3C129595" w14:textId="7C76236F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Appliances, Art, Bookcases, Envelopes, Fasteners, Furnishings, Labels, Paper, Supplies</w:t>
            </w:r>
          </w:p>
        </w:tc>
        <w:tc>
          <w:tcPr>
            <w:tcW w:w="3156" w:type="dxa"/>
          </w:tcPr>
          <w:p w14:paraId="30015BDB" w14:textId="5B3A50C2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Implement agile, high-frequency, low-volume restocks to minimize holding costs.</w:t>
            </w:r>
          </w:p>
        </w:tc>
      </w:tr>
      <w:tr w:rsidR="00C37A89" w14:paraId="0DD52482" w14:textId="77777777" w:rsidTr="00352F55">
        <w:trPr>
          <w:trHeight w:val="1299"/>
        </w:trPr>
        <w:tc>
          <w:tcPr>
            <w:tcW w:w="3155" w:type="dxa"/>
          </w:tcPr>
          <w:p w14:paraId="587FCAC9" w14:textId="673910FE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Declining Demand</w:t>
            </w:r>
          </w:p>
        </w:tc>
        <w:tc>
          <w:tcPr>
            <w:tcW w:w="3156" w:type="dxa"/>
          </w:tcPr>
          <w:p w14:paraId="39936952" w14:textId="134DDD68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Machines</w:t>
            </w:r>
          </w:p>
        </w:tc>
        <w:tc>
          <w:tcPr>
            <w:tcW w:w="3156" w:type="dxa"/>
          </w:tcPr>
          <w:p w14:paraId="673C42A2" w14:textId="2D339F4C" w:rsidR="00C37A89" w:rsidRPr="00C37A89" w:rsidRDefault="00C37A89" w:rsidP="00C37A89">
            <w:pPr>
              <w:pStyle w:val="Heading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5" w:lineRule="auto"/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</w:pPr>
            <w:r w:rsidRPr="00C37A89">
              <w:rPr>
                <w:rFonts w:ascii="Times New Roman" w:eastAsia="Google Sans" w:hAnsi="Times New Roman" w:cs="Times New Roman"/>
                <w:b w:val="0"/>
                <w:bCs w:val="0"/>
                <w:color w:val="1F1F1F"/>
                <w:sz w:val="22"/>
                <w:szCs w:val="22"/>
              </w:rPr>
              <w:t>Systematically reduce purchase orders; initiate clearance strategies for existing stock.</w:t>
            </w:r>
          </w:p>
        </w:tc>
      </w:tr>
    </w:tbl>
    <w:p w14:paraId="72F4E9A5" w14:textId="77777777" w:rsidR="00C37A89" w:rsidRDefault="00C37A89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</w:p>
    <w:p w14:paraId="7386FCE9" w14:textId="0DD301B3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lastRenderedPageBreak/>
        <w:t>Strategic Recommendations</w:t>
      </w:r>
    </w:p>
    <w:p w14:paraId="1CA15F06" w14:textId="77777777" w:rsidR="00A57B3D" w:rsidRPr="00C37A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Proactive Supply Chain Scaling: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Allocate additional logistics capacity, inventory reserves, and seasonal staffing in Q3 to support the verified November–December demand surge.</w:t>
      </w:r>
    </w:p>
    <w:p w14:paraId="75C71DB4" w14:textId="77777777" w:rsidR="00A57B3D" w:rsidRPr="00C37A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Stockout Prevention for Core Revenue Drivers: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Enforce strict inventory floors on the "High Volume, Stable Demand" cluster. Because these categories drive the highest volume with maximum predictability, stockouts in this segment carry the highest financial penalty.</w:t>
      </w:r>
    </w:p>
    <w:p w14:paraId="72CB68E4" w14:textId="77777777" w:rsidR="00A57B3D" w:rsidRPr="00C37A8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C37A89">
        <w:rPr>
          <w:rFonts w:ascii="Times New Roman" w:eastAsia="Google Sans" w:hAnsi="Times New Roman" w:cs="Times New Roman"/>
          <w:b/>
          <w:bCs/>
          <w:color w:val="1F1F1F"/>
        </w:rPr>
        <w:t>Rationalize Negative-Growth Portfolios:</w:t>
      </w:r>
      <w:r w:rsidRPr="00C37A89">
        <w:rPr>
          <w:rFonts w:ascii="Times New Roman" w:eastAsia="Google Sans" w:hAnsi="Times New Roman" w:cs="Times New Roman"/>
          <w:color w:val="1F1F1F"/>
        </w:rPr>
        <w:t xml:space="preserve"> Immediately decrease procurement for the Machines sub-category. Its classification within the "Declining Demand" cluster and negative growth rate indicate that historical replenishment levels will lead to overstocking and capital stagnation.</w:t>
      </w:r>
    </w:p>
    <w:p w14:paraId="6E581E56" w14:textId="77777777" w:rsidR="00C37A89" w:rsidRPr="00C37A89" w:rsidRDefault="00C37A89" w:rsidP="00C37A8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</w:p>
    <w:p w14:paraId="0083DF41" w14:textId="77777777" w:rsidR="00A57B3D" w:rsidRPr="00C37A89" w:rsidRDefault="00000000">
      <w:pPr>
        <w:pStyle w:val="Heading3"/>
        <w:spacing w:before="0"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Model Limitations and Risk Mitigation</w:t>
      </w:r>
    </w:p>
    <w:p w14:paraId="5E186DCB" w14:textId="77777777" w:rsidR="00A57B3D" w:rsidRPr="00C37A8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>This forecasting framework operates on the fundamental assumption that future market conditions will mirror the four-year historical baseline. The models cannot inherently anticipate exogenous shocks, such as market entrants, aggressive competitor pricing, targeted promotional campaigns, or systemic supply chain disruptions.</w:t>
      </w:r>
    </w:p>
    <w:p w14:paraId="6A38F2E4" w14:textId="77777777" w:rsidR="00A57B3D" w:rsidRPr="00C37A8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Google Sans" w:hAnsi="Times New Roman" w:cs="Times New Roman"/>
          <w:color w:val="1F1F1F"/>
        </w:rPr>
      </w:pPr>
      <w:r w:rsidRPr="00C37A89">
        <w:rPr>
          <w:rFonts w:ascii="Times New Roman" w:eastAsia="Google Sans" w:hAnsi="Times New Roman" w:cs="Times New Roman"/>
          <w:color w:val="1F1F1F"/>
        </w:rPr>
        <w:t xml:space="preserve">Furthermore, iterative </w:t>
      </w:r>
      <w:proofErr w:type="spellStart"/>
      <w:r w:rsidRPr="00C37A89">
        <w:rPr>
          <w:rFonts w:ascii="Times New Roman" w:eastAsia="Google Sans" w:hAnsi="Times New Roman" w:cs="Times New Roman"/>
          <w:color w:val="1F1F1F"/>
        </w:rPr>
        <w:t>XGBoost</w:t>
      </w:r>
      <w:proofErr w:type="spellEnd"/>
      <w:r w:rsidRPr="00C37A89">
        <w:rPr>
          <w:rFonts w:ascii="Times New Roman" w:eastAsia="Google Sans" w:hAnsi="Times New Roman" w:cs="Times New Roman"/>
          <w:color w:val="1F1F1F"/>
        </w:rPr>
        <w:t xml:space="preserve"> projections are subject to error compounding over extended horizons. This forecast should serve as a statistical baseline for cross-referencing monthly performance, rather than an absolute operational blueprint.</w:t>
      </w:r>
    </w:p>
    <w:sectPr w:rsidR="00A57B3D" w:rsidRPr="00C37A89">
      <w:headerReference w:type="default" r:id="rId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C8969" w14:textId="77777777" w:rsidR="001D38C2" w:rsidRDefault="001D38C2">
      <w:r>
        <w:separator/>
      </w:r>
    </w:p>
  </w:endnote>
  <w:endnote w:type="continuationSeparator" w:id="0">
    <w:p w14:paraId="5AF9DA3F" w14:textId="77777777" w:rsidR="001D38C2" w:rsidRDefault="001D3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7F8443-324E-4311-867A-447AF81327E9}"/>
  </w:font>
  <w:font w:name="Google Sans">
    <w:charset w:val="00"/>
    <w:family w:val="auto"/>
    <w:pitch w:val="default"/>
    <w:embedRegular r:id="rId2" w:fontKey="{EFE8F1B3-6840-4354-8CB0-278E2BF88245}"/>
    <w:embedBold r:id="rId3" w:fontKey="{464195D4-F12D-4666-940D-6472DFF906A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A48D686-8FD5-412B-BA77-FD408442C0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F5174B-911C-483C-875B-FC8ABDD0D0D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15CDE" w14:textId="77777777" w:rsidR="001D38C2" w:rsidRDefault="001D38C2">
      <w:r>
        <w:separator/>
      </w:r>
    </w:p>
  </w:footnote>
  <w:footnote w:type="continuationSeparator" w:id="0">
    <w:p w14:paraId="064C8CD5" w14:textId="77777777" w:rsidR="001D38C2" w:rsidRDefault="001D3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FFBA" w14:textId="77777777" w:rsidR="00A57B3D" w:rsidRDefault="00A57B3D"/>
  <w:p w14:paraId="2AB090AE" w14:textId="77777777" w:rsidR="00C37A89" w:rsidRDefault="00C37A89"/>
  <w:p w14:paraId="0B2FF17B" w14:textId="15BF3C69" w:rsidR="00C37A89" w:rsidRPr="00C37A89" w:rsidRDefault="00C37A89" w:rsidP="00C37A89">
    <w:pPr>
      <w:pBdr>
        <w:top w:val="nil"/>
        <w:left w:val="nil"/>
        <w:bottom w:val="nil"/>
        <w:right w:val="nil"/>
        <w:between w:val="nil"/>
      </w:pBdr>
      <w:spacing w:line="275" w:lineRule="auto"/>
      <w:rPr>
        <w:rFonts w:ascii="Times New Roman" w:eastAsia="Google Sans" w:hAnsi="Times New Roman" w:cs="Times New Roman"/>
        <w:color w:val="1F1F1F"/>
      </w:rPr>
    </w:pPr>
    <w:r w:rsidRPr="00C37A89">
      <w:rPr>
        <w:rFonts w:ascii="Times New Roman" w:eastAsia="Google Sans" w:hAnsi="Times New Roman" w:cs="Times New Roman"/>
        <w:b/>
        <w:bCs/>
        <w:color w:val="1F1F1F"/>
      </w:rPr>
      <w:t>Prepared by:</w:t>
    </w:r>
    <w:r w:rsidRPr="00C37A89">
      <w:rPr>
        <w:rFonts w:ascii="Times New Roman" w:eastAsia="Google Sans" w:hAnsi="Times New Roman" w:cs="Times New Roman"/>
        <w:color w:val="1F1F1F"/>
      </w:rPr>
      <w:t xml:space="preserve"> Kamlesh Chowdhary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2DD8"/>
    <w:multiLevelType w:val="multilevel"/>
    <w:tmpl w:val="D61CA50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61333F2"/>
    <w:multiLevelType w:val="multilevel"/>
    <w:tmpl w:val="09508B0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E0C589B"/>
    <w:multiLevelType w:val="multilevel"/>
    <w:tmpl w:val="1526CA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24510702">
    <w:abstractNumId w:val="0"/>
  </w:num>
  <w:num w:numId="2" w16cid:durableId="1287737927">
    <w:abstractNumId w:val="2"/>
  </w:num>
  <w:num w:numId="3" w16cid:durableId="1725711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3D"/>
    <w:rsid w:val="001D38C2"/>
    <w:rsid w:val="00352F55"/>
    <w:rsid w:val="00A57B3D"/>
    <w:rsid w:val="00A90C7E"/>
    <w:rsid w:val="00C37A89"/>
    <w:rsid w:val="00D0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899E"/>
  <w15:docId w15:val="{9C8CF945-21DC-4339-80CF-ED387101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C37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7A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A89"/>
  </w:style>
  <w:style w:type="paragraph" w:styleId="Footer">
    <w:name w:val="footer"/>
    <w:basedOn w:val="Normal"/>
    <w:link w:val="FooterChar"/>
    <w:uiPriority w:val="99"/>
    <w:unhideWhenUsed/>
    <w:rsid w:val="00C37A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788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Kamlesh</dc:creator>
  <cp:lastModifiedBy>kamlesh kc</cp:lastModifiedBy>
  <cp:revision>3</cp:revision>
  <dcterms:created xsi:type="dcterms:W3CDTF">2026-07-13T16:25:00Z</dcterms:created>
  <dcterms:modified xsi:type="dcterms:W3CDTF">2026-07-13T16:25:00Z</dcterms:modified>
</cp:coreProperties>
</file>