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F1EF6" w14:textId="77777777" w:rsidR="00A57B3D" w:rsidRPr="00C37A89" w:rsidRDefault="00000000" w:rsidP="00C37A89">
      <w:pPr>
        <w:pStyle w:val="Heading1"/>
        <w:spacing w:before="0" w:after="0" w:line="275" w:lineRule="auto"/>
        <w:jc w:val="center"/>
        <w:rPr>
          <w:rFonts w:ascii="Times New Roman" w:eastAsia="Google Sans" w:hAnsi="Times New Roman" w:cs="Times New Roman"/>
          <w:color w:val="EE0000"/>
          <w:sz w:val="44"/>
          <w:szCs w:val="44"/>
        </w:rPr>
      </w:pPr>
      <w:r w:rsidRPr="00C37A89">
        <w:rPr>
          <w:rFonts w:ascii="Times New Roman" w:eastAsia="Google Sans" w:hAnsi="Times New Roman" w:cs="Times New Roman"/>
          <w:color w:val="EE0000"/>
          <w:sz w:val="44"/>
          <w:szCs w:val="44"/>
        </w:rPr>
        <w:t>Sales Forecasting Project - Business Report</w:t>
      </w:r>
    </w:p>
    <w:p w14:paraId="3FF87EC0" w14:textId="335B2367" w:rsidR="00631863" w:rsidRPr="00C37A89" w:rsidRDefault="00000000" w:rsidP="0063186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Google Sans" w:hAnsi="Times New Roman" w:cs="Times New Roman"/>
          <w:b/>
          <w:bCs/>
          <w:color w:val="1F1F1F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Superstore Sales Dataset | Week 3 &amp; 4 Internship Project</w:t>
      </w:r>
      <w:r w:rsidR="00631863">
        <w:rPr>
          <w:rFonts w:ascii="Times New Roman" w:eastAsia="Google Sans" w:hAnsi="Times New Roman" w:cs="Times New Roman"/>
          <w:b/>
          <w:bCs/>
          <w:color w:val="1F1F1F"/>
        </w:rPr>
        <w:br/>
      </w:r>
    </w:p>
    <w:p w14:paraId="4F465EDF" w14:textId="77777777" w:rsidR="00A57B3D" w:rsidRPr="00C37A89" w:rsidRDefault="00000000">
      <w:pPr>
        <w:pStyle w:val="Heading3"/>
        <w:spacing w:before="0"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>Executive Summary</w:t>
      </w:r>
    </w:p>
    <w:p w14:paraId="59B25E30" w14:textId="77777777" w:rsidR="00A57B3D" w:rsidRPr="00C37A89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 xml:space="preserve">This report </w:t>
      </w:r>
      <w:proofErr w:type="spellStart"/>
      <w:r w:rsidRPr="00C37A89">
        <w:rPr>
          <w:rFonts w:ascii="Times New Roman" w:eastAsia="Google Sans" w:hAnsi="Times New Roman" w:cs="Times New Roman"/>
          <w:color w:val="1F1F1F"/>
        </w:rPr>
        <w:t>analyzes</w:t>
      </w:r>
      <w:proofErr w:type="spellEnd"/>
      <w:r w:rsidRPr="00C37A89">
        <w:rPr>
          <w:rFonts w:ascii="Times New Roman" w:eastAsia="Google Sans" w:hAnsi="Times New Roman" w:cs="Times New Roman"/>
          <w:color w:val="1F1F1F"/>
        </w:rPr>
        <w:t xml:space="preserve"> four years of Superstore sales data to identify temporal trends, construct predictive models, isolate statistical anomalies, and segment products by demand predictability. Total aggregate sales across the four-year period reached approximately $2.26 million. The data exhibits a consistent upward trajectory alongside pronounced seasonal patterns, characterized by major spikes every November and December.</w:t>
      </w:r>
    </w:p>
    <w:p w14:paraId="2AD434BA" w14:textId="77777777" w:rsidR="00A57B3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 xml:space="preserve">To optimize operational planning, three forecasting methodologies were evaluated, eleven anomalous sales weeks were identified, and the product </w:t>
      </w:r>
      <w:proofErr w:type="spellStart"/>
      <w:r w:rsidRPr="00C37A89">
        <w:rPr>
          <w:rFonts w:ascii="Times New Roman" w:eastAsia="Google Sans" w:hAnsi="Times New Roman" w:cs="Times New Roman"/>
          <w:color w:val="1F1F1F"/>
        </w:rPr>
        <w:t>catalog</w:t>
      </w:r>
      <w:proofErr w:type="spellEnd"/>
      <w:r w:rsidRPr="00C37A89">
        <w:rPr>
          <w:rFonts w:ascii="Times New Roman" w:eastAsia="Google Sans" w:hAnsi="Times New Roman" w:cs="Times New Roman"/>
          <w:color w:val="1F1F1F"/>
        </w:rPr>
        <w:t xml:space="preserve"> was classified into four distinct demand segments to replace uniform inventory strategies with tailored stocking protocols.</w:t>
      </w:r>
    </w:p>
    <w:p w14:paraId="69D9A179" w14:textId="77777777" w:rsidR="00C37A89" w:rsidRPr="00C37A89" w:rsidRDefault="00C37A8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</w:p>
    <w:p w14:paraId="29F77C84" w14:textId="77777777" w:rsidR="00A57B3D" w:rsidRPr="00C37A89" w:rsidRDefault="00000000">
      <w:pPr>
        <w:pStyle w:val="Heading3"/>
        <w:spacing w:before="0"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>Key Data Insights</w:t>
      </w:r>
    </w:p>
    <w:p w14:paraId="1670AF98" w14:textId="77777777" w:rsidR="00A57B3D" w:rsidRPr="00C37A8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Revenue Distribution: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Technology generated the highest total revenue ($827,456), followed closely by Furniture ($728,659) and Office Supplies ($705,422).</w:t>
      </w:r>
    </w:p>
    <w:p w14:paraId="7C0D1350" w14:textId="77777777" w:rsidR="00A57B3D" w:rsidRPr="00C37A8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Seasonality &amp; Trends: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A robust year-over-year upward trend is present. Q4 (October–December) consistently represents the highest-earning quarter of each fiscal year.</w:t>
      </w:r>
    </w:p>
    <w:p w14:paraId="1CAACDA4" w14:textId="77777777" w:rsidR="00A57B3D" w:rsidRPr="00C37A8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Model Evaluation: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SARIMA, Prophet, and </w:t>
      </w:r>
      <w:proofErr w:type="spellStart"/>
      <w:r w:rsidRPr="00C37A89">
        <w:rPr>
          <w:rFonts w:ascii="Times New Roman" w:eastAsia="Google Sans" w:hAnsi="Times New Roman" w:cs="Times New Roman"/>
          <w:color w:val="1F1F1F"/>
        </w:rPr>
        <w:t>XGBoost</w:t>
      </w:r>
      <w:proofErr w:type="spellEnd"/>
      <w:r w:rsidRPr="00C37A89">
        <w:rPr>
          <w:rFonts w:ascii="Times New Roman" w:eastAsia="Google Sans" w:hAnsi="Times New Roman" w:cs="Times New Roman"/>
          <w:color w:val="1F1F1F"/>
        </w:rPr>
        <w:t xml:space="preserve"> models were trained and validated against the final three months of known historical data. </w:t>
      </w:r>
      <w:proofErr w:type="spellStart"/>
      <w:r w:rsidRPr="00C37A89">
        <w:rPr>
          <w:rFonts w:ascii="Times New Roman" w:eastAsia="Google Sans" w:hAnsi="Times New Roman" w:cs="Times New Roman"/>
          <w:color w:val="1F1F1F"/>
        </w:rPr>
        <w:t>XGBoost</w:t>
      </w:r>
      <w:proofErr w:type="spellEnd"/>
      <w:r w:rsidRPr="00C37A89">
        <w:rPr>
          <w:rFonts w:ascii="Times New Roman" w:eastAsia="Google Sans" w:hAnsi="Times New Roman" w:cs="Times New Roman"/>
          <w:color w:val="1F1F1F"/>
        </w:rPr>
        <w:t xml:space="preserve"> demonstrated superior accuracy, yielding a Mean Absolute Percentage Error (MAPE) of approximately 19%, compared to roughly 22% for both SARIMA and Prophet. Consequently, </w:t>
      </w:r>
      <w:proofErr w:type="spellStart"/>
      <w:r w:rsidRPr="00C37A89">
        <w:rPr>
          <w:rFonts w:ascii="Times New Roman" w:eastAsia="Google Sans" w:hAnsi="Times New Roman" w:cs="Times New Roman"/>
          <w:color w:val="1F1F1F"/>
        </w:rPr>
        <w:t>XGBoost</w:t>
      </w:r>
      <w:proofErr w:type="spellEnd"/>
      <w:r w:rsidRPr="00C37A89">
        <w:rPr>
          <w:rFonts w:ascii="Times New Roman" w:eastAsia="Google Sans" w:hAnsi="Times New Roman" w:cs="Times New Roman"/>
          <w:color w:val="1F1F1F"/>
        </w:rPr>
        <w:t xml:space="preserve"> was selected as the primary forecasting engine.</w:t>
      </w:r>
    </w:p>
    <w:p w14:paraId="5F9FBD81" w14:textId="77777777" w:rsidR="00A57B3D" w:rsidRPr="00C37A8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Anomaly Detection: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Two statistical anomaly-detection frameworks identified eleven weeks with highly irregular sales volumes. While both methodologies aligned on major volume spikes, minor deviations occurred due to differing mathematical definitions of variance.</w:t>
      </w:r>
    </w:p>
    <w:p w14:paraId="4618C8BE" w14:textId="77777777" w:rsidR="00C37A89" w:rsidRPr="00C37A89" w:rsidRDefault="00C37A89" w:rsidP="00C37A8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</w:p>
    <w:p w14:paraId="0E35EF29" w14:textId="77777777" w:rsidR="00A57B3D" w:rsidRPr="00C37A89" w:rsidRDefault="00000000">
      <w:pPr>
        <w:pStyle w:val="Heading3"/>
        <w:spacing w:before="0"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>Three-Month Sales Forecast</w:t>
      </w:r>
    </w:p>
    <w:p w14:paraId="46249D95" w14:textId="77777777" w:rsidR="00A57B3D" w:rsidRPr="00C37A89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 xml:space="preserve">The </w:t>
      </w:r>
      <w:proofErr w:type="spellStart"/>
      <w:r w:rsidRPr="00C37A89">
        <w:rPr>
          <w:rFonts w:ascii="Times New Roman" w:eastAsia="Google Sans" w:hAnsi="Times New Roman" w:cs="Times New Roman"/>
          <w:color w:val="1F1F1F"/>
        </w:rPr>
        <w:t>XGBoost</w:t>
      </w:r>
      <w:proofErr w:type="spellEnd"/>
      <w:r w:rsidRPr="00C37A89">
        <w:rPr>
          <w:rFonts w:ascii="Times New Roman" w:eastAsia="Google Sans" w:hAnsi="Times New Roman" w:cs="Times New Roman"/>
          <w:color w:val="1F1F1F"/>
        </w:rPr>
        <w:t xml:space="preserve"> model projects the following sales volumes for the upcoming quarter. The provided ranges reflect the historical prediction intervals established during model validation:</w:t>
      </w:r>
    </w:p>
    <w:p w14:paraId="05BE44FC" w14:textId="77777777" w:rsidR="00A57B3D" w:rsidRPr="00C37A89" w:rsidRDefault="00A57B3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</w:p>
    <w:tbl>
      <w:tblPr>
        <w:tblStyle w:val="TableGrid"/>
        <w:tblW w:w="9476" w:type="dxa"/>
        <w:tblLook w:val="04A0" w:firstRow="1" w:lastRow="0" w:firstColumn="1" w:lastColumn="0" w:noHBand="0" w:noVBand="1"/>
      </w:tblPr>
      <w:tblGrid>
        <w:gridCol w:w="3158"/>
        <w:gridCol w:w="3159"/>
        <w:gridCol w:w="3159"/>
      </w:tblGrid>
      <w:tr w:rsidR="00C37A89" w14:paraId="7F808D14" w14:textId="77777777" w:rsidTr="00352F55">
        <w:trPr>
          <w:trHeight w:val="627"/>
        </w:trPr>
        <w:tc>
          <w:tcPr>
            <w:tcW w:w="3158" w:type="dxa"/>
          </w:tcPr>
          <w:p w14:paraId="38BE218A" w14:textId="2C40B87B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Month</w:t>
            </w:r>
          </w:p>
        </w:tc>
        <w:tc>
          <w:tcPr>
            <w:tcW w:w="3159" w:type="dxa"/>
          </w:tcPr>
          <w:p w14:paraId="71197216" w14:textId="49F2180E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Predicted Sales</w:t>
            </w:r>
          </w:p>
        </w:tc>
        <w:tc>
          <w:tcPr>
            <w:tcW w:w="3159" w:type="dxa"/>
          </w:tcPr>
          <w:p w14:paraId="783AB6B7" w14:textId="6791B4F7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Forecast Range</w:t>
            </w:r>
          </w:p>
        </w:tc>
      </w:tr>
      <w:tr w:rsidR="00C37A89" w14:paraId="4B1FAD77" w14:textId="77777777" w:rsidTr="00352F55">
        <w:trPr>
          <w:trHeight w:val="627"/>
        </w:trPr>
        <w:tc>
          <w:tcPr>
            <w:tcW w:w="3158" w:type="dxa"/>
          </w:tcPr>
          <w:p w14:paraId="01B12930" w14:textId="5BD84670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January 2019</w:t>
            </w:r>
          </w:p>
        </w:tc>
        <w:tc>
          <w:tcPr>
            <w:tcW w:w="3159" w:type="dxa"/>
          </w:tcPr>
          <w:p w14:paraId="0485BFBA" w14:textId="1313274F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color w:val="1F1F1F"/>
              </w:rPr>
              <w:t>~$45,200</w:t>
            </w:r>
          </w:p>
        </w:tc>
        <w:tc>
          <w:tcPr>
            <w:tcW w:w="3159" w:type="dxa"/>
          </w:tcPr>
          <w:p w14:paraId="1A18F946" w14:textId="60D7B566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color w:val="1F1F1F"/>
              </w:rPr>
              <w:t>$24,200 – $66,100</w:t>
            </w:r>
          </w:p>
        </w:tc>
      </w:tr>
      <w:tr w:rsidR="00C37A89" w14:paraId="77D24B9A" w14:textId="77777777" w:rsidTr="00352F55">
        <w:trPr>
          <w:trHeight w:val="627"/>
        </w:trPr>
        <w:tc>
          <w:tcPr>
            <w:tcW w:w="3158" w:type="dxa"/>
          </w:tcPr>
          <w:p w14:paraId="194E7DEB" w14:textId="4E56F0A2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February 2019</w:t>
            </w:r>
          </w:p>
        </w:tc>
        <w:tc>
          <w:tcPr>
            <w:tcW w:w="3159" w:type="dxa"/>
          </w:tcPr>
          <w:p w14:paraId="73416DB2" w14:textId="785A43E0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color w:val="1F1F1F"/>
              </w:rPr>
              <w:t>~$24,200</w:t>
            </w:r>
          </w:p>
        </w:tc>
        <w:tc>
          <w:tcPr>
            <w:tcW w:w="3159" w:type="dxa"/>
          </w:tcPr>
          <w:p w14:paraId="301A30E3" w14:textId="39EADE17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color w:val="1F1F1F"/>
              </w:rPr>
              <w:t>$3,300 – $45,200</w:t>
            </w:r>
          </w:p>
        </w:tc>
      </w:tr>
      <w:tr w:rsidR="00C37A89" w14:paraId="3F3628E0" w14:textId="77777777" w:rsidTr="00352F55">
        <w:trPr>
          <w:trHeight w:val="627"/>
        </w:trPr>
        <w:tc>
          <w:tcPr>
            <w:tcW w:w="3158" w:type="dxa"/>
          </w:tcPr>
          <w:p w14:paraId="59AB5CAA" w14:textId="0256D99F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March 2019</w:t>
            </w:r>
          </w:p>
        </w:tc>
        <w:tc>
          <w:tcPr>
            <w:tcW w:w="3159" w:type="dxa"/>
          </w:tcPr>
          <w:p w14:paraId="1E0EBA34" w14:textId="58E76441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color w:val="1F1F1F"/>
              </w:rPr>
              <w:t>~$56,500</w:t>
            </w:r>
          </w:p>
        </w:tc>
        <w:tc>
          <w:tcPr>
            <w:tcW w:w="3159" w:type="dxa"/>
          </w:tcPr>
          <w:p w14:paraId="360A2B91" w14:textId="3FFDF3FF" w:rsidR="00C37A89" w:rsidRDefault="00C37A89" w:rsidP="00C37A89">
            <w:pP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C37A89">
              <w:rPr>
                <w:rFonts w:ascii="Times New Roman" w:eastAsia="Google Sans" w:hAnsi="Times New Roman" w:cs="Times New Roman"/>
                <w:color w:val="1F1F1F"/>
              </w:rPr>
              <w:t>$35,500 – $77,500</w:t>
            </w:r>
          </w:p>
        </w:tc>
      </w:tr>
    </w:tbl>
    <w:p w14:paraId="000985A1" w14:textId="77777777" w:rsidR="00C37A89" w:rsidRDefault="00C37A8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b/>
          <w:bCs/>
          <w:color w:val="1F1F1F"/>
        </w:rPr>
      </w:pPr>
    </w:p>
    <w:p w14:paraId="21B77D10" w14:textId="7A99F99A" w:rsidR="00A57B3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Trend Analysis: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The forecast indicates sustaining momentum in January, followed by a sharp contraction in February that aligns with historical post-holiday slowdowns. Sales are projected to rebound in March. This cyclical trajectory applies across all regions and product categories. Proportionally, Office Supplies exhibits the highest resilience during the post-holiday contraction, whereas Furniture and the East region experience the sharpest declines.</w:t>
      </w:r>
    </w:p>
    <w:p w14:paraId="6856B01A" w14:textId="29958909" w:rsidR="00C37A89" w:rsidRPr="00C37A89" w:rsidRDefault="00C37A8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</w:p>
    <w:p w14:paraId="17458883" w14:textId="77777777" w:rsidR="00A57B3D" w:rsidRPr="00C37A89" w:rsidRDefault="00000000">
      <w:pPr>
        <w:pStyle w:val="Heading3"/>
        <w:spacing w:before="0"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>Primary Sales Anomalies</w:t>
      </w:r>
    </w:p>
    <w:p w14:paraId="6192B7D2" w14:textId="77777777" w:rsidR="00A57B3D" w:rsidRPr="00C37A8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Early December 2018 (~$36,000):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A significant single-week spike corresponding to Cyber Monday and early holiday promotional surges.</w:t>
      </w:r>
    </w:p>
    <w:p w14:paraId="54A2CFE6" w14:textId="77777777" w:rsidR="00A57B3D" w:rsidRPr="00C37A8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Late March 2015 (~$37,700):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The largest single-week volume spike in the dataset, likely indicating concurrent bulk corporate procurement rather than a structural shift in baseline consumer demand.</w:t>
      </w:r>
    </w:p>
    <w:p w14:paraId="050E97E1" w14:textId="77777777" w:rsidR="00A57B3D" w:rsidRPr="00C37A8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First Week of January 2015 (~$300):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An extreme downward anomaly reflecting standard post-holiday retail stagnation compounded by fewer operational business days.</w:t>
      </w:r>
    </w:p>
    <w:p w14:paraId="2A6B0B96" w14:textId="77777777" w:rsidR="00C37A89" w:rsidRPr="00C37A89" w:rsidRDefault="00C37A89" w:rsidP="00C37A8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</w:p>
    <w:p w14:paraId="1BE546BE" w14:textId="77777777" w:rsidR="00A57B3D" w:rsidRPr="00C37A89" w:rsidRDefault="00000000">
      <w:pPr>
        <w:pStyle w:val="Heading3"/>
        <w:spacing w:before="0"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>Demand Segmentation &amp; Inventory Strategy</w:t>
      </w:r>
    </w:p>
    <w:p w14:paraId="45D79CBF" w14:textId="77777777" w:rsidR="00A57B3D" w:rsidRPr="00C37A89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>The 17 product sub-categories were clustered into four distinct segments based on sales volume, compound growth rates, and monthly demand volatility:</w:t>
      </w:r>
    </w:p>
    <w:p w14:paraId="7BA52E4A" w14:textId="77777777" w:rsidR="00A57B3D" w:rsidRPr="00C37A89" w:rsidRDefault="00A57B3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</w:p>
    <w:tbl>
      <w:tblPr>
        <w:tblStyle w:val="TableGrid"/>
        <w:tblW w:w="9467" w:type="dxa"/>
        <w:tblLook w:val="04A0" w:firstRow="1" w:lastRow="0" w:firstColumn="1" w:lastColumn="0" w:noHBand="0" w:noVBand="1"/>
      </w:tblPr>
      <w:tblGrid>
        <w:gridCol w:w="3155"/>
        <w:gridCol w:w="3156"/>
        <w:gridCol w:w="3156"/>
      </w:tblGrid>
      <w:tr w:rsidR="00C37A89" w14:paraId="4D47FA1C" w14:textId="77777777" w:rsidTr="00352F55">
        <w:trPr>
          <w:trHeight w:val="621"/>
        </w:trPr>
        <w:tc>
          <w:tcPr>
            <w:tcW w:w="3155" w:type="dxa"/>
          </w:tcPr>
          <w:p w14:paraId="01660CAE" w14:textId="3568949B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color w:val="1F1F1F"/>
                <w:sz w:val="22"/>
                <w:szCs w:val="22"/>
              </w:rPr>
              <w:t>Cluster Segments</w:t>
            </w:r>
          </w:p>
        </w:tc>
        <w:tc>
          <w:tcPr>
            <w:tcW w:w="3156" w:type="dxa"/>
          </w:tcPr>
          <w:p w14:paraId="43011127" w14:textId="0819DDD9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color w:val="1F1F1F"/>
                <w:sz w:val="22"/>
                <w:szCs w:val="22"/>
              </w:rPr>
              <w:t>Sub-Categories</w:t>
            </w:r>
          </w:p>
        </w:tc>
        <w:tc>
          <w:tcPr>
            <w:tcW w:w="3156" w:type="dxa"/>
          </w:tcPr>
          <w:p w14:paraId="1AFBE9E0" w14:textId="636071A5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color w:val="1F1F1F"/>
                <w:sz w:val="22"/>
                <w:szCs w:val="22"/>
              </w:rPr>
              <w:t>Strategic Action Plan</w:t>
            </w:r>
          </w:p>
        </w:tc>
      </w:tr>
      <w:tr w:rsidR="00C37A89" w14:paraId="5DB77EBF" w14:textId="77777777" w:rsidTr="00352F55">
        <w:trPr>
          <w:trHeight w:val="1299"/>
        </w:trPr>
        <w:tc>
          <w:tcPr>
            <w:tcW w:w="3155" w:type="dxa"/>
          </w:tcPr>
          <w:p w14:paraId="5D52E5CD" w14:textId="05F4C067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High Volume, Stable Demand</w:t>
            </w:r>
          </w:p>
        </w:tc>
        <w:tc>
          <w:tcPr>
            <w:tcW w:w="3156" w:type="dxa"/>
          </w:tcPr>
          <w:p w14:paraId="5046DD50" w14:textId="1985F3C1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Accessories, Binders, Chairs, Phones, Storage, Tables</w:t>
            </w:r>
          </w:p>
        </w:tc>
        <w:tc>
          <w:tcPr>
            <w:tcW w:w="3156" w:type="dxa"/>
          </w:tcPr>
          <w:p w14:paraId="49A518DC" w14:textId="42E4FFC4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Maintain standardized, automated replenishment schedules.</w:t>
            </w:r>
          </w:p>
        </w:tc>
      </w:tr>
      <w:tr w:rsidR="00C37A89" w14:paraId="0F1D90A8" w14:textId="77777777" w:rsidTr="00352F55">
        <w:trPr>
          <w:trHeight w:val="960"/>
        </w:trPr>
        <w:tc>
          <w:tcPr>
            <w:tcW w:w="3155" w:type="dxa"/>
          </w:tcPr>
          <w:p w14:paraId="63864285" w14:textId="6634D512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Growing Demand</w:t>
            </w:r>
          </w:p>
        </w:tc>
        <w:tc>
          <w:tcPr>
            <w:tcW w:w="3156" w:type="dxa"/>
          </w:tcPr>
          <w:p w14:paraId="30B2E00E" w14:textId="13DF0FB3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Copiers</w:t>
            </w:r>
          </w:p>
        </w:tc>
        <w:tc>
          <w:tcPr>
            <w:tcW w:w="3156" w:type="dxa"/>
          </w:tcPr>
          <w:p w14:paraId="594A369A" w14:textId="6F69F8AD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Increase safety stock levels and increase review frequency.</w:t>
            </w:r>
          </w:p>
        </w:tc>
      </w:tr>
      <w:tr w:rsidR="00C37A89" w14:paraId="3F2DBB86" w14:textId="77777777" w:rsidTr="00352F55">
        <w:trPr>
          <w:trHeight w:val="1652"/>
        </w:trPr>
        <w:tc>
          <w:tcPr>
            <w:tcW w:w="3155" w:type="dxa"/>
          </w:tcPr>
          <w:p w14:paraId="7C434748" w14:textId="4F75FCF5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Low Volume, High Volatility</w:t>
            </w:r>
          </w:p>
        </w:tc>
        <w:tc>
          <w:tcPr>
            <w:tcW w:w="3156" w:type="dxa"/>
          </w:tcPr>
          <w:p w14:paraId="3C129595" w14:textId="7C76236F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Appliances, Art, Bookcases, Envelopes, Fasteners, Furnishings, Labels, Paper, Supplies</w:t>
            </w:r>
          </w:p>
        </w:tc>
        <w:tc>
          <w:tcPr>
            <w:tcW w:w="3156" w:type="dxa"/>
          </w:tcPr>
          <w:p w14:paraId="30015BDB" w14:textId="5B3A50C2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Implement agile, high-frequency, low-volume restocks to minimize holding costs.</w:t>
            </w:r>
          </w:p>
        </w:tc>
      </w:tr>
      <w:tr w:rsidR="00C37A89" w14:paraId="0DD52482" w14:textId="77777777" w:rsidTr="00352F55">
        <w:trPr>
          <w:trHeight w:val="1299"/>
        </w:trPr>
        <w:tc>
          <w:tcPr>
            <w:tcW w:w="3155" w:type="dxa"/>
          </w:tcPr>
          <w:p w14:paraId="587FCAC9" w14:textId="673910FE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Declining Demand</w:t>
            </w:r>
          </w:p>
        </w:tc>
        <w:tc>
          <w:tcPr>
            <w:tcW w:w="3156" w:type="dxa"/>
          </w:tcPr>
          <w:p w14:paraId="39936952" w14:textId="134DDD68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Machines</w:t>
            </w:r>
          </w:p>
        </w:tc>
        <w:tc>
          <w:tcPr>
            <w:tcW w:w="3156" w:type="dxa"/>
          </w:tcPr>
          <w:p w14:paraId="673C42A2" w14:textId="2D339F4C" w:rsidR="00C37A89" w:rsidRPr="00C37A89" w:rsidRDefault="00C37A89" w:rsidP="00C37A89">
            <w:pPr>
              <w:pStyle w:val="Heading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5" w:lineRule="auto"/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</w:pPr>
            <w:r w:rsidRPr="00C37A89">
              <w:rPr>
                <w:rFonts w:ascii="Times New Roman" w:eastAsia="Google Sans" w:hAnsi="Times New Roman" w:cs="Times New Roman"/>
                <w:b w:val="0"/>
                <w:bCs w:val="0"/>
                <w:color w:val="1F1F1F"/>
                <w:sz w:val="22"/>
                <w:szCs w:val="22"/>
              </w:rPr>
              <w:t>Systematically reduce purchase orders; initiate clearance strategies for existing stock.</w:t>
            </w:r>
          </w:p>
        </w:tc>
      </w:tr>
    </w:tbl>
    <w:p w14:paraId="72F4E9A5" w14:textId="77777777" w:rsidR="00C37A89" w:rsidRDefault="00C37A89">
      <w:pPr>
        <w:pStyle w:val="Heading3"/>
        <w:spacing w:before="0" w:line="275" w:lineRule="auto"/>
        <w:rPr>
          <w:rFonts w:ascii="Times New Roman" w:eastAsia="Google Sans" w:hAnsi="Times New Roman" w:cs="Times New Roman"/>
          <w:color w:val="1F1F1F"/>
        </w:rPr>
      </w:pPr>
    </w:p>
    <w:p w14:paraId="7386FCE9" w14:textId="0DD301B3" w:rsidR="00A57B3D" w:rsidRPr="00C37A89" w:rsidRDefault="00000000">
      <w:pPr>
        <w:pStyle w:val="Heading3"/>
        <w:spacing w:before="0"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lastRenderedPageBreak/>
        <w:t>Strategic Recommendations</w:t>
      </w:r>
    </w:p>
    <w:p w14:paraId="1CA15F06" w14:textId="77777777" w:rsidR="00A57B3D" w:rsidRPr="00C37A8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Proactive Supply Chain Scaling: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Allocate additional logistics capacity, inventory reserves, and seasonal staffing in Q3 to support the verified November–December demand surge.</w:t>
      </w:r>
    </w:p>
    <w:p w14:paraId="75C71DB4" w14:textId="77777777" w:rsidR="00A57B3D" w:rsidRPr="00C37A8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Stockout Prevention for Core Revenue Drivers: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Enforce strict inventory floors on the "High Volume, Stable Demand" cluster. Because these categories drive the highest volume with maximum predictability, stockouts in this segment carry the highest financial penalty.</w:t>
      </w:r>
    </w:p>
    <w:p w14:paraId="72CB68E4" w14:textId="77777777" w:rsidR="00A57B3D" w:rsidRPr="00C37A8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  <w:r w:rsidRPr="00C37A89">
        <w:rPr>
          <w:rFonts w:ascii="Times New Roman" w:eastAsia="Google Sans" w:hAnsi="Times New Roman" w:cs="Times New Roman"/>
          <w:b/>
          <w:bCs/>
          <w:color w:val="1F1F1F"/>
        </w:rPr>
        <w:t>Rationalize Negative-Growth Portfolios:</w:t>
      </w:r>
      <w:r w:rsidRPr="00C37A89">
        <w:rPr>
          <w:rFonts w:ascii="Times New Roman" w:eastAsia="Google Sans" w:hAnsi="Times New Roman" w:cs="Times New Roman"/>
          <w:color w:val="1F1F1F"/>
        </w:rPr>
        <w:t xml:space="preserve"> Immediately decrease procurement for the Machines sub-category. Its classification within the "Declining Demand" cluster and negative growth rate indicate that historical replenishment levels will lead to overstocking and capital stagnation.</w:t>
      </w:r>
    </w:p>
    <w:p w14:paraId="6E581E56" w14:textId="77777777" w:rsidR="00C37A89" w:rsidRPr="00C37A89" w:rsidRDefault="00C37A89" w:rsidP="00C37A8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</w:rPr>
      </w:pPr>
    </w:p>
    <w:p w14:paraId="0083DF41" w14:textId="77777777" w:rsidR="00A57B3D" w:rsidRPr="00C37A89" w:rsidRDefault="00000000">
      <w:pPr>
        <w:pStyle w:val="Heading3"/>
        <w:spacing w:before="0"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>Model Limitations and Risk Mitigation</w:t>
      </w:r>
    </w:p>
    <w:p w14:paraId="5E186DCB" w14:textId="77777777" w:rsidR="00A57B3D" w:rsidRPr="00C37A89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>This forecasting framework operates on the fundamental assumption that future market conditions will mirror the four-year historical baseline. The models cannot inherently anticipate exogenous shocks, such as market entrants, aggressive competitor pricing, targeted promotional campaigns, or systemic supply chain disruptions.</w:t>
      </w:r>
    </w:p>
    <w:p w14:paraId="6A38F2E4" w14:textId="1B06BE7C" w:rsidR="00A57B3D" w:rsidRPr="00C37A89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Google Sans" w:hAnsi="Times New Roman" w:cs="Times New Roman"/>
          <w:color w:val="1F1F1F"/>
        </w:rPr>
      </w:pPr>
      <w:r w:rsidRPr="00C37A89">
        <w:rPr>
          <w:rFonts w:ascii="Times New Roman" w:eastAsia="Google Sans" w:hAnsi="Times New Roman" w:cs="Times New Roman"/>
          <w:color w:val="1F1F1F"/>
        </w:rPr>
        <w:t xml:space="preserve">Furthermore, iterative </w:t>
      </w:r>
      <w:proofErr w:type="spellStart"/>
      <w:r w:rsidRPr="00C37A89">
        <w:rPr>
          <w:rFonts w:ascii="Times New Roman" w:eastAsia="Google Sans" w:hAnsi="Times New Roman" w:cs="Times New Roman"/>
          <w:color w:val="1F1F1F"/>
        </w:rPr>
        <w:t>XGBoost</w:t>
      </w:r>
      <w:proofErr w:type="spellEnd"/>
      <w:r w:rsidRPr="00C37A89">
        <w:rPr>
          <w:rFonts w:ascii="Times New Roman" w:eastAsia="Google Sans" w:hAnsi="Times New Roman" w:cs="Times New Roman"/>
          <w:color w:val="1F1F1F"/>
        </w:rPr>
        <w:t xml:space="preserve"> projections are subject to error compounding over extended horizons. This forecast should serve as a statistical baseline for cross-referencing monthly performance, rather than an absolute operational blueprint.</w:t>
      </w:r>
      <w:r w:rsidR="00631863">
        <w:rPr>
          <w:rFonts w:ascii="Times New Roman" w:eastAsia="Google Sans" w:hAnsi="Times New Roman" w:cs="Times New Roman"/>
          <w:color w:val="1F1F1F"/>
        </w:rPr>
        <w:br/>
      </w:r>
      <w:r w:rsidR="00631863">
        <w:rPr>
          <w:rFonts w:ascii="Times New Roman" w:eastAsia="Google Sans" w:hAnsi="Times New Roman" w:cs="Times New Roman"/>
          <w:color w:val="1F1F1F"/>
        </w:rPr>
        <w:br/>
        <w:t xml:space="preserve">LINK: </w:t>
      </w:r>
      <w:hyperlink r:id="rId7" w:history="1">
        <w:r w:rsidR="00631863" w:rsidRPr="00631863">
          <w:rPr>
            <w:rStyle w:val="Hyperlink"/>
            <w:rFonts w:ascii="Times New Roman" w:eastAsia="Google Sans" w:hAnsi="Times New Roman" w:cs="Times New Roman"/>
          </w:rPr>
          <w:t xml:space="preserve">Sales Forecasting Dashboard · </w:t>
        </w:r>
        <w:proofErr w:type="spellStart"/>
        <w:r w:rsidR="00631863" w:rsidRPr="00631863">
          <w:rPr>
            <w:rStyle w:val="Hyperlink"/>
            <w:rFonts w:ascii="Times New Roman" w:eastAsia="Google Sans" w:hAnsi="Times New Roman" w:cs="Times New Roman"/>
          </w:rPr>
          <w:t>Str</w:t>
        </w:r>
        <w:r w:rsidR="00631863" w:rsidRPr="00631863">
          <w:rPr>
            <w:rStyle w:val="Hyperlink"/>
            <w:rFonts w:ascii="Times New Roman" w:eastAsia="Google Sans" w:hAnsi="Times New Roman" w:cs="Times New Roman"/>
          </w:rPr>
          <w:t>eamlit</w:t>
        </w:r>
        <w:proofErr w:type="spellEnd"/>
      </w:hyperlink>
    </w:p>
    <w:sectPr w:rsidR="00A57B3D" w:rsidRPr="00C37A89">
      <w:headerReference w:type="default" r:id="rId8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0EF7D" w14:textId="77777777" w:rsidR="004D7055" w:rsidRDefault="004D7055">
      <w:r>
        <w:separator/>
      </w:r>
    </w:p>
  </w:endnote>
  <w:endnote w:type="continuationSeparator" w:id="0">
    <w:p w14:paraId="02EE3752" w14:textId="77777777" w:rsidR="004D7055" w:rsidRDefault="004D7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48F6EC8-F393-466E-9D40-D5CF02B4BBDB}"/>
  </w:font>
  <w:font w:name="Google Sans">
    <w:charset w:val="00"/>
    <w:family w:val="auto"/>
    <w:pitch w:val="default"/>
    <w:embedRegular r:id="rId2" w:fontKey="{C7BD402B-6898-4502-B293-034B300DA7CF}"/>
    <w:embedBold r:id="rId3" w:fontKey="{0547F3BB-4509-4A86-9C5E-BBD04486903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AB34923-7B7D-4A6C-9CB0-D15C6797B9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6117E2F-4128-4A56-BF4C-002F0FC6CAA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9A4AF" w14:textId="77777777" w:rsidR="004D7055" w:rsidRDefault="004D7055">
      <w:r>
        <w:separator/>
      </w:r>
    </w:p>
  </w:footnote>
  <w:footnote w:type="continuationSeparator" w:id="0">
    <w:p w14:paraId="780EF463" w14:textId="77777777" w:rsidR="004D7055" w:rsidRDefault="004D7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CFFBA" w14:textId="77777777" w:rsidR="00A57B3D" w:rsidRDefault="00A57B3D"/>
  <w:p w14:paraId="2AB090AE" w14:textId="77777777" w:rsidR="00C37A89" w:rsidRDefault="00C37A89"/>
  <w:p w14:paraId="0B2FF17B" w14:textId="15BF3C69" w:rsidR="00C37A89" w:rsidRPr="00C37A89" w:rsidRDefault="00C37A89" w:rsidP="00C37A89">
    <w:pPr>
      <w:pBdr>
        <w:top w:val="nil"/>
        <w:left w:val="nil"/>
        <w:bottom w:val="nil"/>
        <w:right w:val="nil"/>
        <w:between w:val="nil"/>
      </w:pBdr>
      <w:spacing w:line="275" w:lineRule="auto"/>
      <w:rPr>
        <w:rFonts w:ascii="Times New Roman" w:eastAsia="Google Sans" w:hAnsi="Times New Roman" w:cs="Times New Roman"/>
        <w:color w:val="1F1F1F"/>
      </w:rPr>
    </w:pPr>
    <w:r w:rsidRPr="00C37A89">
      <w:rPr>
        <w:rFonts w:ascii="Times New Roman" w:eastAsia="Google Sans" w:hAnsi="Times New Roman" w:cs="Times New Roman"/>
        <w:b/>
        <w:bCs/>
        <w:color w:val="1F1F1F"/>
      </w:rPr>
      <w:t>Prepared by:</w:t>
    </w:r>
    <w:r w:rsidRPr="00C37A89">
      <w:rPr>
        <w:rFonts w:ascii="Times New Roman" w:eastAsia="Google Sans" w:hAnsi="Times New Roman" w:cs="Times New Roman"/>
        <w:color w:val="1F1F1F"/>
      </w:rPr>
      <w:t xml:space="preserve"> Kamlesh Chowdhary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2DD8"/>
    <w:multiLevelType w:val="multilevel"/>
    <w:tmpl w:val="D61CA50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61333F2"/>
    <w:multiLevelType w:val="multilevel"/>
    <w:tmpl w:val="09508B0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E0C589B"/>
    <w:multiLevelType w:val="multilevel"/>
    <w:tmpl w:val="1526CA70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324510702">
    <w:abstractNumId w:val="0"/>
  </w:num>
  <w:num w:numId="2" w16cid:durableId="1287737927">
    <w:abstractNumId w:val="2"/>
  </w:num>
  <w:num w:numId="3" w16cid:durableId="17257117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7B3D"/>
    <w:rsid w:val="001D38C2"/>
    <w:rsid w:val="00352F55"/>
    <w:rsid w:val="004D7055"/>
    <w:rsid w:val="00631863"/>
    <w:rsid w:val="00A57B3D"/>
    <w:rsid w:val="00A74A28"/>
    <w:rsid w:val="00A90C7E"/>
    <w:rsid w:val="00C37A89"/>
    <w:rsid w:val="00D00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6899E"/>
  <w15:docId w15:val="{9C8CF945-21DC-4339-80CF-ED3871011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C37A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7A8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7A89"/>
  </w:style>
  <w:style w:type="paragraph" w:styleId="Footer">
    <w:name w:val="footer"/>
    <w:basedOn w:val="Normal"/>
    <w:link w:val="FooterChar"/>
    <w:uiPriority w:val="99"/>
    <w:unhideWhenUsed/>
    <w:rsid w:val="00C37A8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7A89"/>
  </w:style>
  <w:style w:type="character" w:styleId="Hyperlink">
    <w:name w:val="Hyperlink"/>
    <w:basedOn w:val="DefaultParagraphFont"/>
    <w:uiPriority w:val="99"/>
    <w:unhideWhenUsed/>
    <w:rsid w:val="006318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8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186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sales-forecasting-kamlesh-chowdhary.streamlit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806</Words>
  <Characters>4600</Characters>
  <Application>Microsoft Office Word</Application>
  <DocSecurity>0</DocSecurity>
  <Lines>38</Lines>
  <Paragraphs>10</Paragraphs>
  <ScaleCrop>false</ScaleCrop>
  <Company/>
  <LinksUpToDate>false</LinksUpToDate>
  <CharactersWithSpaces>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Kamlesh</dc:creator>
  <cp:lastModifiedBy>kamlesh kc</cp:lastModifiedBy>
  <cp:revision>4</cp:revision>
  <dcterms:created xsi:type="dcterms:W3CDTF">2026-07-13T16:25:00Z</dcterms:created>
  <dcterms:modified xsi:type="dcterms:W3CDTF">2026-07-13T17:15:00Z</dcterms:modified>
</cp:coreProperties>
</file>