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D24851" w14:textId="1004D8C2" w:rsidR="00D138CD" w:rsidRPr="00E62954" w:rsidRDefault="00507939" w:rsidP="002362E9">
      <w:pPr>
        <w:spacing w:line="276" w:lineRule="auto"/>
        <w:rPr>
          <w:sz w:val="28"/>
          <w:szCs w:val="22"/>
        </w:rPr>
      </w:pPr>
      <w:r w:rsidRPr="00E62954">
        <w:rPr>
          <w:b/>
          <w:sz w:val="28"/>
          <w:szCs w:val="22"/>
        </w:rPr>
        <w:t xml:space="preserve">Instructions on how to </w:t>
      </w:r>
      <w:r w:rsidR="009A0AF6">
        <w:rPr>
          <w:b/>
          <w:sz w:val="28"/>
          <w:szCs w:val="22"/>
        </w:rPr>
        <w:t>interpret</w:t>
      </w:r>
      <w:r w:rsidR="00E62954">
        <w:rPr>
          <w:b/>
          <w:sz w:val="28"/>
          <w:szCs w:val="22"/>
        </w:rPr>
        <w:t xml:space="preserve"> ClinSV results</w:t>
      </w:r>
    </w:p>
    <w:p w14:paraId="5EE07C00" w14:textId="77777777" w:rsidR="00E62954" w:rsidRDefault="00E62954" w:rsidP="002362E9">
      <w:pPr>
        <w:spacing w:line="276" w:lineRule="auto"/>
        <w:rPr>
          <w:b/>
          <w:szCs w:val="22"/>
        </w:rPr>
      </w:pPr>
    </w:p>
    <w:p w14:paraId="3F2A6CC5" w14:textId="77777777" w:rsidR="00441C2C" w:rsidRDefault="00EF1E87" w:rsidP="00441C2C">
      <w:pPr>
        <w:spacing w:line="276" w:lineRule="auto"/>
        <w:rPr>
          <w:szCs w:val="22"/>
        </w:rPr>
      </w:pPr>
      <w:r>
        <w:rPr>
          <w:szCs w:val="22"/>
        </w:rPr>
        <w:t xml:space="preserve">To obtain clinical reportable variants from </w:t>
      </w:r>
      <w:r w:rsidR="003435F3">
        <w:rPr>
          <w:szCs w:val="22"/>
        </w:rPr>
        <w:t xml:space="preserve">automatically generated ClinSV </w:t>
      </w:r>
      <w:r>
        <w:rPr>
          <w:szCs w:val="22"/>
        </w:rPr>
        <w:t>variant calls,</w:t>
      </w:r>
      <w:r w:rsidR="00B266B2">
        <w:rPr>
          <w:szCs w:val="22"/>
        </w:rPr>
        <w:t xml:space="preserve"> we suggest the following steps</w:t>
      </w:r>
      <w:r w:rsidR="003435F3">
        <w:rPr>
          <w:szCs w:val="22"/>
        </w:rPr>
        <w:t xml:space="preserve"> </w:t>
      </w:r>
      <w:r w:rsidR="00BA3BB0">
        <w:rPr>
          <w:szCs w:val="22"/>
        </w:rPr>
        <w:t>1-4.</w:t>
      </w:r>
    </w:p>
    <w:p w14:paraId="3FC88BEC" w14:textId="77777777" w:rsidR="00441C2C" w:rsidRDefault="00441C2C" w:rsidP="00441C2C">
      <w:pPr>
        <w:spacing w:line="276" w:lineRule="auto"/>
        <w:rPr>
          <w:szCs w:val="22"/>
        </w:rPr>
      </w:pPr>
    </w:p>
    <w:p w14:paraId="7A0CEA32" w14:textId="5726F920" w:rsidR="00441C2C" w:rsidRDefault="00C7210F" w:rsidP="00894CF7">
      <w:pPr>
        <w:pStyle w:val="ListParagraph"/>
        <w:numPr>
          <w:ilvl w:val="0"/>
          <w:numId w:val="5"/>
        </w:numPr>
        <w:spacing w:line="276" w:lineRule="auto"/>
        <w:ind w:left="567"/>
        <w:rPr>
          <w:szCs w:val="22"/>
        </w:rPr>
      </w:pPr>
      <w:r w:rsidRPr="00441C2C">
        <w:rPr>
          <w:b/>
          <w:szCs w:val="22"/>
        </w:rPr>
        <w:t>Inspect</w:t>
      </w:r>
      <w:r w:rsidR="00507939" w:rsidRPr="00441C2C">
        <w:rPr>
          <w:b/>
          <w:szCs w:val="22"/>
        </w:rPr>
        <w:t xml:space="preserve"> the QC report</w:t>
      </w:r>
      <w:r w:rsidR="00507939" w:rsidRPr="00441C2C">
        <w:rPr>
          <w:szCs w:val="22"/>
        </w:rPr>
        <w:t xml:space="preserve"> (</w:t>
      </w:r>
      <w:r w:rsidR="00643C63" w:rsidRPr="00441C2C">
        <w:rPr>
          <w:szCs w:val="22"/>
        </w:rPr>
        <w:t xml:space="preserve">file: </w:t>
      </w:r>
      <w:proofErr w:type="gramStart"/>
      <w:r w:rsidR="00E62954" w:rsidRPr="00441C2C">
        <w:rPr>
          <w:i/>
          <w:szCs w:val="22"/>
        </w:rPr>
        <w:t>sample</w:t>
      </w:r>
      <w:r w:rsidR="00507939" w:rsidRPr="00441C2C">
        <w:rPr>
          <w:szCs w:val="22"/>
        </w:rPr>
        <w:t>.QC</w:t>
      </w:r>
      <w:proofErr w:type="gramEnd"/>
      <w:r w:rsidR="00507939" w:rsidRPr="00441C2C">
        <w:rPr>
          <w:szCs w:val="22"/>
        </w:rPr>
        <w:t>_report.pdf)</w:t>
      </w:r>
      <w:r w:rsidR="00D138CD" w:rsidRPr="00441C2C">
        <w:rPr>
          <w:szCs w:val="22"/>
        </w:rPr>
        <w:t xml:space="preserve">. </w:t>
      </w:r>
      <w:r w:rsidR="00272802" w:rsidRPr="00441C2C">
        <w:rPr>
          <w:szCs w:val="22"/>
        </w:rPr>
        <w:br/>
      </w:r>
      <w:r w:rsidR="00A71594" w:rsidRPr="00441C2C">
        <w:rPr>
          <w:szCs w:val="22"/>
        </w:rPr>
        <w:t>Per sample a QC report is generated to</w:t>
      </w:r>
      <w:r w:rsidR="00A71594" w:rsidRPr="00A71594">
        <w:t xml:space="preserve"> </w:t>
      </w:r>
      <w:r w:rsidR="00A71594" w:rsidRPr="00D54A17">
        <w:t xml:space="preserve">assess </w:t>
      </w:r>
      <w:r w:rsidR="00A71594">
        <w:t>if the</w:t>
      </w:r>
      <w:r w:rsidR="00A71594" w:rsidRPr="00D54A17">
        <w:t xml:space="preserve"> </w:t>
      </w:r>
      <w:r w:rsidR="00A71594">
        <w:t xml:space="preserve">input data and ClinSV results are within </w:t>
      </w:r>
      <w:r w:rsidR="00A71594" w:rsidRPr="00D54A17">
        <w:t>expectation</w:t>
      </w:r>
      <w:r w:rsidR="00894CF7">
        <w:t>s</w:t>
      </w:r>
      <w:r w:rsidR="00441C2C">
        <w:t xml:space="preserve"> </w:t>
      </w:r>
      <w:r w:rsidR="00894CF7">
        <w:t xml:space="preserve">obtained </w:t>
      </w:r>
      <w:r w:rsidR="00441C2C">
        <w:t>from 500 previously analyzed control sam</w:t>
      </w:r>
      <w:r w:rsidR="00894CF7">
        <w:t>p</w:t>
      </w:r>
      <w:r w:rsidR="00441C2C">
        <w:t>les.</w:t>
      </w:r>
      <w:r w:rsidR="00441C2C" w:rsidRPr="00441C2C">
        <w:rPr>
          <w:szCs w:val="22"/>
        </w:rPr>
        <w:t xml:space="preserve"> A detailed description of all metrics can be found at the end of the </w:t>
      </w:r>
      <w:r w:rsidR="00441C2C">
        <w:rPr>
          <w:szCs w:val="22"/>
        </w:rPr>
        <w:t xml:space="preserve">QC </w:t>
      </w:r>
      <w:r w:rsidR="00441C2C" w:rsidRPr="00441C2C">
        <w:rPr>
          <w:szCs w:val="22"/>
        </w:rPr>
        <w:t>report.</w:t>
      </w:r>
    </w:p>
    <w:p w14:paraId="2CADE207" w14:textId="77777777" w:rsidR="00894CF7" w:rsidRPr="00894CF7" w:rsidRDefault="00894CF7" w:rsidP="00894CF7">
      <w:pPr>
        <w:pStyle w:val="ListParagraph"/>
        <w:spacing w:line="276" w:lineRule="auto"/>
        <w:ind w:left="567"/>
        <w:rPr>
          <w:szCs w:val="22"/>
        </w:rPr>
      </w:pPr>
    </w:p>
    <w:p w14:paraId="5DAB837C" w14:textId="595A5D65" w:rsidR="00DF326C" w:rsidRDefault="00643C63" w:rsidP="00B266B2">
      <w:pPr>
        <w:pStyle w:val="ListParagraph"/>
        <w:numPr>
          <w:ilvl w:val="1"/>
          <w:numId w:val="1"/>
        </w:numPr>
        <w:spacing w:line="276" w:lineRule="auto"/>
        <w:ind w:hanging="578"/>
        <w:rPr>
          <w:szCs w:val="22"/>
        </w:rPr>
      </w:pPr>
      <w:r>
        <w:rPr>
          <w:szCs w:val="22"/>
        </w:rPr>
        <w:t>Make sure most</w:t>
      </w:r>
      <w:r w:rsidR="00DF326C">
        <w:rPr>
          <w:szCs w:val="22"/>
        </w:rPr>
        <w:t xml:space="preserve"> metrics </w:t>
      </w:r>
      <w:r>
        <w:rPr>
          <w:szCs w:val="22"/>
        </w:rPr>
        <w:t>are</w:t>
      </w:r>
      <w:r w:rsidR="00DF326C">
        <w:rPr>
          <w:szCs w:val="22"/>
        </w:rPr>
        <w:t xml:space="preserve"> </w:t>
      </w:r>
      <w:r>
        <w:rPr>
          <w:szCs w:val="22"/>
        </w:rPr>
        <w:t>within the expected range (</w:t>
      </w:r>
      <w:r w:rsidR="00DF326C">
        <w:rPr>
          <w:szCs w:val="22"/>
        </w:rPr>
        <w:t>green OK</w:t>
      </w:r>
      <w:r>
        <w:rPr>
          <w:szCs w:val="22"/>
        </w:rPr>
        <w:t>). Focus on individual metrics mostly for troubleshooting.</w:t>
      </w:r>
      <w:r w:rsidR="00DF326C">
        <w:rPr>
          <w:szCs w:val="22"/>
        </w:rPr>
        <w:t xml:space="preserve"> </w:t>
      </w:r>
    </w:p>
    <w:p w14:paraId="4B689083" w14:textId="6C8490C0" w:rsidR="00507939" w:rsidRPr="0026057B" w:rsidRDefault="00DF326C" w:rsidP="00B266B2">
      <w:pPr>
        <w:pStyle w:val="ListParagraph"/>
        <w:numPr>
          <w:ilvl w:val="1"/>
          <w:numId w:val="1"/>
        </w:numPr>
        <w:spacing w:line="276" w:lineRule="auto"/>
        <w:ind w:hanging="578"/>
        <w:rPr>
          <w:szCs w:val="22"/>
        </w:rPr>
      </w:pPr>
      <w:r w:rsidRPr="0026057B">
        <w:rPr>
          <w:szCs w:val="22"/>
        </w:rPr>
        <w:t xml:space="preserve">The </w:t>
      </w:r>
      <w:r w:rsidR="0026057B">
        <w:rPr>
          <w:szCs w:val="22"/>
        </w:rPr>
        <w:t>c</w:t>
      </w:r>
      <w:r w:rsidR="0026057B" w:rsidRPr="0026057B">
        <w:rPr>
          <w:szCs w:val="22"/>
        </w:rPr>
        <w:t>overage by chromosome</w:t>
      </w:r>
      <w:r w:rsidR="0026057B">
        <w:rPr>
          <w:szCs w:val="22"/>
        </w:rPr>
        <w:t xml:space="preserve"> view (CBCV) </w:t>
      </w:r>
      <w:r w:rsidRPr="0026057B">
        <w:rPr>
          <w:szCs w:val="22"/>
        </w:rPr>
        <w:t>should not show any pattern of low or high coverage regions at chromosome tips</w:t>
      </w:r>
      <w:r w:rsidR="0026057B">
        <w:rPr>
          <w:szCs w:val="22"/>
        </w:rPr>
        <w:t>,</w:t>
      </w:r>
      <w:r w:rsidRPr="0026057B">
        <w:rPr>
          <w:szCs w:val="22"/>
        </w:rPr>
        <w:t xml:space="preserve"> which usually indicate</w:t>
      </w:r>
      <w:r w:rsidR="0026057B">
        <w:rPr>
          <w:szCs w:val="22"/>
        </w:rPr>
        <w:t>s a</w:t>
      </w:r>
      <w:r w:rsidR="00643C63">
        <w:rPr>
          <w:szCs w:val="22"/>
        </w:rPr>
        <w:t>n</w:t>
      </w:r>
      <w:r w:rsidRPr="0026057B">
        <w:rPr>
          <w:szCs w:val="22"/>
        </w:rPr>
        <w:t xml:space="preserve"> extreme GC bias.</w:t>
      </w:r>
      <w:r w:rsidR="00442B09">
        <w:rPr>
          <w:szCs w:val="22"/>
        </w:rPr>
        <w:t xml:space="preserve"> This </w:t>
      </w:r>
      <w:r w:rsidR="00441C2C">
        <w:rPr>
          <w:szCs w:val="22"/>
        </w:rPr>
        <w:t>can</w:t>
      </w:r>
      <w:r w:rsidR="00442B09">
        <w:rPr>
          <w:szCs w:val="22"/>
        </w:rPr>
        <w:t xml:space="preserve"> result in many false positive CNVnator calls and </w:t>
      </w:r>
      <w:r w:rsidR="00113217">
        <w:rPr>
          <w:szCs w:val="22"/>
        </w:rPr>
        <w:t xml:space="preserve">in </w:t>
      </w:r>
      <w:r w:rsidR="00442B09">
        <w:rPr>
          <w:szCs w:val="22"/>
        </w:rPr>
        <w:t>missed variants.</w:t>
      </w:r>
    </w:p>
    <w:p w14:paraId="1F217D07" w14:textId="73B56BBD" w:rsidR="0026057B" w:rsidRDefault="0026057B" w:rsidP="00B266B2">
      <w:pPr>
        <w:pStyle w:val="ListParagraph"/>
        <w:numPr>
          <w:ilvl w:val="1"/>
          <w:numId w:val="1"/>
        </w:numPr>
        <w:spacing w:line="276" w:lineRule="auto"/>
        <w:ind w:hanging="578"/>
        <w:rPr>
          <w:szCs w:val="22"/>
        </w:rPr>
      </w:pPr>
      <w:r w:rsidRPr="0026057B">
        <w:rPr>
          <w:szCs w:val="22"/>
        </w:rPr>
        <w:t xml:space="preserve">Look for </w:t>
      </w:r>
      <w:r w:rsidR="00DF326C" w:rsidRPr="0026057B">
        <w:rPr>
          <w:szCs w:val="22"/>
        </w:rPr>
        <w:t xml:space="preserve">aneuploidy </w:t>
      </w:r>
      <w:r>
        <w:rPr>
          <w:szCs w:val="22"/>
        </w:rPr>
        <w:t>in the CBCV. Such events may only be visible here.</w:t>
      </w:r>
    </w:p>
    <w:p w14:paraId="6545CDA8" w14:textId="2841A5D5" w:rsidR="0026057B" w:rsidRDefault="0026057B" w:rsidP="00B266B2">
      <w:pPr>
        <w:pStyle w:val="ListParagraph"/>
        <w:numPr>
          <w:ilvl w:val="1"/>
          <w:numId w:val="1"/>
        </w:numPr>
        <w:spacing w:line="276" w:lineRule="auto"/>
        <w:ind w:hanging="578"/>
        <w:rPr>
          <w:szCs w:val="22"/>
        </w:rPr>
      </w:pPr>
      <w:r w:rsidRPr="00643C63">
        <w:rPr>
          <w:szCs w:val="22"/>
        </w:rPr>
        <w:t xml:space="preserve">The CBCV also </w:t>
      </w:r>
      <w:r w:rsidR="00643C63" w:rsidRPr="00643C63">
        <w:rPr>
          <w:szCs w:val="22"/>
        </w:rPr>
        <w:t>nicely</w:t>
      </w:r>
      <w:r w:rsidRPr="00643C63">
        <w:rPr>
          <w:szCs w:val="22"/>
        </w:rPr>
        <w:t xml:space="preserve"> </w:t>
      </w:r>
      <w:r w:rsidR="00442B09">
        <w:rPr>
          <w:szCs w:val="22"/>
        </w:rPr>
        <w:t>highlights</w:t>
      </w:r>
      <w:r w:rsidRPr="00643C63">
        <w:rPr>
          <w:szCs w:val="22"/>
        </w:rPr>
        <w:t xml:space="preserve"> any larger rare</w:t>
      </w:r>
      <w:r w:rsidR="00DF326C" w:rsidRPr="00643C63">
        <w:rPr>
          <w:szCs w:val="22"/>
        </w:rPr>
        <w:t xml:space="preserve"> CNVs (&gt;500kb)</w:t>
      </w:r>
      <w:r w:rsidRPr="00643C63">
        <w:rPr>
          <w:szCs w:val="22"/>
        </w:rPr>
        <w:t xml:space="preserve">, which may be split up into smaller events </w:t>
      </w:r>
      <w:r w:rsidR="00643C63" w:rsidRPr="00643C63">
        <w:rPr>
          <w:szCs w:val="22"/>
        </w:rPr>
        <w:t>in the automated call set</w:t>
      </w:r>
      <w:r w:rsidR="00643C63">
        <w:rPr>
          <w:szCs w:val="22"/>
        </w:rPr>
        <w:t>.</w:t>
      </w:r>
      <w:r w:rsidR="00643C63" w:rsidRPr="00643C63">
        <w:rPr>
          <w:szCs w:val="22"/>
        </w:rPr>
        <w:t xml:space="preserve"> </w:t>
      </w:r>
    </w:p>
    <w:p w14:paraId="1AEEB83E" w14:textId="77777777" w:rsidR="00A71594" w:rsidRDefault="00A71594" w:rsidP="00A71594">
      <w:pPr>
        <w:pStyle w:val="ListParagraph"/>
        <w:spacing w:line="276" w:lineRule="auto"/>
        <w:ind w:left="1440"/>
        <w:rPr>
          <w:szCs w:val="22"/>
        </w:rPr>
      </w:pPr>
    </w:p>
    <w:p w14:paraId="3BD34C5B" w14:textId="77777777" w:rsidR="00643C63" w:rsidRPr="00643C63" w:rsidRDefault="00643C63" w:rsidP="00B266B2">
      <w:pPr>
        <w:pStyle w:val="ListParagraph"/>
        <w:spacing w:line="276" w:lineRule="auto"/>
        <w:ind w:hanging="578"/>
        <w:rPr>
          <w:szCs w:val="22"/>
        </w:rPr>
      </w:pPr>
    </w:p>
    <w:p w14:paraId="41E873DD" w14:textId="34B21248" w:rsidR="00643C63" w:rsidRPr="00894CF7" w:rsidRDefault="00272802" w:rsidP="00894CF7">
      <w:pPr>
        <w:pStyle w:val="ListParagraph"/>
        <w:numPr>
          <w:ilvl w:val="0"/>
          <w:numId w:val="1"/>
        </w:numPr>
        <w:tabs>
          <w:tab w:val="left" w:pos="567"/>
        </w:tabs>
        <w:spacing w:line="276" w:lineRule="auto"/>
        <w:ind w:left="567" w:hanging="425"/>
        <w:rPr>
          <w:szCs w:val="22"/>
        </w:rPr>
      </w:pPr>
      <w:r w:rsidRPr="00894CF7">
        <w:rPr>
          <w:b/>
          <w:szCs w:val="22"/>
        </w:rPr>
        <w:t>Short-list reportable variants</w:t>
      </w:r>
      <w:r w:rsidRPr="00894CF7">
        <w:rPr>
          <w:szCs w:val="22"/>
        </w:rPr>
        <w:t xml:space="preserve"> (</w:t>
      </w:r>
      <w:r w:rsidR="00643C63" w:rsidRPr="00894CF7">
        <w:rPr>
          <w:szCs w:val="22"/>
        </w:rPr>
        <w:t xml:space="preserve">file: </w:t>
      </w:r>
      <w:proofErr w:type="gramStart"/>
      <w:r w:rsidRPr="00894CF7">
        <w:rPr>
          <w:i/>
          <w:szCs w:val="22"/>
        </w:rPr>
        <w:t>sample</w:t>
      </w:r>
      <w:r w:rsidRPr="00894CF7">
        <w:rPr>
          <w:szCs w:val="22"/>
        </w:rPr>
        <w:t>.RARE</w:t>
      </w:r>
      <w:proofErr w:type="gramEnd"/>
      <w:r w:rsidRPr="00894CF7">
        <w:rPr>
          <w:szCs w:val="22"/>
        </w:rPr>
        <w:t>_PASS_GENE.xlsx)</w:t>
      </w:r>
      <w:r w:rsidRPr="00894CF7">
        <w:rPr>
          <w:szCs w:val="22"/>
        </w:rPr>
        <w:br/>
      </w:r>
      <w:r w:rsidR="00AC66B5" w:rsidRPr="00894CF7">
        <w:rPr>
          <w:szCs w:val="22"/>
        </w:rPr>
        <w:t>A table with rare gene affecting variants is generated</w:t>
      </w:r>
      <w:r w:rsidR="00894CF7" w:rsidRPr="00894CF7">
        <w:rPr>
          <w:szCs w:val="22"/>
        </w:rPr>
        <w:t xml:space="preserve"> containing</w:t>
      </w:r>
      <w:r w:rsidR="00B93D9A" w:rsidRPr="00894CF7">
        <w:rPr>
          <w:szCs w:val="22"/>
        </w:rPr>
        <w:t xml:space="preserve"> </w:t>
      </w:r>
      <w:r w:rsidR="00894CF7" w:rsidRPr="00894CF7">
        <w:rPr>
          <w:szCs w:val="22"/>
        </w:rPr>
        <w:t xml:space="preserve">all </w:t>
      </w:r>
      <w:r w:rsidR="00B93D9A" w:rsidRPr="00894CF7">
        <w:rPr>
          <w:szCs w:val="22"/>
        </w:rPr>
        <w:t xml:space="preserve">variants </w:t>
      </w:r>
      <w:r w:rsidR="00894CF7" w:rsidRPr="00894CF7">
        <w:rPr>
          <w:szCs w:val="22"/>
        </w:rPr>
        <w:t xml:space="preserve">passing the variant detection threshold (FT=PASS Table 1) and having </w:t>
      </w:r>
      <w:r w:rsidR="00BC5E57" w:rsidRPr="00894CF7">
        <w:rPr>
          <w:szCs w:val="22"/>
        </w:rPr>
        <w:t xml:space="preserve">a </w:t>
      </w:r>
      <w:r w:rsidR="00B93D9A" w:rsidRPr="00894CF7">
        <w:rPr>
          <w:szCs w:val="22"/>
        </w:rPr>
        <w:t>population allele frequency</w:t>
      </w:r>
      <w:r w:rsidR="00643C63" w:rsidRPr="00894CF7">
        <w:rPr>
          <w:szCs w:val="22"/>
        </w:rPr>
        <w:t xml:space="preserve"> </w:t>
      </w:r>
      <w:r w:rsidR="00643C63" w:rsidRPr="00894CF7">
        <w:rPr>
          <w:rFonts w:ascii="ＭＳ ゴシック" w:eastAsia="ＭＳ ゴシック"/>
          <w:color w:val="000000"/>
        </w:rPr>
        <w:t>≤</w:t>
      </w:r>
      <w:r w:rsidR="00643C63" w:rsidRPr="00894CF7">
        <w:rPr>
          <w:szCs w:val="22"/>
        </w:rPr>
        <w:t>1</w:t>
      </w:r>
      <w:r w:rsidR="00442B09" w:rsidRPr="00894CF7">
        <w:rPr>
          <w:szCs w:val="22"/>
        </w:rPr>
        <w:t>%</w:t>
      </w:r>
      <w:r w:rsidR="00BC5E57" w:rsidRPr="00894CF7">
        <w:rPr>
          <w:szCs w:val="22"/>
        </w:rPr>
        <w:t xml:space="preserve">. Filtering the table by the following columns will enable to short list reportable </w:t>
      </w:r>
      <w:r w:rsidR="00113217">
        <w:rPr>
          <w:szCs w:val="22"/>
        </w:rPr>
        <w:t xml:space="preserve">candidate </w:t>
      </w:r>
      <w:r w:rsidR="00BC5E57" w:rsidRPr="00894CF7">
        <w:rPr>
          <w:szCs w:val="22"/>
        </w:rPr>
        <w:t>variants.</w:t>
      </w:r>
    </w:p>
    <w:p w14:paraId="512B1F72" w14:textId="77777777" w:rsidR="00BC5E57" w:rsidRDefault="00BC5E57" w:rsidP="00B266B2">
      <w:pPr>
        <w:pStyle w:val="ListParagraph"/>
        <w:spacing w:line="276" w:lineRule="auto"/>
        <w:ind w:hanging="578"/>
        <w:rPr>
          <w:szCs w:val="22"/>
        </w:rPr>
      </w:pPr>
    </w:p>
    <w:p w14:paraId="4D28D526" w14:textId="5CA52B51" w:rsidR="00BC5E57" w:rsidRDefault="00BC5E57" w:rsidP="00B266B2">
      <w:pPr>
        <w:pStyle w:val="ListParagraph"/>
        <w:numPr>
          <w:ilvl w:val="1"/>
          <w:numId w:val="1"/>
        </w:numPr>
        <w:spacing w:line="276" w:lineRule="auto"/>
        <w:ind w:hanging="578"/>
        <w:rPr>
          <w:szCs w:val="22"/>
        </w:rPr>
      </w:pPr>
      <w:r>
        <w:rPr>
          <w:szCs w:val="22"/>
        </w:rPr>
        <w:t xml:space="preserve">Hide variants affecting genes not having a </w:t>
      </w:r>
      <w:r w:rsidR="00113217">
        <w:rPr>
          <w:szCs w:val="22"/>
        </w:rPr>
        <w:t>disease</w:t>
      </w:r>
      <w:r>
        <w:rPr>
          <w:szCs w:val="22"/>
        </w:rPr>
        <w:t xml:space="preserve"> annotation (set PHEN to not blank)</w:t>
      </w:r>
      <w:r w:rsidR="00EA0557">
        <w:rPr>
          <w:szCs w:val="22"/>
        </w:rPr>
        <w:t xml:space="preserve">. </w:t>
      </w:r>
      <w:r w:rsidR="00442B09">
        <w:rPr>
          <w:szCs w:val="22"/>
        </w:rPr>
        <w:t>Shortlist variants matching</w:t>
      </w:r>
      <w:r w:rsidR="00EA0557">
        <w:rPr>
          <w:szCs w:val="22"/>
        </w:rPr>
        <w:t xml:space="preserve"> the </w:t>
      </w:r>
      <w:r w:rsidR="00113217">
        <w:rPr>
          <w:szCs w:val="22"/>
        </w:rPr>
        <w:t>patient’s</w:t>
      </w:r>
      <w:r w:rsidR="00EA0557">
        <w:rPr>
          <w:szCs w:val="22"/>
        </w:rPr>
        <w:t xml:space="preserve"> phenotype.</w:t>
      </w:r>
    </w:p>
    <w:p w14:paraId="614ED4AF" w14:textId="5F125480" w:rsidR="00442B09" w:rsidRPr="00442B09" w:rsidRDefault="00442B09" w:rsidP="00442B09">
      <w:pPr>
        <w:pStyle w:val="ListParagraph"/>
        <w:numPr>
          <w:ilvl w:val="1"/>
          <w:numId w:val="1"/>
        </w:numPr>
        <w:spacing w:line="276" w:lineRule="auto"/>
        <w:ind w:hanging="578"/>
        <w:rPr>
          <w:szCs w:val="22"/>
        </w:rPr>
      </w:pPr>
      <w:r w:rsidRPr="00BC5E57">
        <w:rPr>
          <w:szCs w:val="22"/>
        </w:rPr>
        <w:t xml:space="preserve">Filter </w:t>
      </w:r>
      <w:r>
        <w:rPr>
          <w:szCs w:val="22"/>
        </w:rPr>
        <w:t xml:space="preserve">out </w:t>
      </w:r>
      <w:r w:rsidRPr="00BC5E57">
        <w:rPr>
          <w:szCs w:val="22"/>
        </w:rPr>
        <w:t>variants aff</w:t>
      </w:r>
      <w:r>
        <w:rPr>
          <w:szCs w:val="22"/>
        </w:rPr>
        <w:t xml:space="preserve">ecting introns (set column GFEAT </w:t>
      </w:r>
      <w:proofErr w:type="gramStart"/>
      <w:r>
        <w:rPr>
          <w:szCs w:val="22"/>
        </w:rPr>
        <w:t>to !=</w:t>
      </w:r>
      <w:proofErr w:type="gramEnd"/>
      <w:r>
        <w:rPr>
          <w:szCs w:val="22"/>
        </w:rPr>
        <w:t xml:space="preserve"> intron)</w:t>
      </w:r>
    </w:p>
    <w:p w14:paraId="32F9C8E2" w14:textId="034AFEED" w:rsidR="00754A27" w:rsidRDefault="00754A27" w:rsidP="00B266B2">
      <w:pPr>
        <w:pStyle w:val="ListParagraph"/>
        <w:numPr>
          <w:ilvl w:val="1"/>
          <w:numId w:val="1"/>
        </w:numPr>
        <w:spacing w:line="276" w:lineRule="auto"/>
        <w:ind w:hanging="578"/>
        <w:rPr>
          <w:szCs w:val="22"/>
        </w:rPr>
      </w:pPr>
      <w:r>
        <w:rPr>
          <w:szCs w:val="22"/>
        </w:rPr>
        <w:t>Hide or sort by variants affecting a candidate gene (column CAN</w:t>
      </w:r>
      <w:r w:rsidR="00113217">
        <w:rPr>
          <w:szCs w:val="22"/>
        </w:rPr>
        <w:t>D</w:t>
      </w:r>
      <w:r>
        <w:rPr>
          <w:szCs w:val="22"/>
        </w:rPr>
        <w:t xml:space="preserve">G, if </w:t>
      </w:r>
      <w:r w:rsidR="008A1E75">
        <w:rPr>
          <w:szCs w:val="22"/>
        </w:rPr>
        <w:t xml:space="preserve">file </w:t>
      </w:r>
      <w:proofErr w:type="spellStart"/>
      <w:r>
        <w:rPr>
          <w:szCs w:val="22"/>
        </w:rPr>
        <w:t>candGene.ids</w:t>
      </w:r>
      <w:proofErr w:type="spellEnd"/>
      <w:r w:rsidR="008A1E75">
        <w:rPr>
          <w:szCs w:val="22"/>
        </w:rPr>
        <w:t xml:space="preserve"> was provided</w:t>
      </w:r>
      <w:r w:rsidR="00113217">
        <w:rPr>
          <w:szCs w:val="22"/>
        </w:rPr>
        <w:t>)</w:t>
      </w:r>
      <w:r w:rsidR="00442B09">
        <w:rPr>
          <w:szCs w:val="22"/>
        </w:rPr>
        <w:t>.</w:t>
      </w:r>
    </w:p>
    <w:p w14:paraId="744F0332" w14:textId="6F228883" w:rsidR="008A1E75" w:rsidRDefault="008A1E75" w:rsidP="00B266B2">
      <w:pPr>
        <w:pStyle w:val="ListParagraph"/>
        <w:numPr>
          <w:ilvl w:val="1"/>
          <w:numId w:val="1"/>
        </w:numPr>
        <w:spacing w:line="276" w:lineRule="auto"/>
        <w:ind w:hanging="578"/>
        <w:rPr>
          <w:szCs w:val="22"/>
        </w:rPr>
      </w:pPr>
      <w:r w:rsidRPr="008A1E75">
        <w:rPr>
          <w:szCs w:val="22"/>
        </w:rPr>
        <w:t>Focus first on variants with copy number change (</w:t>
      </w:r>
      <w:r w:rsidR="00BC5E57" w:rsidRPr="008A1E75">
        <w:rPr>
          <w:szCs w:val="22"/>
        </w:rPr>
        <w:t>CNV=1)</w:t>
      </w:r>
      <w:r w:rsidR="00113217">
        <w:rPr>
          <w:szCs w:val="22"/>
        </w:rPr>
        <w:t>.</w:t>
      </w:r>
    </w:p>
    <w:p w14:paraId="51C8F657" w14:textId="745532E8" w:rsidR="00BC5E57" w:rsidRPr="00BC5E57" w:rsidRDefault="00BC5E57" w:rsidP="00B266B2">
      <w:pPr>
        <w:pStyle w:val="ListParagraph"/>
        <w:numPr>
          <w:ilvl w:val="1"/>
          <w:numId w:val="1"/>
        </w:numPr>
        <w:spacing w:line="276" w:lineRule="auto"/>
        <w:ind w:hanging="578"/>
        <w:rPr>
          <w:szCs w:val="22"/>
        </w:rPr>
      </w:pPr>
      <w:r>
        <w:rPr>
          <w:szCs w:val="22"/>
        </w:rPr>
        <w:t>If a pedigree file was provided, consider variants only present in affected individuals</w:t>
      </w:r>
      <w:r w:rsidR="00113217">
        <w:rPr>
          <w:szCs w:val="22"/>
        </w:rPr>
        <w:t>.</w:t>
      </w:r>
      <w:r>
        <w:rPr>
          <w:szCs w:val="22"/>
        </w:rPr>
        <w:t xml:space="preserve"> (IA</w:t>
      </w:r>
      <w:r w:rsidR="008A1E75">
        <w:rPr>
          <w:szCs w:val="22"/>
        </w:rPr>
        <w:t>&gt;0</w:t>
      </w:r>
      <w:r>
        <w:rPr>
          <w:szCs w:val="22"/>
        </w:rPr>
        <w:t xml:space="preserve">), and </w:t>
      </w:r>
      <w:r w:rsidR="008A1E75">
        <w:rPr>
          <w:szCs w:val="22"/>
        </w:rPr>
        <w:t xml:space="preserve">for autosomal dominant diseases </w:t>
      </w:r>
      <w:r w:rsidR="00113217">
        <w:rPr>
          <w:szCs w:val="22"/>
        </w:rPr>
        <w:t xml:space="preserve">filter for </w:t>
      </w:r>
      <w:r w:rsidR="004B7491">
        <w:rPr>
          <w:szCs w:val="22"/>
        </w:rPr>
        <w:t xml:space="preserve">variants absent </w:t>
      </w:r>
      <w:r>
        <w:rPr>
          <w:szCs w:val="22"/>
        </w:rPr>
        <w:t>in unaffected individuals (IUA</w:t>
      </w:r>
      <w:r w:rsidR="008A1E75">
        <w:rPr>
          <w:szCs w:val="22"/>
        </w:rPr>
        <w:t xml:space="preserve"> </w:t>
      </w:r>
      <w:r w:rsidR="00113217">
        <w:rPr>
          <w:szCs w:val="22"/>
        </w:rPr>
        <w:t>=</w:t>
      </w:r>
      <w:r w:rsidR="008A1E75">
        <w:rPr>
          <w:szCs w:val="22"/>
        </w:rPr>
        <w:t>= 0</w:t>
      </w:r>
      <w:r>
        <w:rPr>
          <w:szCs w:val="22"/>
        </w:rPr>
        <w:t>).</w:t>
      </w:r>
    </w:p>
    <w:p w14:paraId="6A05FF6E" w14:textId="586E4CF0" w:rsidR="00BC5E57" w:rsidRPr="005E7D05" w:rsidRDefault="00BC5E57" w:rsidP="005E7D05">
      <w:pPr>
        <w:pStyle w:val="ListParagraph"/>
        <w:numPr>
          <w:ilvl w:val="1"/>
          <w:numId w:val="1"/>
        </w:numPr>
        <w:spacing w:line="276" w:lineRule="auto"/>
        <w:ind w:hanging="578"/>
        <w:rPr>
          <w:szCs w:val="22"/>
        </w:rPr>
      </w:pPr>
      <w:r w:rsidRPr="005E7D05">
        <w:rPr>
          <w:szCs w:val="22"/>
        </w:rPr>
        <w:t>Consider the strength of evidence supportin</w:t>
      </w:r>
      <w:r w:rsidR="00113217" w:rsidRPr="005E7D05">
        <w:rPr>
          <w:szCs w:val="22"/>
        </w:rPr>
        <w:t xml:space="preserve">g the variant call. </w:t>
      </w:r>
      <w:r w:rsidR="005E7D05" w:rsidRPr="005E7D05">
        <w:rPr>
          <w:szCs w:val="22"/>
        </w:rPr>
        <w:t xml:space="preserve">High confidence variant calls demonstrate high numbers of </w:t>
      </w:r>
      <w:r w:rsidR="00113217" w:rsidRPr="005E7D05">
        <w:rPr>
          <w:szCs w:val="22"/>
        </w:rPr>
        <w:t>discordant pairs (DP) and split reads (SR)</w:t>
      </w:r>
      <w:r w:rsidR="005E7D05" w:rsidRPr="005E7D05">
        <w:rPr>
          <w:szCs w:val="22"/>
        </w:rPr>
        <w:t>. Due to repeats at breakpoint</w:t>
      </w:r>
      <w:r w:rsidR="005E7D05">
        <w:rPr>
          <w:szCs w:val="22"/>
        </w:rPr>
        <w:t xml:space="preserve">, DP/SR evidence can be reduced and some </w:t>
      </w:r>
      <w:r w:rsidRPr="005E7D05">
        <w:rPr>
          <w:szCs w:val="22"/>
        </w:rPr>
        <w:t>CNV</w:t>
      </w:r>
      <w:r w:rsidR="005E7D05" w:rsidRPr="005E7D05">
        <w:rPr>
          <w:szCs w:val="22"/>
        </w:rPr>
        <w:t>s</w:t>
      </w:r>
      <w:r w:rsidRPr="005E7D05">
        <w:rPr>
          <w:szCs w:val="22"/>
        </w:rPr>
        <w:t xml:space="preserve"> </w:t>
      </w:r>
      <w:r w:rsidR="005E7D05">
        <w:rPr>
          <w:szCs w:val="22"/>
        </w:rPr>
        <w:t>will have no supporting DP/SR</w:t>
      </w:r>
      <w:r w:rsidRPr="005E7D05">
        <w:rPr>
          <w:szCs w:val="22"/>
        </w:rPr>
        <w:t>. Unusual GC content, overlapping segmental duplications can be indicators of poor quality calls.</w:t>
      </w:r>
    </w:p>
    <w:p w14:paraId="643A50F0" w14:textId="078E4A3B" w:rsidR="00BC5E57" w:rsidRPr="00BA3BB0" w:rsidRDefault="004B7491" w:rsidP="00BA3BB0">
      <w:pPr>
        <w:pStyle w:val="ListParagraph"/>
        <w:numPr>
          <w:ilvl w:val="1"/>
          <w:numId w:val="1"/>
        </w:numPr>
        <w:spacing w:line="276" w:lineRule="auto"/>
        <w:ind w:hanging="578"/>
        <w:rPr>
          <w:szCs w:val="22"/>
        </w:rPr>
      </w:pPr>
      <w:r w:rsidRPr="004B7491">
        <w:rPr>
          <w:szCs w:val="22"/>
        </w:rPr>
        <w:t xml:space="preserve">Consider to </w:t>
      </w:r>
      <w:r>
        <w:rPr>
          <w:szCs w:val="22"/>
        </w:rPr>
        <w:t xml:space="preserve">decrease the threshold for rare variants </w:t>
      </w:r>
      <w:r w:rsidRPr="004B7491">
        <w:rPr>
          <w:szCs w:val="22"/>
        </w:rPr>
        <w:t xml:space="preserve">by </w:t>
      </w:r>
      <w:r w:rsidR="005E7D05">
        <w:rPr>
          <w:szCs w:val="22"/>
        </w:rPr>
        <w:t>applying filters</w:t>
      </w:r>
      <w:r w:rsidRPr="004B7491">
        <w:rPr>
          <w:szCs w:val="22"/>
        </w:rPr>
        <w:t xml:space="preserve"> on </w:t>
      </w:r>
      <w:r w:rsidR="005E7D05">
        <w:rPr>
          <w:szCs w:val="22"/>
        </w:rPr>
        <w:t xml:space="preserve">population variant allele frequency columns </w:t>
      </w:r>
      <w:r w:rsidR="00BC5E57" w:rsidRPr="004B7491">
        <w:rPr>
          <w:szCs w:val="22"/>
        </w:rPr>
        <w:t>PAFSU, PAFDRA, PAFV</w:t>
      </w:r>
      <w:r>
        <w:rPr>
          <w:szCs w:val="22"/>
        </w:rPr>
        <w:t xml:space="preserve"> and</w:t>
      </w:r>
      <w:r w:rsidR="00BC5E57" w:rsidRPr="004B7491">
        <w:rPr>
          <w:szCs w:val="22"/>
        </w:rPr>
        <w:t xml:space="preserve"> PAF1KG</w:t>
      </w:r>
      <w:r w:rsidR="00BA3BB0">
        <w:rPr>
          <w:szCs w:val="22"/>
        </w:rPr>
        <w:br/>
      </w:r>
    </w:p>
    <w:p w14:paraId="22544D15" w14:textId="392F23CD" w:rsidR="008A1E75" w:rsidRDefault="00B8664F" w:rsidP="00B266B2">
      <w:pPr>
        <w:pStyle w:val="ListParagraph"/>
        <w:spacing w:line="276" w:lineRule="auto"/>
        <w:ind w:left="567"/>
        <w:rPr>
          <w:szCs w:val="22"/>
        </w:rPr>
      </w:pPr>
      <w:r w:rsidRPr="00B8664F">
        <w:rPr>
          <w:szCs w:val="22"/>
        </w:rPr>
        <w:t xml:space="preserve">For a description of </w:t>
      </w:r>
      <w:r w:rsidR="004B7491">
        <w:rPr>
          <w:szCs w:val="22"/>
        </w:rPr>
        <w:t>all</w:t>
      </w:r>
      <w:r w:rsidRPr="00B8664F">
        <w:rPr>
          <w:szCs w:val="22"/>
        </w:rPr>
        <w:t xml:space="preserve"> column names, see</w:t>
      </w:r>
      <w:r w:rsidR="00BD0FFE" w:rsidRPr="00BD0FFE">
        <w:rPr>
          <w:szCs w:val="22"/>
        </w:rPr>
        <w:t xml:space="preserve"> Table </w:t>
      </w:r>
      <w:r w:rsidR="004B7491">
        <w:rPr>
          <w:szCs w:val="22"/>
        </w:rPr>
        <w:t>2</w:t>
      </w:r>
      <w:r w:rsidRPr="00B8664F">
        <w:rPr>
          <w:szCs w:val="22"/>
        </w:rPr>
        <w:t>.</w:t>
      </w:r>
      <w:r w:rsidR="00EF1E87">
        <w:rPr>
          <w:szCs w:val="22"/>
        </w:rPr>
        <w:t xml:space="preserve"> </w:t>
      </w:r>
      <w:r w:rsidR="00BA2117">
        <w:rPr>
          <w:szCs w:val="22"/>
        </w:rPr>
        <w:t>A</w:t>
      </w:r>
      <w:r w:rsidR="008A1E75">
        <w:rPr>
          <w:szCs w:val="22"/>
        </w:rPr>
        <w:t xml:space="preserve"> reduced set</w:t>
      </w:r>
      <w:r w:rsidR="006A7268">
        <w:rPr>
          <w:szCs w:val="22"/>
        </w:rPr>
        <w:t xml:space="preserve"> of annotation</w:t>
      </w:r>
      <w:r w:rsidR="008A1E75">
        <w:rPr>
          <w:szCs w:val="22"/>
        </w:rPr>
        <w:t xml:space="preserve"> columns</w:t>
      </w:r>
      <w:r w:rsidR="006A7268">
        <w:rPr>
          <w:szCs w:val="22"/>
        </w:rPr>
        <w:t xml:space="preserve"> can be found in </w:t>
      </w:r>
      <w:proofErr w:type="gramStart"/>
      <w:r w:rsidR="006A7268">
        <w:rPr>
          <w:i/>
          <w:szCs w:val="22"/>
        </w:rPr>
        <w:t>sample</w:t>
      </w:r>
      <w:r w:rsidR="006A7268">
        <w:rPr>
          <w:szCs w:val="22"/>
        </w:rPr>
        <w:t>.RARE</w:t>
      </w:r>
      <w:proofErr w:type="gramEnd"/>
      <w:r w:rsidR="006A7268">
        <w:rPr>
          <w:szCs w:val="22"/>
        </w:rPr>
        <w:t>_PASS_GENE.</w:t>
      </w:r>
      <w:r w:rsidR="008A1E75">
        <w:rPr>
          <w:szCs w:val="22"/>
        </w:rPr>
        <w:t>light.</w:t>
      </w:r>
      <w:r w:rsidR="008A1E75" w:rsidRPr="00B8664F">
        <w:rPr>
          <w:szCs w:val="22"/>
        </w:rPr>
        <w:t>xlsx</w:t>
      </w:r>
      <w:r w:rsidR="008A1E75">
        <w:rPr>
          <w:szCs w:val="22"/>
        </w:rPr>
        <w:t xml:space="preserve">. </w:t>
      </w:r>
      <w:r w:rsidR="008A1E75" w:rsidRPr="00B93D9A">
        <w:rPr>
          <w:szCs w:val="22"/>
        </w:rPr>
        <w:t>The full list of variants can be found in file</w:t>
      </w:r>
      <w:r w:rsidR="008A1E75">
        <w:rPr>
          <w:szCs w:val="22"/>
        </w:rPr>
        <w:t>s</w:t>
      </w:r>
      <w:r w:rsidR="008A1E75" w:rsidRPr="00B93D9A">
        <w:rPr>
          <w:szCs w:val="22"/>
        </w:rPr>
        <w:t xml:space="preserve"> SV-CNV.txt or SV-CNV.vcf</w:t>
      </w:r>
    </w:p>
    <w:p w14:paraId="7DAD89A8" w14:textId="218CA1A3" w:rsidR="006B7E84" w:rsidRPr="00272802" w:rsidRDefault="006B7E84" w:rsidP="00B266B2">
      <w:pPr>
        <w:pStyle w:val="ListParagraph"/>
        <w:spacing w:line="276" w:lineRule="auto"/>
        <w:ind w:hanging="578"/>
        <w:rPr>
          <w:szCs w:val="22"/>
        </w:rPr>
      </w:pPr>
    </w:p>
    <w:p w14:paraId="3772808E" w14:textId="6BDE9730" w:rsidR="00B93D9A" w:rsidRPr="009412B4" w:rsidRDefault="00272802" w:rsidP="00B266B2">
      <w:pPr>
        <w:pStyle w:val="ListParagraph"/>
        <w:numPr>
          <w:ilvl w:val="0"/>
          <w:numId w:val="1"/>
        </w:numPr>
        <w:spacing w:line="276" w:lineRule="auto"/>
        <w:ind w:left="567" w:hanging="425"/>
        <w:rPr>
          <w:szCs w:val="22"/>
        </w:rPr>
      </w:pPr>
      <w:r w:rsidRPr="009412B4">
        <w:rPr>
          <w:b/>
          <w:szCs w:val="22"/>
        </w:rPr>
        <w:lastRenderedPageBreak/>
        <w:t>Visualize variants</w:t>
      </w:r>
      <w:r w:rsidR="00B266B2" w:rsidRPr="009412B4">
        <w:rPr>
          <w:b/>
          <w:szCs w:val="22"/>
        </w:rPr>
        <w:br/>
      </w:r>
      <w:r w:rsidR="00B266B2" w:rsidRPr="009412B4">
        <w:rPr>
          <w:szCs w:val="22"/>
        </w:rPr>
        <w:t>Similar to SNV, c</w:t>
      </w:r>
      <w:r w:rsidR="0021465F" w:rsidRPr="009412B4">
        <w:rPr>
          <w:szCs w:val="22"/>
        </w:rPr>
        <w:t xml:space="preserve">andidate </w:t>
      </w:r>
      <w:r w:rsidR="00B266B2" w:rsidRPr="009412B4">
        <w:rPr>
          <w:szCs w:val="22"/>
        </w:rPr>
        <w:t xml:space="preserve">SV and CNV </w:t>
      </w:r>
      <w:r w:rsidR="009F5C41" w:rsidRPr="009412B4">
        <w:rPr>
          <w:szCs w:val="22"/>
        </w:rPr>
        <w:t>need to</w:t>
      </w:r>
      <w:r w:rsidR="0021465F" w:rsidRPr="009412B4">
        <w:rPr>
          <w:szCs w:val="22"/>
        </w:rPr>
        <w:t xml:space="preserve"> be visualized</w:t>
      </w:r>
      <w:r w:rsidR="00130323" w:rsidRPr="009412B4">
        <w:rPr>
          <w:szCs w:val="22"/>
        </w:rPr>
        <w:t xml:space="preserve"> prior to reporting</w:t>
      </w:r>
      <w:r w:rsidR="00405127" w:rsidRPr="009412B4">
        <w:rPr>
          <w:szCs w:val="22"/>
        </w:rPr>
        <w:t xml:space="preserve"> mainly</w:t>
      </w:r>
      <w:r w:rsidR="0021465F" w:rsidRPr="009412B4">
        <w:rPr>
          <w:szCs w:val="22"/>
        </w:rPr>
        <w:t xml:space="preserve"> in order to rule out false positive automated </w:t>
      </w:r>
      <w:r w:rsidR="00B266B2" w:rsidRPr="009412B4">
        <w:rPr>
          <w:szCs w:val="22"/>
        </w:rPr>
        <w:t xml:space="preserve">variant </w:t>
      </w:r>
      <w:r w:rsidR="0021465F" w:rsidRPr="009412B4">
        <w:rPr>
          <w:szCs w:val="22"/>
        </w:rPr>
        <w:t xml:space="preserve">calls, </w:t>
      </w:r>
      <w:r w:rsidR="00625445" w:rsidRPr="009412B4">
        <w:rPr>
          <w:szCs w:val="22"/>
        </w:rPr>
        <w:t>visually confirm</w:t>
      </w:r>
      <w:r w:rsidR="009F5C41" w:rsidRPr="009412B4">
        <w:rPr>
          <w:szCs w:val="22"/>
        </w:rPr>
        <w:t xml:space="preserve"> the </w:t>
      </w:r>
      <w:r w:rsidR="00625445" w:rsidRPr="009412B4">
        <w:rPr>
          <w:szCs w:val="22"/>
        </w:rPr>
        <w:t xml:space="preserve">altering effect </w:t>
      </w:r>
      <w:r w:rsidR="00405127" w:rsidRPr="009412B4">
        <w:rPr>
          <w:szCs w:val="22"/>
        </w:rPr>
        <w:t>on gene function and</w:t>
      </w:r>
      <w:r w:rsidR="009F5C41" w:rsidRPr="009412B4">
        <w:rPr>
          <w:szCs w:val="22"/>
        </w:rPr>
        <w:t xml:space="preserve"> check if a</w:t>
      </w:r>
      <w:r w:rsidR="00625445" w:rsidRPr="009412B4">
        <w:rPr>
          <w:szCs w:val="22"/>
        </w:rPr>
        <w:t>n</w:t>
      </w:r>
      <w:r w:rsidR="009F5C41" w:rsidRPr="009412B4">
        <w:rPr>
          <w:szCs w:val="22"/>
        </w:rPr>
        <w:t xml:space="preserve"> individual </w:t>
      </w:r>
      <w:r w:rsidR="00625445" w:rsidRPr="009412B4">
        <w:rPr>
          <w:szCs w:val="22"/>
        </w:rPr>
        <w:t>variant</w:t>
      </w:r>
      <w:r w:rsidR="009F5C41" w:rsidRPr="009412B4">
        <w:rPr>
          <w:szCs w:val="22"/>
        </w:rPr>
        <w:t xml:space="preserve"> is part of a more complex structural </w:t>
      </w:r>
      <w:r w:rsidR="00625445" w:rsidRPr="009412B4">
        <w:rPr>
          <w:szCs w:val="22"/>
        </w:rPr>
        <w:t>rearrangement</w:t>
      </w:r>
      <w:r w:rsidR="009F5C41" w:rsidRPr="009412B4">
        <w:rPr>
          <w:szCs w:val="22"/>
        </w:rPr>
        <w:t>.</w:t>
      </w:r>
      <w:r w:rsidR="00405127" w:rsidRPr="009412B4">
        <w:rPr>
          <w:szCs w:val="22"/>
        </w:rPr>
        <w:br/>
        <w:t xml:space="preserve">First open IGV, </w:t>
      </w:r>
      <w:r w:rsidR="00130323" w:rsidRPr="009412B4">
        <w:rPr>
          <w:szCs w:val="22"/>
        </w:rPr>
        <w:t xml:space="preserve">then </w:t>
      </w:r>
      <w:r w:rsidR="00405127" w:rsidRPr="009412B4">
        <w:rPr>
          <w:szCs w:val="22"/>
        </w:rPr>
        <w:t>c</w:t>
      </w:r>
      <w:r w:rsidR="009F59A1" w:rsidRPr="009412B4">
        <w:rPr>
          <w:szCs w:val="22"/>
        </w:rPr>
        <w:t xml:space="preserve">lick </w:t>
      </w:r>
      <w:r w:rsidR="00130323" w:rsidRPr="009412B4">
        <w:rPr>
          <w:szCs w:val="22"/>
        </w:rPr>
        <w:t xml:space="preserve">on </w:t>
      </w:r>
      <w:r w:rsidR="009F59A1" w:rsidRPr="009412B4">
        <w:rPr>
          <w:szCs w:val="22"/>
        </w:rPr>
        <w:t>the “IGV” link in the excel file to load all tracks from the specified sample, and then click the “GOTO” links to jump to the region containing th</w:t>
      </w:r>
      <w:r w:rsidR="00010A13" w:rsidRPr="009412B4">
        <w:rPr>
          <w:szCs w:val="22"/>
        </w:rPr>
        <w:t xml:space="preserve">e variant, or the breakpoints. </w:t>
      </w:r>
      <w:r w:rsidR="009412B4">
        <w:rPr>
          <w:szCs w:val="22"/>
        </w:rPr>
        <w:t>Clicking on the ClinSV variant will show its properties.</w:t>
      </w:r>
      <w:r w:rsidR="00B266B2" w:rsidRPr="009412B4">
        <w:rPr>
          <w:szCs w:val="22"/>
        </w:rPr>
        <w:br/>
      </w:r>
      <w:r w:rsidR="009F59A1" w:rsidRPr="009412B4">
        <w:rPr>
          <w:szCs w:val="22"/>
        </w:rPr>
        <w:t xml:space="preserve">Check Table </w:t>
      </w:r>
      <w:r w:rsidR="00B266B2" w:rsidRPr="009412B4">
        <w:rPr>
          <w:szCs w:val="22"/>
        </w:rPr>
        <w:t>3</w:t>
      </w:r>
      <w:r w:rsidR="009F59A1" w:rsidRPr="009412B4">
        <w:rPr>
          <w:szCs w:val="22"/>
        </w:rPr>
        <w:t xml:space="preserve"> for our recommended manual validation criteria and Figure 1 for a description of the </w:t>
      </w:r>
      <w:r w:rsidR="00B266B2" w:rsidRPr="009412B4">
        <w:rPr>
          <w:szCs w:val="22"/>
        </w:rPr>
        <w:t xml:space="preserve">genome browser </w:t>
      </w:r>
      <w:r w:rsidR="009F59A1" w:rsidRPr="009412B4">
        <w:rPr>
          <w:szCs w:val="22"/>
        </w:rPr>
        <w:t xml:space="preserve">tracks. </w:t>
      </w:r>
      <w:r w:rsidR="00130323" w:rsidRPr="009412B4">
        <w:rPr>
          <w:szCs w:val="22"/>
        </w:rPr>
        <w:t>C</w:t>
      </w:r>
      <w:r w:rsidR="009F59A1" w:rsidRPr="009412B4">
        <w:rPr>
          <w:szCs w:val="22"/>
        </w:rPr>
        <w:t xml:space="preserve">heck </w:t>
      </w:r>
      <w:r w:rsidR="00010A13" w:rsidRPr="009412B4">
        <w:rPr>
          <w:szCs w:val="22"/>
        </w:rPr>
        <w:t xml:space="preserve">if </w:t>
      </w:r>
      <w:r w:rsidR="00130323" w:rsidRPr="009412B4">
        <w:rPr>
          <w:szCs w:val="22"/>
        </w:rPr>
        <w:t xml:space="preserve">there are </w:t>
      </w:r>
      <w:r w:rsidR="00010A13" w:rsidRPr="009412B4">
        <w:rPr>
          <w:szCs w:val="22"/>
        </w:rPr>
        <w:t xml:space="preserve">common </w:t>
      </w:r>
      <w:r w:rsidR="00130323" w:rsidRPr="009412B4">
        <w:rPr>
          <w:szCs w:val="22"/>
        </w:rPr>
        <w:t>overlapping events using the MGRB and DGV track.</w:t>
      </w:r>
      <w:r w:rsidR="00010A13" w:rsidRPr="009412B4">
        <w:rPr>
          <w:szCs w:val="22"/>
        </w:rPr>
        <w:t xml:space="preserve"> Note that D</w:t>
      </w:r>
      <w:r w:rsidR="009412B4">
        <w:rPr>
          <w:szCs w:val="22"/>
        </w:rPr>
        <w:t xml:space="preserve">GV contains many disease </w:t>
      </w:r>
      <w:proofErr w:type="spellStart"/>
      <w:r w:rsidR="009412B4">
        <w:rPr>
          <w:szCs w:val="22"/>
        </w:rPr>
        <w:t>specifc</w:t>
      </w:r>
      <w:proofErr w:type="spellEnd"/>
      <w:r w:rsidR="00010A13" w:rsidRPr="009412B4">
        <w:rPr>
          <w:szCs w:val="22"/>
        </w:rPr>
        <w:t xml:space="preserve"> studies, click on a variant to obtain the PubMed ID of the underlying study.</w:t>
      </w:r>
      <w:r w:rsidR="00B266B2" w:rsidRPr="009412B4">
        <w:rPr>
          <w:szCs w:val="22"/>
        </w:rPr>
        <w:br/>
      </w:r>
      <w:r w:rsidR="009F59A1" w:rsidRPr="009412B4">
        <w:rPr>
          <w:szCs w:val="22"/>
        </w:rPr>
        <w:t>To know whether all gen</w:t>
      </w:r>
      <w:bookmarkStart w:id="0" w:name="_GoBack"/>
      <w:bookmarkEnd w:id="0"/>
      <w:r w:rsidR="009F59A1" w:rsidRPr="009412B4">
        <w:rPr>
          <w:szCs w:val="22"/>
        </w:rPr>
        <w:t>ome browser tracks are loaded correctly, compare your screen to Figure 1</w:t>
      </w:r>
      <w:r w:rsidR="009412B4">
        <w:rPr>
          <w:szCs w:val="22"/>
        </w:rPr>
        <w:t xml:space="preserve"> showing a variant present in most people</w:t>
      </w:r>
      <w:r w:rsidR="009F59A1" w:rsidRPr="009412B4">
        <w:rPr>
          <w:szCs w:val="22"/>
        </w:rPr>
        <w:t xml:space="preserve">. </w:t>
      </w:r>
    </w:p>
    <w:p w14:paraId="488146C3" w14:textId="77777777" w:rsidR="00EA0557" w:rsidRDefault="00EA0557" w:rsidP="00B266B2">
      <w:pPr>
        <w:pStyle w:val="ListParagraph"/>
        <w:spacing w:line="276" w:lineRule="auto"/>
        <w:ind w:hanging="578"/>
        <w:rPr>
          <w:szCs w:val="22"/>
        </w:rPr>
      </w:pPr>
    </w:p>
    <w:p w14:paraId="555B0838" w14:textId="77777777" w:rsidR="009412B4" w:rsidRDefault="00EA0557" w:rsidP="00B266B2">
      <w:pPr>
        <w:spacing w:line="276" w:lineRule="auto"/>
        <w:ind w:left="567"/>
        <w:rPr>
          <w:szCs w:val="22"/>
          <w:u w:val="single"/>
        </w:rPr>
      </w:pPr>
      <w:r w:rsidRPr="00B266B2">
        <w:rPr>
          <w:szCs w:val="22"/>
          <w:u w:val="single"/>
        </w:rPr>
        <w:t>Troubleshooting</w:t>
      </w:r>
      <w:r w:rsidR="009412B4">
        <w:rPr>
          <w:szCs w:val="22"/>
          <w:u w:val="single"/>
        </w:rPr>
        <w:t>:</w:t>
      </w:r>
    </w:p>
    <w:p w14:paraId="4093E939" w14:textId="50E0BA22" w:rsidR="00B93D9A" w:rsidRPr="00B93D9A" w:rsidRDefault="009412B4" w:rsidP="009412B4">
      <w:pPr>
        <w:spacing w:line="276" w:lineRule="auto"/>
        <w:ind w:left="567"/>
        <w:rPr>
          <w:szCs w:val="22"/>
        </w:rPr>
      </w:pPr>
      <w:r w:rsidRPr="009412B4">
        <w:rPr>
          <w:szCs w:val="22"/>
        </w:rPr>
        <w:t>Make sure the paths to the tracks are the same, as when running ClinSV, else tracks cannot be loaded from the IGV session xml file.</w:t>
      </w:r>
      <w:r>
        <w:rPr>
          <w:szCs w:val="22"/>
        </w:rPr>
        <w:t xml:space="preserve"> The URL in the IGV hyperlink contains the path to the IGV session file. Check if you can access it from the terminal.</w:t>
      </w:r>
      <w:r>
        <w:rPr>
          <w:szCs w:val="22"/>
        </w:rPr>
        <w:br/>
      </w:r>
      <w:r w:rsidR="00EA0557" w:rsidRPr="00B93D9A">
        <w:rPr>
          <w:szCs w:val="22"/>
        </w:rPr>
        <w:t xml:space="preserve">Excel on Mac has a known issue: when you click the IGV or GOTO hyperlinks in Excel, it </w:t>
      </w:r>
      <w:proofErr w:type="gramStart"/>
      <w:r w:rsidR="00EA0557" w:rsidRPr="00B93D9A">
        <w:rPr>
          <w:szCs w:val="22"/>
        </w:rPr>
        <w:t>will</w:t>
      </w:r>
      <w:proofErr w:type="gramEnd"/>
      <w:r w:rsidR="00EA0557" w:rsidRPr="00B93D9A">
        <w:rPr>
          <w:szCs w:val="22"/>
        </w:rPr>
        <w:t xml:space="preserve"> popup the following message: ‘Cannot locate the Internet server or proxy server’.</w:t>
      </w:r>
      <w:r w:rsidR="00EA0557" w:rsidRPr="00B93D9A">
        <w:rPr>
          <w:noProof/>
          <w:szCs w:val="22"/>
        </w:rPr>
        <w:t xml:space="preserve"> </w:t>
      </w:r>
      <w:r w:rsidR="00EA0557" w:rsidRPr="00B93D9A">
        <w:rPr>
          <w:szCs w:val="22"/>
        </w:rPr>
        <w:t xml:space="preserve"> Whilst this is annoying, IGV does still update its position in response to clicking the link. Alternative spreadsheet programs, like </w:t>
      </w:r>
      <w:proofErr w:type="spellStart"/>
      <w:r w:rsidR="00EA0557" w:rsidRPr="00B93D9A">
        <w:rPr>
          <w:szCs w:val="22"/>
        </w:rPr>
        <w:t>OpenOffice</w:t>
      </w:r>
      <w:proofErr w:type="spellEnd"/>
      <w:r w:rsidR="00EA0557" w:rsidRPr="00B93D9A">
        <w:rPr>
          <w:szCs w:val="22"/>
        </w:rPr>
        <w:t xml:space="preserve"> </w:t>
      </w:r>
      <w:r w:rsidR="00EA0557">
        <w:rPr>
          <w:szCs w:val="22"/>
        </w:rPr>
        <w:t xml:space="preserve">or new Excel versions </w:t>
      </w:r>
      <w:r w:rsidR="00EA0557" w:rsidRPr="00B93D9A">
        <w:rPr>
          <w:szCs w:val="22"/>
        </w:rPr>
        <w:t>do not have this issue.</w:t>
      </w:r>
    </w:p>
    <w:p w14:paraId="18752975" w14:textId="77777777" w:rsidR="00272802" w:rsidRDefault="00272802" w:rsidP="00B266B2">
      <w:pPr>
        <w:pStyle w:val="ListParagraph"/>
        <w:spacing w:line="276" w:lineRule="auto"/>
        <w:ind w:hanging="578"/>
        <w:rPr>
          <w:szCs w:val="22"/>
        </w:rPr>
      </w:pPr>
    </w:p>
    <w:p w14:paraId="61C41AE9" w14:textId="4BB7B005" w:rsidR="00272802" w:rsidRPr="00272802" w:rsidRDefault="00272802" w:rsidP="00AB5F3B">
      <w:pPr>
        <w:pStyle w:val="ListParagraph"/>
        <w:numPr>
          <w:ilvl w:val="0"/>
          <w:numId w:val="1"/>
        </w:numPr>
        <w:spacing w:line="276" w:lineRule="auto"/>
        <w:ind w:left="567" w:hanging="425"/>
        <w:rPr>
          <w:b/>
          <w:szCs w:val="22"/>
        </w:rPr>
      </w:pPr>
      <w:r w:rsidRPr="00272802">
        <w:rPr>
          <w:b/>
          <w:szCs w:val="22"/>
        </w:rPr>
        <w:t>Orthogonal validation</w:t>
      </w:r>
      <w:r>
        <w:rPr>
          <w:b/>
          <w:szCs w:val="22"/>
        </w:rPr>
        <w:br/>
      </w:r>
      <w:r>
        <w:rPr>
          <w:szCs w:val="22"/>
        </w:rPr>
        <w:t xml:space="preserve">As for SNV it is recommended to </w:t>
      </w:r>
      <w:r w:rsidR="00AB5F3B">
        <w:rPr>
          <w:szCs w:val="22"/>
        </w:rPr>
        <w:t>confirm</w:t>
      </w:r>
      <w:r>
        <w:rPr>
          <w:szCs w:val="22"/>
        </w:rPr>
        <w:t xml:space="preserve"> reportable SV/CNV through a</w:t>
      </w:r>
      <w:r w:rsidR="009412B4">
        <w:rPr>
          <w:szCs w:val="22"/>
        </w:rPr>
        <w:t>n</w:t>
      </w:r>
      <w:r>
        <w:rPr>
          <w:szCs w:val="22"/>
        </w:rPr>
        <w:t xml:space="preserve"> orthogonal method such as MLPA or Sanger</w:t>
      </w:r>
      <w:r w:rsidR="00AB5F3B">
        <w:rPr>
          <w:szCs w:val="22"/>
        </w:rPr>
        <w:t xml:space="preserve"> sequencing</w:t>
      </w:r>
      <w:r>
        <w:rPr>
          <w:szCs w:val="22"/>
        </w:rPr>
        <w:t>.</w:t>
      </w:r>
    </w:p>
    <w:p w14:paraId="3B48727C" w14:textId="77777777" w:rsidR="00BA2117" w:rsidRDefault="00BA2117" w:rsidP="00BA2117">
      <w:pPr>
        <w:spacing w:line="276" w:lineRule="auto"/>
        <w:rPr>
          <w:b/>
        </w:rPr>
      </w:pPr>
    </w:p>
    <w:p w14:paraId="31FCD53A" w14:textId="77777777" w:rsidR="00BA3BB0" w:rsidRDefault="00BA3BB0" w:rsidP="00BA2117">
      <w:pPr>
        <w:spacing w:line="276" w:lineRule="auto"/>
        <w:rPr>
          <w:b/>
        </w:rPr>
      </w:pPr>
    </w:p>
    <w:p w14:paraId="6F1AE494" w14:textId="77777777" w:rsidR="00BA3BB0" w:rsidRDefault="00BA3BB0" w:rsidP="00BA2117">
      <w:pPr>
        <w:spacing w:line="276" w:lineRule="auto"/>
        <w:rPr>
          <w:b/>
        </w:rPr>
      </w:pPr>
    </w:p>
    <w:p w14:paraId="60A056D7" w14:textId="7DAEF05F" w:rsidR="00BA2117" w:rsidRPr="00D63498" w:rsidRDefault="00BA2117" w:rsidP="00BA2117">
      <w:pPr>
        <w:spacing w:line="276" w:lineRule="auto"/>
        <w:rPr>
          <w:b/>
        </w:rPr>
      </w:pPr>
      <w:r>
        <w:rPr>
          <w:b/>
        </w:rPr>
        <w:t>Table</w:t>
      </w:r>
      <w:r w:rsidRPr="0025309A">
        <w:rPr>
          <w:b/>
        </w:rPr>
        <w:t xml:space="preserve"> </w:t>
      </w:r>
      <w:r>
        <w:rPr>
          <w:b/>
        </w:rPr>
        <w:t>1</w:t>
      </w:r>
      <w:r w:rsidRPr="0025309A">
        <w:rPr>
          <w:b/>
        </w:rPr>
        <w:t xml:space="preserve"> </w:t>
      </w:r>
      <w:r w:rsidRPr="00283332">
        <w:t>Automatically assigned</w:t>
      </w:r>
      <w:r>
        <w:rPr>
          <w:b/>
        </w:rPr>
        <w:t xml:space="preserve"> </w:t>
      </w:r>
      <w:r w:rsidRPr="003533AA">
        <w:t>SV call confidence criteria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"/>
        <w:gridCol w:w="6058"/>
      </w:tblGrid>
      <w:tr w:rsidR="00BA2117" w14:paraId="5689BE1A" w14:textId="77777777" w:rsidTr="00BA2117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23070B1" w14:textId="77777777" w:rsidR="00BA2117" w:rsidRDefault="00BA2117" w:rsidP="00BA2117">
            <w:pPr>
              <w:spacing w:line="276" w:lineRule="auto"/>
              <w:jc w:val="center"/>
            </w:pPr>
            <w:r w:rsidRPr="00FB2CA0">
              <w:rPr>
                <w:rFonts w:ascii="Arial" w:hAnsi="Arial" w:cs="Arial"/>
                <w:b/>
                <w:sz w:val="20"/>
                <w:szCs w:val="20"/>
              </w:rPr>
              <w:t>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75FF013" w14:textId="77777777" w:rsidR="00BA2117" w:rsidRDefault="00BA2117" w:rsidP="00BA2117">
            <w:pPr>
              <w:spacing w:line="276" w:lineRule="auto"/>
            </w:pPr>
            <w:r w:rsidRPr="00FB2CA0">
              <w:rPr>
                <w:rFonts w:ascii="Arial" w:hAnsi="Arial" w:cs="Arial"/>
                <w:b/>
                <w:sz w:val="20"/>
                <w:szCs w:val="20"/>
              </w:rPr>
              <w:t>Criteria</w:t>
            </w:r>
          </w:p>
        </w:tc>
      </w:tr>
      <w:tr w:rsidR="00BA2117" w14:paraId="132C8880" w14:textId="77777777" w:rsidTr="00BA2117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D4EDAEF" w14:textId="77777777" w:rsidR="00BA2117" w:rsidRPr="0017407B" w:rsidRDefault="00BA2117" w:rsidP="00BA2117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7407B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5320DD1" w14:textId="77777777" w:rsidR="00BA2117" w:rsidRPr="0017407B" w:rsidRDefault="00BA2117" w:rsidP="00BA211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7407B">
              <w:rPr>
                <w:rFonts w:ascii="Arial" w:hAnsi="Arial" w:cs="Arial"/>
                <w:sz w:val="20"/>
                <w:szCs w:val="20"/>
              </w:rPr>
              <w:t>CNVs: length &gt; 100kb or (length &gt;10kb &amp; AMQ&gt;55)</w:t>
            </w:r>
          </w:p>
          <w:p w14:paraId="7C48E2AA" w14:textId="77777777" w:rsidR="00BA2117" w:rsidRPr="0017407B" w:rsidRDefault="00BA2117" w:rsidP="00BA2117">
            <w:pPr>
              <w:spacing w:line="276" w:lineRule="auto"/>
              <w:rPr>
                <w:rFonts w:ascii="Arial" w:hAnsi="Arial" w:cs="Arial"/>
              </w:rPr>
            </w:pPr>
            <w:r w:rsidRPr="0017407B">
              <w:rPr>
                <w:rFonts w:ascii="Arial" w:hAnsi="Arial" w:cs="Arial"/>
                <w:sz w:val="20"/>
                <w:szCs w:val="20"/>
              </w:rPr>
              <w:t>All SVs: DP+SR &gt; 10 &amp; DP &gt; 0 &amp; SR &gt; 0</w:t>
            </w:r>
          </w:p>
        </w:tc>
      </w:tr>
      <w:tr w:rsidR="00BA2117" w14:paraId="5178FD7B" w14:textId="77777777" w:rsidTr="00BA2117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E7D49FA" w14:textId="77777777" w:rsidR="00BA2117" w:rsidRPr="0017407B" w:rsidRDefault="00BA2117" w:rsidP="00BA2117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7407B"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78BCD7F" w14:textId="77777777" w:rsidR="00BA2117" w:rsidRPr="0017407B" w:rsidRDefault="00BA2117" w:rsidP="00BA211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7407B">
              <w:rPr>
                <w:rFonts w:ascii="Arial" w:hAnsi="Arial" w:cs="Arial"/>
                <w:sz w:val="20"/>
                <w:szCs w:val="20"/>
              </w:rPr>
              <w:t>CNVs: DOC deviation &gt;20% and (length &gt; 10kb or (DP+SR) &gt;= 2)</w:t>
            </w:r>
          </w:p>
          <w:p w14:paraId="69573429" w14:textId="77777777" w:rsidR="00BA2117" w:rsidRPr="0017407B" w:rsidRDefault="00BA2117" w:rsidP="00BA2117">
            <w:pPr>
              <w:spacing w:line="276" w:lineRule="auto"/>
              <w:rPr>
                <w:rFonts w:ascii="Arial" w:hAnsi="Arial" w:cs="Arial"/>
              </w:rPr>
            </w:pPr>
            <w:r w:rsidRPr="0017407B">
              <w:rPr>
                <w:rFonts w:ascii="Arial" w:hAnsi="Arial" w:cs="Arial"/>
                <w:sz w:val="20"/>
                <w:szCs w:val="20"/>
              </w:rPr>
              <w:t>Balanced SVs: (DP+SR) &gt;= 6</w:t>
            </w:r>
          </w:p>
        </w:tc>
      </w:tr>
      <w:tr w:rsidR="00BA2117" w14:paraId="290C61A9" w14:textId="77777777" w:rsidTr="00BA2117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9A149CD" w14:textId="77777777" w:rsidR="00BA2117" w:rsidRPr="0017407B" w:rsidRDefault="00BA2117" w:rsidP="00BA211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407B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B990974" w14:textId="77777777" w:rsidR="00BA2117" w:rsidRPr="0017407B" w:rsidRDefault="00BA2117" w:rsidP="00BA211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7407B">
              <w:rPr>
                <w:rFonts w:ascii="Arial" w:hAnsi="Arial" w:cs="Arial"/>
                <w:sz w:val="20"/>
                <w:szCs w:val="20"/>
              </w:rPr>
              <w:t>All other CNV and SV variants</w:t>
            </w:r>
          </w:p>
        </w:tc>
      </w:tr>
    </w:tbl>
    <w:p w14:paraId="5B0B64EA" w14:textId="39EE1FC5" w:rsidR="00BA2117" w:rsidRPr="00B266B2" w:rsidRDefault="00B266B2" w:rsidP="00BA2117">
      <w:pPr>
        <w:rPr>
          <w:sz w:val="20"/>
          <w:szCs w:val="22"/>
        </w:rPr>
      </w:pPr>
      <w:r w:rsidRPr="00B266B2">
        <w:rPr>
          <w:sz w:val="20"/>
          <w:szCs w:val="22"/>
        </w:rPr>
        <w:t>DOC depth of covera</w:t>
      </w:r>
      <w:r>
        <w:rPr>
          <w:sz w:val="20"/>
          <w:szCs w:val="22"/>
        </w:rPr>
        <w:t>g</w:t>
      </w:r>
      <w:r w:rsidRPr="00B266B2">
        <w:rPr>
          <w:sz w:val="20"/>
          <w:szCs w:val="22"/>
        </w:rPr>
        <w:t>e, DR discordant pairs, SP split reads, AMQ average mapping quality</w:t>
      </w:r>
    </w:p>
    <w:p w14:paraId="0FA44AE3" w14:textId="77777777" w:rsidR="00BA3BB0" w:rsidRDefault="00BA3BB0" w:rsidP="00BA2117">
      <w:pPr>
        <w:spacing w:line="276" w:lineRule="auto"/>
        <w:rPr>
          <w:b/>
          <w:szCs w:val="22"/>
        </w:rPr>
      </w:pPr>
    </w:p>
    <w:p w14:paraId="2CD9A7CE" w14:textId="77777777" w:rsidR="00BA3BB0" w:rsidRDefault="00BA3BB0" w:rsidP="00BA2117">
      <w:pPr>
        <w:spacing w:line="276" w:lineRule="auto"/>
        <w:rPr>
          <w:b/>
          <w:szCs w:val="22"/>
        </w:rPr>
      </w:pPr>
    </w:p>
    <w:p w14:paraId="35074C4C" w14:textId="77777777" w:rsidR="00BA3BB0" w:rsidRDefault="00BA3BB0" w:rsidP="00BA2117">
      <w:pPr>
        <w:spacing w:line="276" w:lineRule="auto"/>
        <w:rPr>
          <w:b/>
          <w:szCs w:val="22"/>
        </w:rPr>
      </w:pPr>
    </w:p>
    <w:p w14:paraId="7406DDDE" w14:textId="77777777" w:rsidR="00BA3BB0" w:rsidRDefault="00BA3BB0" w:rsidP="00BA2117">
      <w:pPr>
        <w:spacing w:line="276" w:lineRule="auto"/>
        <w:rPr>
          <w:b/>
          <w:szCs w:val="22"/>
        </w:rPr>
      </w:pPr>
    </w:p>
    <w:p w14:paraId="467A7AD2" w14:textId="77777777" w:rsidR="00BA3BB0" w:rsidRDefault="00BA3BB0" w:rsidP="00BA2117">
      <w:pPr>
        <w:spacing w:line="276" w:lineRule="auto"/>
        <w:rPr>
          <w:b/>
          <w:szCs w:val="22"/>
        </w:rPr>
      </w:pPr>
    </w:p>
    <w:p w14:paraId="63C696CA" w14:textId="77777777" w:rsidR="00BA3BB0" w:rsidRDefault="00BA3BB0" w:rsidP="00BA2117">
      <w:pPr>
        <w:spacing w:line="276" w:lineRule="auto"/>
        <w:rPr>
          <w:b/>
          <w:szCs w:val="22"/>
        </w:rPr>
      </w:pPr>
    </w:p>
    <w:p w14:paraId="5493AEAE" w14:textId="77777777" w:rsidR="00BA3BB0" w:rsidRDefault="00BA3BB0" w:rsidP="00BA2117">
      <w:pPr>
        <w:spacing w:line="276" w:lineRule="auto"/>
        <w:rPr>
          <w:b/>
          <w:szCs w:val="22"/>
        </w:rPr>
      </w:pPr>
    </w:p>
    <w:p w14:paraId="40A1273F" w14:textId="77777777" w:rsidR="00BA3BB0" w:rsidRDefault="00BA3BB0" w:rsidP="00BA2117">
      <w:pPr>
        <w:spacing w:line="276" w:lineRule="auto"/>
        <w:rPr>
          <w:b/>
          <w:szCs w:val="22"/>
        </w:rPr>
      </w:pPr>
    </w:p>
    <w:p w14:paraId="016B7428" w14:textId="77777777" w:rsidR="00BA3BB0" w:rsidRDefault="00BA3BB0" w:rsidP="00BA2117">
      <w:pPr>
        <w:spacing w:line="276" w:lineRule="auto"/>
        <w:rPr>
          <w:b/>
          <w:szCs w:val="22"/>
        </w:rPr>
      </w:pPr>
    </w:p>
    <w:p w14:paraId="1253D4F6" w14:textId="77777777" w:rsidR="00BA3BB0" w:rsidRDefault="00BA3BB0" w:rsidP="00BA2117">
      <w:pPr>
        <w:spacing w:line="276" w:lineRule="auto"/>
        <w:rPr>
          <w:b/>
          <w:szCs w:val="22"/>
        </w:rPr>
      </w:pPr>
    </w:p>
    <w:p w14:paraId="621A08D8" w14:textId="77777777" w:rsidR="00BA3BB0" w:rsidRDefault="00BA3BB0" w:rsidP="00BA2117">
      <w:pPr>
        <w:spacing w:line="276" w:lineRule="auto"/>
        <w:rPr>
          <w:b/>
          <w:szCs w:val="22"/>
        </w:rPr>
      </w:pPr>
    </w:p>
    <w:p w14:paraId="50947FC1" w14:textId="115C5196" w:rsidR="00BA2117" w:rsidRPr="00CA5DC4" w:rsidRDefault="00BA2117" w:rsidP="00BA2117">
      <w:pPr>
        <w:spacing w:line="276" w:lineRule="auto"/>
        <w:rPr>
          <w:b/>
          <w:szCs w:val="22"/>
        </w:rPr>
      </w:pPr>
      <w:r w:rsidRPr="00CA5DC4">
        <w:rPr>
          <w:b/>
          <w:szCs w:val="22"/>
        </w:rPr>
        <w:t xml:space="preserve">Table </w:t>
      </w:r>
      <w:r>
        <w:rPr>
          <w:b/>
          <w:szCs w:val="22"/>
        </w:rPr>
        <w:t>2</w:t>
      </w:r>
      <w:r w:rsidRPr="00CA5DC4">
        <w:rPr>
          <w:b/>
          <w:szCs w:val="22"/>
        </w:rPr>
        <w:t xml:space="preserve"> </w:t>
      </w:r>
      <w:r w:rsidRPr="003533AA">
        <w:rPr>
          <w:szCs w:val="22"/>
        </w:rPr>
        <w:t xml:space="preserve">Column names of </w:t>
      </w:r>
      <w:proofErr w:type="spellStart"/>
      <w:r>
        <w:rPr>
          <w:szCs w:val="22"/>
        </w:rPr>
        <w:t>ClinSV’s</w:t>
      </w:r>
      <w:proofErr w:type="spellEnd"/>
      <w:r>
        <w:rPr>
          <w:szCs w:val="22"/>
        </w:rPr>
        <w:t xml:space="preserve"> output </w:t>
      </w:r>
      <w:r w:rsidRPr="003533AA">
        <w:rPr>
          <w:szCs w:val="22"/>
        </w:rPr>
        <w:t xml:space="preserve">table </w:t>
      </w:r>
      <w:r>
        <w:rPr>
          <w:szCs w:val="22"/>
        </w:rPr>
        <w:t xml:space="preserve">containing </w:t>
      </w:r>
      <w:r w:rsidRPr="003533AA">
        <w:rPr>
          <w:szCs w:val="22"/>
        </w:rPr>
        <w:t>rare gene affecting variants</w:t>
      </w:r>
    </w:p>
    <w:tbl>
      <w:tblPr>
        <w:tblW w:w="899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84"/>
        <w:gridCol w:w="7615"/>
      </w:tblGrid>
      <w:tr w:rsidR="00BA2117" w:rsidRPr="00A4768B" w14:paraId="54A91762" w14:textId="77777777" w:rsidTr="00BA2117">
        <w:trPr>
          <w:trHeight w:val="300"/>
        </w:trPr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BF5E2E1" w14:textId="77777777" w:rsidR="00BA2117" w:rsidRPr="00A4768B" w:rsidRDefault="00BA2117" w:rsidP="00BA2117">
            <w:pPr>
              <w:spacing w:line="276" w:lineRule="auto"/>
              <w:rPr>
                <w:rFonts w:eastAsia="Times New Roman" w:cs="Arial"/>
                <w:b/>
                <w:color w:val="000000"/>
                <w:sz w:val="20"/>
                <w:szCs w:val="20"/>
                <w:lang w:val="en-AU"/>
              </w:rPr>
            </w:pPr>
            <w:r w:rsidRPr="00A4768B">
              <w:rPr>
                <w:rFonts w:eastAsia="Times New Roman" w:cs="Arial"/>
                <w:b/>
                <w:color w:val="000000"/>
                <w:sz w:val="20"/>
                <w:szCs w:val="20"/>
                <w:lang w:val="en-AU"/>
              </w:rPr>
              <w:t>Column name</w:t>
            </w:r>
          </w:p>
        </w:tc>
        <w:tc>
          <w:tcPr>
            <w:tcW w:w="76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30DD4C9" w14:textId="77777777" w:rsidR="00BA2117" w:rsidRPr="00A4768B" w:rsidRDefault="00BA2117" w:rsidP="00BA2117">
            <w:pPr>
              <w:spacing w:line="276" w:lineRule="auto"/>
              <w:rPr>
                <w:rFonts w:eastAsia="Times New Roman" w:cs="Arial"/>
                <w:b/>
                <w:color w:val="000000"/>
                <w:sz w:val="20"/>
                <w:szCs w:val="20"/>
                <w:lang w:val="en-AU"/>
              </w:rPr>
            </w:pPr>
            <w:r w:rsidRPr="00A4768B">
              <w:rPr>
                <w:rFonts w:eastAsia="Times New Roman" w:cs="Arial"/>
                <w:b/>
                <w:color w:val="000000"/>
                <w:sz w:val="20"/>
                <w:szCs w:val="20"/>
                <w:lang w:val="en-AU"/>
              </w:rPr>
              <w:t>Description</w:t>
            </w:r>
          </w:p>
        </w:tc>
      </w:tr>
      <w:tr w:rsidR="00BA2117" w:rsidRPr="00A4768B" w14:paraId="4BE0F3C0" w14:textId="77777777" w:rsidTr="00BA2117">
        <w:trPr>
          <w:trHeight w:val="300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5F2E7CF" w14:textId="77777777" w:rsidR="00BA2117" w:rsidRPr="00A4768B" w:rsidRDefault="00BA2117" w:rsidP="00BA2117">
            <w:pPr>
              <w:spacing w:line="276" w:lineRule="auto"/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</w:pPr>
            <w:proofErr w:type="gramStart"/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f</w:t>
            </w:r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amily</w:t>
            </w:r>
            <w:proofErr w:type="gramEnd"/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 </w:t>
            </w:r>
            <w:r w:rsidRPr="00A4768B">
              <w:rPr>
                <w:rFonts w:eastAsia="Times New Roman" w:cs="Arial"/>
                <w:color w:val="000000"/>
                <w:sz w:val="20"/>
                <w:szCs w:val="20"/>
                <w:vertAlign w:val="superscript"/>
                <w:lang w:val="en-AU"/>
              </w:rPr>
              <w:t>1</w:t>
            </w:r>
            <w:r>
              <w:rPr>
                <w:rFonts w:eastAsia="Times New Roman" w:cs="Arial"/>
                <w:color w:val="000000"/>
                <w:sz w:val="20"/>
                <w:szCs w:val="20"/>
                <w:vertAlign w:val="superscript"/>
                <w:lang w:val="en-AU"/>
              </w:rPr>
              <w:t>, 2</w:t>
            </w:r>
          </w:p>
        </w:tc>
        <w:tc>
          <w:tcPr>
            <w:tcW w:w="7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2B3EEE8" w14:textId="77777777" w:rsidR="00BA2117" w:rsidRDefault="00BA2117" w:rsidP="00BA2117">
            <w:pPr>
              <w:spacing w:line="276" w:lineRule="auto"/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F</w:t>
            </w:r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amily I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D</w:t>
            </w:r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 from </w:t>
            </w:r>
            <w:proofErr w:type="spellStart"/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ped</w:t>
            </w:r>
            <w:proofErr w:type="spellEnd"/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 file (only if </w:t>
            </w:r>
            <w:proofErr w:type="spellStart"/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ped</w:t>
            </w:r>
            <w:proofErr w:type="spellEnd"/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 file was present for analysis)</w:t>
            </w:r>
          </w:p>
        </w:tc>
      </w:tr>
      <w:tr w:rsidR="00BA2117" w:rsidRPr="00A4768B" w14:paraId="2582F8E9" w14:textId="77777777" w:rsidTr="00BA2117">
        <w:trPr>
          <w:trHeight w:val="300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FF3F2CF" w14:textId="77777777" w:rsidR="00BA2117" w:rsidRPr="00A4768B" w:rsidRDefault="00BA2117" w:rsidP="00BA2117">
            <w:pPr>
              <w:spacing w:line="276" w:lineRule="auto"/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</w:pPr>
            <w:proofErr w:type="spellStart"/>
            <w:proofErr w:type="gramStart"/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pedInfo</w:t>
            </w:r>
            <w:proofErr w:type="spellEnd"/>
            <w:proofErr w:type="gramEnd"/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 </w:t>
            </w:r>
            <w:r w:rsidRPr="00A4768B">
              <w:rPr>
                <w:rFonts w:eastAsia="Times New Roman" w:cs="Arial"/>
                <w:color w:val="000000"/>
                <w:sz w:val="20"/>
                <w:szCs w:val="20"/>
                <w:vertAlign w:val="superscript"/>
                <w:lang w:val="en-AU"/>
              </w:rPr>
              <w:t>1</w:t>
            </w:r>
            <w:r>
              <w:rPr>
                <w:rFonts w:eastAsia="Times New Roman" w:cs="Arial"/>
                <w:color w:val="000000"/>
                <w:sz w:val="20"/>
                <w:szCs w:val="20"/>
                <w:vertAlign w:val="superscript"/>
                <w:lang w:val="en-AU"/>
              </w:rPr>
              <w:t>, 2</w:t>
            </w:r>
          </w:p>
        </w:tc>
        <w:tc>
          <w:tcPr>
            <w:tcW w:w="7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CB6A274" w14:textId="77777777" w:rsidR="00BA2117" w:rsidRDefault="00BA2117" w:rsidP="00BA2117">
            <w:pPr>
              <w:spacing w:line="276" w:lineRule="auto"/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</w:pPr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Patient initials</w:t>
            </w:r>
          </w:p>
        </w:tc>
      </w:tr>
      <w:tr w:rsidR="00BA2117" w:rsidRPr="00A4768B" w14:paraId="5D2032D4" w14:textId="77777777" w:rsidTr="00BA2117">
        <w:trPr>
          <w:trHeight w:val="300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C93C209" w14:textId="77777777" w:rsidR="00BA2117" w:rsidRPr="00A4768B" w:rsidRDefault="00BA2117" w:rsidP="00BA2117">
            <w:pPr>
              <w:spacing w:line="276" w:lineRule="auto"/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</w:pPr>
            <w:proofErr w:type="gramStart"/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a</w:t>
            </w:r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ffected</w:t>
            </w:r>
            <w:proofErr w:type="gramEnd"/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 </w:t>
            </w:r>
            <w:r w:rsidRPr="00A4768B">
              <w:rPr>
                <w:rFonts w:eastAsia="Times New Roman" w:cs="Arial"/>
                <w:color w:val="000000"/>
                <w:sz w:val="20"/>
                <w:szCs w:val="20"/>
                <w:vertAlign w:val="superscript"/>
                <w:lang w:val="en-AU"/>
              </w:rPr>
              <w:t>1</w:t>
            </w:r>
            <w:r>
              <w:rPr>
                <w:rFonts w:eastAsia="Times New Roman" w:cs="Arial"/>
                <w:color w:val="000000"/>
                <w:sz w:val="20"/>
                <w:szCs w:val="20"/>
                <w:vertAlign w:val="superscript"/>
                <w:lang w:val="en-AU"/>
              </w:rPr>
              <w:t>, 2</w:t>
            </w:r>
          </w:p>
        </w:tc>
        <w:tc>
          <w:tcPr>
            <w:tcW w:w="7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87A05F" w14:textId="77777777" w:rsidR="00BA2117" w:rsidRDefault="00BA2117" w:rsidP="00BA2117">
            <w:pPr>
              <w:spacing w:line="276" w:lineRule="auto"/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</w:pPr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2=affected, 1= unaffected (fr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o</w:t>
            </w:r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m </w:t>
            </w:r>
            <w:proofErr w:type="spellStart"/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ped</w:t>
            </w:r>
            <w:proofErr w:type="spellEnd"/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 file)</w:t>
            </w:r>
          </w:p>
        </w:tc>
      </w:tr>
      <w:tr w:rsidR="00BA2117" w:rsidRPr="00A4768B" w14:paraId="3B6FE1D4" w14:textId="77777777" w:rsidTr="00BA2117">
        <w:trPr>
          <w:trHeight w:val="300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74AD272" w14:textId="77777777" w:rsidR="00BA2117" w:rsidRPr="00A4768B" w:rsidRDefault="00BA2117" w:rsidP="00BA2117">
            <w:pPr>
              <w:spacing w:line="276" w:lineRule="auto"/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</w:pPr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IA</w:t>
            </w:r>
            <w:r w:rsidRPr="00A4768B">
              <w:rPr>
                <w:rFonts w:eastAsia="Times New Roman" w:cs="Arial"/>
                <w:color w:val="000000"/>
                <w:sz w:val="20"/>
                <w:szCs w:val="20"/>
                <w:vertAlign w:val="superscript"/>
                <w:lang w:val="en-AU"/>
              </w:rPr>
              <w:t>1</w:t>
            </w:r>
            <w:proofErr w:type="gramStart"/>
            <w:r>
              <w:rPr>
                <w:rFonts w:eastAsia="Times New Roman" w:cs="Arial"/>
                <w:color w:val="000000"/>
                <w:sz w:val="20"/>
                <w:szCs w:val="20"/>
                <w:vertAlign w:val="superscript"/>
                <w:lang w:val="en-AU"/>
              </w:rPr>
              <w:t>,2</w:t>
            </w:r>
            <w:proofErr w:type="gramEnd"/>
          </w:p>
        </w:tc>
        <w:tc>
          <w:tcPr>
            <w:tcW w:w="7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C783AAD" w14:textId="77777777" w:rsidR="00BA2117" w:rsidRDefault="00BA2117" w:rsidP="00BA2117">
            <w:pPr>
              <w:spacing w:line="276" w:lineRule="auto"/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Number of t</w:t>
            </w:r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imes a variant was 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detected</w:t>
            </w:r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 </w:t>
            </w:r>
            <w:r w:rsidRPr="000434EF">
              <w:rPr>
                <w:rFonts w:eastAsia="Times New Roman" w:cs="Arial"/>
                <w:b/>
                <w:color w:val="000000"/>
                <w:sz w:val="20"/>
                <w:szCs w:val="20"/>
                <w:u w:val="single"/>
                <w:lang w:val="en-AU"/>
              </w:rPr>
              <w:t>i</w:t>
            </w:r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n </w:t>
            </w:r>
            <w:r w:rsidRPr="000434EF">
              <w:rPr>
                <w:rFonts w:eastAsia="Times New Roman" w:cs="Arial"/>
                <w:b/>
                <w:color w:val="000000"/>
                <w:sz w:val="20"/>
                <w:szCs w:val="20"/>
                <w:u w:val="single"/>
                <w:lang w:val="en-AU"/>
              </w:rPr>
              <w:t>a</w:t>
            </w:r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ffected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 individuals</w:t>
            </w:r>
          </w:p>
        </w:tc>
      </w:tr>
      <w:tr w:rsidR="00BA2117" w:rsidRPr="00A4768B" w14:paraId="4C142FC6" w14:textId="77777777" w:rsidTr="00BA2117">
        <w:trPr>
          <w:trHeight w:val="300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3759D5" w14:textId="77777777" w:rsidR="00BA2117" w:rsidRPr="00A4768B" w:rsidRDefault="00BA2117" w:rsidP="00BA2117">
            <w:pPr>
              <w:spacing w:line="276" w:lineRule="auto"/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</w:pPr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IUA</w:t>
            </w:r>
            <w:r w:rsidRPr="00A4768B">
              <w:rPr>
                <w:rFonts w:eastAsia="Times New Roman" w:cs="Arial"/>
                <w:color w:val="000000"/>
                <w:sz w:val="20"/>
                <w:szCs w:val="20"/>
                <w:vertAlign w:val="superscript"/>
                <w:lang w:val="en-AU"/>
              </w:rPr>
              <w:t>1</w:t>
            </w:r>
            <w:proofErr w:type="gramStart"/>
            <w:r>
              <w:rPr>
                <w:rFonts w:eastAsia="Times New Roman" w:cs="Arial"/>
                <w:color w:val="000000"/>
                <w:sz w:val="20"/>
                <w:szCs w:val="20"/>
                <w:vertAlign w:val="superscript"/>
                <w:lang w:val="en-AU"/>
              </w:rPr>
              <w:t>,2</w:t>
            </w:r>
            <w:proofErr w:type="gramEnd"/>
          </w:p>
        </w:tc>
        <w:tc>
          <w:tcPr>
            <w:tcW w:w="7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7E15B9" w14:textId="77777777" w:rsidR="00BA2117" w:rsidRDefault="00BA2117" w:rsidP="00BA2117">
            <w:pPr>
              <w:spacing w:line="276" w:lineRule="auto"/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Number of t</w:t>
            </w:r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imes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 a variant detected</w:t>
            </w:r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 </w:t>
            </w:r>
            <w:r w:rsidRPr="000434EF">
              <w:rPr>
                <w:rFonts w:eastAsia="Times New Roman" w:cs="Arial"/>
                <w:b/>
                <w:color w:val="000000"/>
                <w:sz w:val="20"/>
                <w:szCs w:val="20"/>
                <w:u w:val="single"/>
                <w:lang w:val="en-AU"/>
              </w:rPr>
              <w:t>i</w:t>
            </w:r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n </w:t>
            </w:r>
            <w:r w:rsidRPr="000434EF">
              <w:rPr>
                <w:rFonts w:eastAsia="Times New Roman" w:cs="Arial"/>
                <w:b/>
                <w:color w:val="000000"/>
                <w:sz w:val="20"/>
                <w:szCs w:val="20"/>
                <w:u w:val="single"/>
                <w:lang w:val="en-AU"/>
              </w:rPr>
              <w:t>u</w:t>
            </w:r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n</w:t>
            </w:r>
            <w:r w:rsidRPr="000434EF">
              <w:rPr>
                <w:rFonts w:eastAsia="Times New Roman" w:cs="Arial"/>
                <w:b/>
                <w:color w:val="000000"/>
                <w:sz w:val="20"/>
                <w:szCs w:val="20"/>
                <w:u w:val="single"/>
                <w:lang w:val="en-AU"/>
              </w:rPr>
              <w:t>a</w:t>
            </w:r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ffected 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individuals</w:t>
            </w:r>
          </w:p>
        </w:tc>
      </w:tr>
      <w:tr w:rsidR="00BA2117" w:rsidRPr="00A4768B" w14:paraId="5521C447" w14:textId="77777777" w:rsidTr="00BA2117">
        <w:trPr>
          <w:trHeight w:val="300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79A967" w14:textId="77777777" w:rsidR="00BA2117" w:rsidRPr="00A4768B" w:rsidRDefault="00BA2117" w:rsidP="00BA2117">
            <w:pPr>
              <w:spacing w:line="276" w:lineRule="auto"/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</w:pPr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SAMPLE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perscript"/>
                <w:lang w:val="en-AU"/>
              </w:rPr>
              <w:t>2</w:t>
            </w:r>
          </w:p>
        </w:tc>
        <w:tc>
          <w:tcPr>
            <w:tcW w:w="7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F64B286" w14:textId="77777777" w:rsidR="00BA2117" w:rsidRPr="00A4768B" w:rsidRDefault="00BA2117" w:rsidP="00BA2117">
            <w:pPr>
              <w:spacing w:line="276" w:lineRule="auto"/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I</w:t>
            </w:r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nternal sample ID</w:t>
            </w:r>
          </w:p>
        </w:tc>
      </w:tr>
      <w:tr w:rsidR="00BA2117" w:rsidRPr="00A4768B" w14:paraId="24F97E82" w14:textId="77777777" w:rsidTr="00BA2117">
        <w:trPr>
          <w:trHeight w:val="300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B73AC8A" w14:textId="77777777" w:rsidR="00BA2117" w:rsidRPr="00A4768B" w:rsidRDefault="00BA2117" w:rsidP="00BA2117">
            <w:pPr>
              <w:spacing w:line="276" w:lineRule="auto"/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ID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perscript"/>
                <w:lang w:val="en-AU"/>
              </w:rPr>
              <w:t>2</w:t>
            </w:r>
          </w:p>
        </w:tc>
        <w:tc>
          <w:tcPr>
            <w:tcW w:w="7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FAEEE51" w14:textId="77777777" w:rsidR="00BA2117" w:rsidRPr="00A4768B" w:rsidRDefault="00BA2117" w:rsidP="00BA2117">
            <w:pPr>
              <w:spacing w:line="276" w:lineRule="auto"/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Variant ID</w:t>
            </w:r>
          </w:p>
        </w:tc>
      </w:tr>
      <w:tr w:rsidR="00BA2117" w:rsidRPr="00A4768B" w14:paraId="7F23043B" w14:textId="77777777" w:rsidTr="00BA2117">
        <w:trPr>
          <w:trHeight w:val="300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76F60E" w14:textId="77777777" w:rsidR="00BA2117" w:rsidRDefault="00BA2117" w:rsidP="00BA2117">
            <w:pPr>
              <w:spacing w:line="276" w:lineRule="auto"/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</w:pPr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FT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perscript"/>
                <w:lang w:val="en-AU"/>
              </w:rPr>
              <w:t>2</w:t>
            </w:r>
          </w:p>
        </w:tc>
        <w:tc>
          <w:tcPr>
            <w:tcW w:w="7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8CA2CBB" w14:textId="77777777" w:rsidR="00BA2117" w:rsidRDefault="00BA2117" w:rsidP="00BA2117">
            <w:pPr>
              <w:spacing w:line="276" w:lineRule="auto"/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Automated call confidence </w:t>
            </w:r>
            <w:r w:rsidRPr="00113BF8">
              <w:rPr>
                <w:rFonts w:eastAsia="Times New Roman" w:cs="Arial"/>
                <w:b/>
                <w:color w:val="000000"/>
                <w:sz w:val="20"/>
                <w:szCs w:val="20"/>
                <w:u w:val="single"/>
                <w:lang w:val="en-AU"/>
              </w:rPr>
              <w:t>f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il</w:t>
            </w:r>
            <w:r w:rsidRPr="00113BF8">
              <w:rPr>
                <w:rFonts w:eastAsia="Times New Roman" w:cs="Arial"/>
                <w:b/>
                <w:color w:val="000000"/>
                <w:sz w:val="20"/>
                <w:szCs w:val="20"/>
                <w:u w:val="single"/>
                <w:lang w:val="en-AU"/>
              </w:rPr>
              <w:t>t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er column. </w:t>
            </w:r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Values 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LOW, </w:t>
            </w:r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PASS, HIGH</w:t>
            </w:r>
          </w:p>
        </w:tc>
      </w:tr>
      <w:tr w:rsidR="00BA2117" w:rsidRPr="00A4768B" w14:paraId="5D02ADCC" w14:textId="77777777" w:rsidTr="00BA2117">
        <w:trPr>
          <w:trHeight w:val="300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6646D6" w14:textId="77777777" w:rsidR="00BA2117" w:rsidRPr="00A4768B" w:rsidRDefault="00BA2117" w:rsidP="00BA2117">
            <w:pPr>
              <w:spacing w:line="276" w:lineRule="auto"/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</w:pPr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RARE</w:t>
            </w:r>
          </w:p>
        </w:tc>
        <w:tc>
          <w:tcPr>
            <w:tcW w:w="7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7B8863D" w14:textId="77777777" w:rsidR="00BA2117" w:rsidRDefault="00BA2117" w:rsidP="00BA2117">
            <w:pPr>
              <w:spacing w:line="276" w:lineRule="auto"/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Is variant </w:t>
            </w:r>
            <w:r w:rsidRPr="00113BF8">
              <w:rPr>
                <w:rFonts w:eastAsia="Times New Roman" w:cs="Arial"/>
                <w:b/>
                <w:color w:val="000000"/>
                <w:sz w:val="20"/>
                <w:szCs w:val="20"/>
                <w:u w:val="single"/>
                <w:lang w:val="en-AU"/>
              </w:rPr>
              <w:t>rare</w:t>
            </w:r>
            <w:r w:rsidRPr="001C11FA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?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 (1=yes, 0=no) Rare means that PAFV, PAFSU, PAFDRA and PAF1KG are ≤ </w:t>
            </w:r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1%</w:t>
            </w:r>
          </w:p>
        </w:tc>
      </w:tr>
      <w:tr w:rsidR="00BA2117" w:rsidRPr="00A4768B" w14:paraId="50C21C77" w14:textId="77777777" w:rsidTr="00BA2117">
        <w:trPr>
          <w:trHeight w:val="300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AD24A91" w14:textId="77777777" w:rsidR="00BA2117" w:rsidRPr="00A4768B" w:rsidRDefault="00BA2117" w:rsidP="00BA2117">
            <w:pPr>
              <w:spacing w:line="276" w:lineRule="auto"/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</w:pPr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SU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perscript"/>
                <w:lang w:val="en-AU"/>
              </w:rPr>
              <w:t>2</w:t>
            </w:r>
          </w:p>
        </w:tc>
        <w:tc>
          <w:tcPr>
            <w:tcW w:w="7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0838641" w14:textId="77777777" w:rsidR="00BA2117" w:rsidRDefault="00BA2117" w:rsidP="00BA2117">
            <w:pPr>
              <w:spacing w:line="276" w:lineRule="auto"/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</w:pPr>
            <w:r w:rsidRPr="004A5AAA">
              <w:rPr>
                <w:rFonts w:eastAsia="Times New Roman" w:cs="Arial"/>
                <w:b/>
                <w:color w:val="000000"/>
                <w:sz w:val="20"/>
                <w:szCs w:val="20"/>
                <w:u w:val="single"/>
                <w:lang w:val="en-AU"/>
              </w:rPr>
              <w:t>Su</w:t>
            </w:r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m of 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discordant pairs and split reads supporting the variant</w:t>
            </w:r>
          </w:p>
        </w:tc>
      </w:tr>
      <w:tr w:rsidR="00BA2117" w:rsidRPr="00A4768B" w14:paraId="3FC9C8D5" w14:textId="77777777" w:rsidTr="00BA2117">
        <w:trPr>
          <w:trHeight w:val="300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1CAEB8E" w14:textId="77777777" w:rsidR="00BA2117" w:rsidRPr="00A4768B" w:rsidRDefault="00BA2117" w:rsidP="00BA2117">
            <w:pPr>
              <w:spacing w:line="276" w:lineRule="auto"/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PAFSU</w:t>
            </w:r>
          </w:p>
        </w:tc>
        <w:tc>
          <w:tcPr>
            <w:tcW w:w="7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BB823A" w14:textId="77777777" w:rsidR="00BA2117" w:rsidRDefault="00BA2117" w:rsidP="00BA2117">
            <w:pPr>
              <w:spacing w:line="276" w:lineRule="auto"/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</w:pPr>
            <w:r w:rsidRPr="006B2205">
              <w:rPr>
                <w:rFonts w:eastAsia="Times New Roman" w:cs="Arial"/>
                <w:b/>
                <w:color w:val="000000"/>
                <w:sz w:val="20"/>
                <w:szCs w:val="20"/>
                <w:u w:val="single"/>
                <w:lang w:val="en-AU"/>
              </w:rPr>
              <w:t>P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opulation variant </w:t>
            </w:r>
            <w:r w:rsidRPr="006B2205">
              <w:rPr>
                <w:rFonts w:eastAsia="Times New Roman" w:cs="Arial"/>
                <w:b/>
                <w:color w:val="000000"/>
                <w:sz w:val="20"/>
                <w:szCs w:val="20"/>
                <w:u w:val="single"/>
                <w:lang w:val="en-AU"/>
              </w:rPr>
              <w:t>a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llele </w:t>
            </w:r>
            <w:r w:rsidRPr="000434EF">
              <w:rPr>
                <w:rFonts w:eastAsia="Times New Roman" w:cs="Arial"/>
                <w:b/>
                <w:color w:val="000000"/>
                <w:sz w:val="20"/>
                <w:szCs w:val="20"/>
                <w:u w:val="single"/>
                <w:lang w:val="en-AU"/>
              </w:rPr>
              <w:t>f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requency estimated from </w:t>
            </w:r>
            <w:r w:rsidRPr="000434EF">
              <w:rPr>
                <w:rFonts w:eastAsia="Times New Roman" w:cs="Arial"/>
                <w:b/>
                <w:color w:val="000000"/>
                <w:sz w:val="20"/>
                <w:szCs w:val="20"/>
                <w:u w:val="single"/>
                <w:lang w:val="en-AU"/>
              </w:rPr>
              <w:t>su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m of discordant pairs (DP) and split reads (SR)</w:t>
            </w:r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 in control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 cohort. Control samples consist of 500 healthy elderly individuals from the Medical Genome Reference Bank (MGRB). Formula </w:t>
            </w:r>
          </w:p>
          <w:p w14:paraId="547FA42A" w14:textId="77777777" w:rsidR="00BA2117" w:rsidRDefault="00BA2117" w:rsidP="00BA2117">
            <w:pPr>
              <w:spacing w:line="276" w:lineRule="auto"/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(DP+SR control)</w:t>
            </w:r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 / 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(DP</w:t>
            </w:r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+SR in sample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)</w:t>
            </w:r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 / 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(</w:t>
            </w:r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num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b</w:t>
            </w:r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er of control samples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). </w:t>
            </w:r>
          </w:p>
        </w:tc>
      </w:tr>
      <w:tr w:rsidR="00BA2117" w:rsidRPr="00A4768B" w14:paraId="1DEE2BAC" w14:textId="77777777" w:rsidTr="00BA2117">
        <w:trPr>
          <w:trHeight w:val="300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2A6A99" w14:textId="77777777" w:rsidR="00BA2117" w:rsidRPr="00A4768B" w:rsidRDefault="00BA2117" w:rsidP="00BA2117">
            <w:pPr>
              <w:spacing w:line="276" w:lineRule="auto"/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</w:pPr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PE</w:t>
            </w:r>
          </w:p>
        </w:tc>
        <w:tc>
          <w:tcPr>
            <w:tcW w:w="7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548338A" w14:textId="77777777" w:rsidR="00BA2117" w:rsidRDefault="00BA2117" w:rsidP="00BA2117">
            <w:pPr>
              <w:spacing w:line="276" w:lineRule="auto"/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</w:pPr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Number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 of</w:t>
            </w:r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 supporting discordant </w:t>
            </w:r>
            <w:r w:rsidRPr="000434EF">
              <w:rPr>
                <w:rFonts w:eastAsia="Times New Roman" w:cs="Arial"/>
                <w:b/>
                <w:color w:val="000000"/>
                <w:sz w:val="20"/>
                <w:szCs w:val="20"/>
                <w:u w:val="single"/>
                <w:lang w:val="en-AU"/>
              </w:rPr>
              <w:t>p</w:t>
            </w:r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airs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 (PE field inherited from Lumpy)</w:t>
            </w:r>
          </w:p>
        </w:tc>
      </w:tr>
      <w:tr w:rsidR="00BA2117" w:rsidRPr="00A4768B" w14:paraId="59ED0C1F" w14:textId="77777777" w:rsidTr="00BA2117">
        <w:trPr>
          <w:trHeight w:val="300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50E2699" w14:textId="77777777" w:rsidR="00BA2117" w:rsidRPr="00A4768B" w:rsidRDefault="00BA2117" w:rsidP="00BA2117">
            <w:pPr>
              <w:spacing w:line="276" w:lineRule="auto"/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</w:pPr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SR</w:t>
            </w:r>
          </w:p>
        </w:tc>
        <w:tc>
          <w:tcPr>
            <w:tcW w:w="7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AEB8F81" w14:textId="77777777" w:rsidR="00BA2117" w:rsidRDefault="00BA2117" w:rsidP="00BA2117">
            <w:pPr>
              <w:spacing w:line="276" w:lineRule="auto"/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</w:pPr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Number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 of</w:t>
            </w:r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 supporting </w:t>
            </w:r>
            <w:r w:rsidRPr="000434EF">
              <w:rPr>
                <w:rFonts w:eastAsia="Times New Roman" w:cs="Arial"/>
                <w:b/>
                <w:color w:val="000000"/>
                <w:sz w:val="20"/>
                <w:szCs w:val="20"/>
                <w:u w:val="single"/>
                <w:lang w:val="en-AU"/>
              </w:rPr>
              <w:t>s</w:t>
            </w:r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plit </w:t>
            </w:r>
            <w:r w:rsidRPr="000434EF">
              <w:rPr>
                <w:rFonts w:eastAsia="Times New Roman" w:cs="Arial"/>
                <w:b/>
                <w:color w:val="000000"/>
                <w:sz w:val="20"/>
                <w:szCs w:val="20"/>
                <w:u w:val="single"/>
                <w:lang w:val="en-AU"/>
              </w:rPr>
              <w:t>r</w:t>
            </w:r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eads</w:t>
            </w:r>
          </w:p>
        </w:tc>
      </w:tr>
      <w:tr w:rsidR="00BA2117" w:rsidRPr="00A4768B" w14:paraId="5BA549CB" w14:textId="77777777" w:rsidTr="00BA2117">
        <w:trPr>
          <w:trHeight w:val="300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5F6ED4E" w14:textId="77777777" w:rsidR="00BA2117" w:rsidRPr="00A4768B" w:rsidRDefault="00BA2117" w:rsidP="00BA2117">
            <w:pPr>
              <w:spacing w:line="276" w:lineRule="auto"/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</w:pPr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DRF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perscript"/>
                <w:lang w:val="en-AU"/>
              </w:rPr>
              <w:t>2</w:t>
            </w:r>
          </w:p>
        </w:tc>
        <w:tc>
          <w:tcPr>
            <w:tcW w:w="7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CFAC6B2" w14:textId="77777777" w:rsidR="00BA2117" w:rsidRDefault="00BA2117" w:rsidP="00BA2117">
            <w:pPr>
              <w:spacing w:line="276" w:lineRule="auto"/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</w:pPr>
            <w:r w:rsidRPr="00A87257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Read </w:t>
            </w:r>
            <w:r w:rsidRPr="000F1EFC">
              <w:rPr>
                <w:rFonts w:eastAsia="Times New Roman" w:cs="Arial"/>
                <w:b/>
                <w:color w:val="000000"/>
                <w:sz w:val="20"/>
                <w:szCs w:val="20"/>
                <w:u w:val="single"/>
                <w:lang w:val="en-AU"/>
              </w:rPr>
              <w:t>d</w:t>
            </w:r>
            <w:r w:rsidRPr="00A87257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epth </w:t>
            </w:r>
            <w:r w:rsidRPr="00A87257">
              <w:rPr>
                <w:rFonts w:eastAsia="Times New Roman" w:cs="Arial"/>
                <w:b/>
                <w:color w:val="000000"/>
                <w:sz w:val="20"/>
                <w:szCs w:val="20"/>
                <w:lang w:val="en-AU"/>
              </w:rPr>
              <w:t>r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atio of variant </w:t>
            </w:r>
            <w:proofErr w:type="spellStart"/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vs</w:t>
            </w:r>
            <w:proofErr w:type="spellEnd"/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 </w:t>
            </w:r>
            <w:r w:rsidRPr="004A5AAA">
              <w:rPr>
                <w:rFonts w:eastAsia="Times New Roman" w:cs="Arial"/>
                <w:b/>
                <w:color w:val="000000"/>
                <w:sz w:val="20"/>
                <w:szCs w:val="20"/>
                <w:u w:val="single"/>
                <w:lang w:val="en-AU"/>
              </w:rPr>
              <w:t>f</w:t>
            </w:r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lanking region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s</w:t>
            </w:r>
          </w:p>
        </w:tc>
      </w:tr>
      <w:tr w:rsidR="00BA2117" w:rsidRPr="00A4768B" w14:paraId="2ACBAA8F" w14:textId="77777777" w:rsidTr="00BA2117">
        <w:trPr>
          <w:trHeight w:val="300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F0CD440" w14:textId="77777777" w:rsidR="00BA2117" w:rsidRPr="00A4768B" w:rsidRDefault="00BA2117" w:rsidP="00BA2117">
            <w:pPr>
              <w:spacing w:line="276" w:lineRule="auto"/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</w:pPr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DRA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perscript"/>
                <w:lang w:val="en-AU"/>
              </w:rPr>
              <w:t>2</w:t>
            </w:r>
          </w:p>
        </w:tc>
        <w:tc>
          <w:tcPr>
            <w:tcW w:w="7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A377D7B" w14:textId="77777777" w:rsidR="00BA2117" w:rsidRDefault="00BA2117" w:rsidP="00BA2117">
            <w:pPr>
              <w:spacing w:line="276" w:lineRule="auto"/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</w:pPr>
            <w:r w:rsidRPr="00A87257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Read </w:t>
            </w:r>
            <w:r w:rsidRPr="00A87257">
              <w:rPr>
                <w:rFonts w:eastAsia="Times New Roman" w:cs="Arial"/>
                <w:b/>
                <w:color w:val="000000"/>
                <w:sz w:val="20"/>
                <w:szCs w:val="20"/>
                <w:u w:val="single"/>
                <w:lang w:val="en-AU"/>
              </w:rPr>
              <w:t>d</w:t>
            </w:r>
            <w:r w:rsidRPr="00A87257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epth </w:t>
            </w:r>
            <w:r w:rsidRPr="002555FA">
              <w:rPr>
                <w:rFonts w:eastAsia="Times New Roman" w:cs="Arial"/>
                <w:b/>
                <w:color w:val="000000"/>
                <w:sz w:val="20"/>
                <w:szCs w:val="20"/>
                <w:lang w:val="en-AU"/>
              </w:rPr>
              <w:t>r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atio of variant </w:t>
            </w:r>
            <w:proofErr w:type="spellStart"/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vs</w:t>
            </w:r>
            <w:proofErr w:type="spellEnd"/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 the</w:t>
            </w:r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 </w:t>
            </w:r>
            <w:r w:rsidRPr="004A5AAA">
              <w:rPr>
                <w:rFonts w:eastAsia="Times New Roman" w:cs="Arial"/>
                <w:b/>
                <w:color w:val="000000"/>
                <w:sz w:val="20"/>
                <w:szCs w:val="20"/>
                <w:u w:val="single"/>
                <w:lang w:val="en-AU"/>
              </w:rPr>
              <w:t>a</w:t>
            </w:r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verage 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genome wide </w:t>
            </w:r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coverage</w:t>
            </w:r>
          </w:p>
          <w:p w14:paraId="1DD5B69F" w14:textId="77777777" w:rsidR="00BA2117" w:rsidRDefault="00BA2117" w:rsidP="00BA2117">
            <w:pPr>
              <w:spacing w:line="276" w:lineRule="auto"/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Copy number = DRA x 2</w:t>
            </w:r>
          </w:p>
        </w:tc>
      </w:tr>
      <w:tr w:rsidR="00BA2117" w:rsidRPr="00A4768B" w14:paraId="3CB05C30" w14:textId="77777777" w:rsidTr="00BA2117">
        <w:trPr>
          <w:trHeight w:val="300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25AFDA6" w14:textId="77777777" w:rsidR="00BA2117" w:rsidRPr="00A4768B" w:rsidRDefault="00BA2117" w:rsidP="00BA2117">
            <w:pPr>
              <w:spacing w:line="276" w:lineRule="auto"/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PAFDRA</w:t>
            </w:r>
          </w:p>
        </w:tc>
        <w:tc>
          <w:tcPr>
            <w:tcW w:w="7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7C1B101" w14:textId="77777777" w:rsidR="00BA2117" w:rsidRPr="00A87257" w:rsidRDefault="00BA2117" w:rsidP="00BA2117">
            <w:pPr>
              <w:spacing w:line="276" w:lineRule="auto"/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</w:pPr>
            <w:r w:rsidRPr="006B2205">
              <w:rPr>
                <w:rFonts w:eastAsia="Times New Roman" w:cs="Arial"/>
                <w:b/>
                <w:color w:val="000000"/>
                <w:sz w:val="20"/>
                <w:szCs w:val="20"/>
                <w:u w:val="single"/>
                <w:lang w:val="en-AU"/>
              </w:rPr>
              <w:t>P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opulation variant </w:t>
            </w:r>
            <w:r w:rsidRPr="006B2205">
              <w:rPr>
                <w:rFonts w:eastAsia="Times New Roman" w:cs="Arial"/>
                <w:b/>
                <w:color w:val="000000"/>
                <w:sz w:val="20"/>
                <w:szCs w:val="20"/>
                <w:u w:val="single"/>
                <w:lang w:val="en-AU"/>
              </w:rPr>
              <w:t>a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llele </w:t>
            </w:r>
            <w:r w:rsidRPr="000434EF">
              <w:rPr>
                <w:rFonts w:eastAsia="Times New Roman" w:cs="Arial"/>
                <w:b/>
                <w:color w:val="000000"/>
                <w:sz w:val="20"/>
                <w:szCs w:val="20"/>
                <w:u w:val="single"/>
                <w:lang w:val="en-AU"/>
              </w:rPr>
              <w:t>f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requency estimated from normalized </w:t>
            </w:r>
            <w:r w:rsidRPr="000434EF">
              <w:rPr>
                <w:rFonts w:eastAsia="Times New Roman" w:cs="Arial"/>
                <w:b/>
                <w:color w:val="000000"/>
                <w:sz w:val="20"/>
                <w:szCs w:val="20"/>
                <w:u w:val="single"/>
                <w:lang w:val="en-AU"/>
              </w:rPr>
              <w:t>DRA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 in control samples (MGRB cohort)</w:t>
            </w:r>
          </w:p>
        </w:tc>
      </w:tr>
      <w:tr w:rsidR="00BA2117" w:rsidRPr="00A4768B" w14:paraId="676A062B" w14:textId="77777777" w:rsidTr="00BA2117">
        <w:trPr>
          <w:trHeight w:val="300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4CD7BB2" w14:textId="77777777" w:rsidR="00BA2117" w:rsidRPr="00A4768B" w:rsidRDefault="00BA2117" w:rsidP="00BA2117">
            <w:pPr>
              <w:spacing w:line="276" w:lineRule="auto"/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PCSD</w:t>
            </w:r>
          </w:p>
        </w:tc>
        <w:tc>
          <w:tcPr>
            <w:tcW w:w="7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A0F48D5" w14:textId="77777777" w:rsidR="00BA2117" w:rsidRPr="00A87257" w:rsidRDefault="00BA2117" w:rsidP="00BA2117">
            <w:pPr>
              <w:spacing w:line="276" w:lineRule="auto"/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</w:pPr>
            <w:r w:rsidRPr="00DD3F1B">
              <w:rPr>
                <w:rFonts w:eastAsia="Times New Roman" w:cs="Arial"/>
                <w:b/>
                <w:color w:val="000000"/>
                <w:sz w:val="20"/>
                <w:szCs w:val="20"/>
                <w:u w:val="single"/>
                <w:lang w:val="en-AU"/>
              </w:rPr>
              <w:t>P</w:t>
            </w:r>
            <w:r w:rsidRPr="00DD3F1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opulation </w:t>
            </w:r>
            <w:r w:rsidRPr="00DD3F1B">
              <w:rPr>
                <w:rFonts w:eastAsia="Times New Roman" w:cs="Arial"/>
                <w:b/>
                <w:color w:val="000000"/>
                <w:sz w:val="20"/>
                <w:szCs w:val="20"/>
                <w:u w:val="single"/>
                <w:lang w:val="en-AU"/>
              </w:rPr>
              <w:t>c</w:t>
            </w:r>
            <w:r w:rsidRPr="00DD3F1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overage </w:t>
            </w:r>
            <w:r w:rsidRPr="00DD3F1B">
              <w:rPr>
                <w:rFonts w:eastAsia="Times New Roman" w:cs="Arial"/>
                <w:b/>
                <w:color w:val="000000"/>
                <w:sz w:val="20"/>
                <w:szCs w:val="20"/>
                <w:u w:val="single"/>
                <w:lang w:val="en-AU"/>
              </w:rPr>
              <w:t>s</w:t>
            </w:r>
            <w:r w:rsidRPr="00DD3F1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tandard </w:t>
            </w:r>
            <w:r w:rsidRPr="00DD3F1B">
              <w:rPr>
                <w:rFonts w:eastAsia="Times New Roman" w:cs="Arial"/>
                <w:b/>
                <w:color w:val="000000"/>
                <w:sz w:val="20"/>
                <w:szCs w:val="20"/>
                <w:u w:val="single"/>
                <w:lang w:val="en-AU"/>
              </w:rPr>
              <w:t>d</w:t>
            </w:r>
            <w:r w:rsidRPr="00DD3F1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eviation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 of control</w:t>
            </w:r>
            <w:r w:rsidRPr="004D43DA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 cohort</w:t>
            </w:r>
          </w:p>
        </w:tc>
      </w:tr>
      <w:tr w:rsidR="00BA2117" w:rsidRPr="00A4768B" w14:paraId="0BFEF138" w14:textId="77777777" w:rsidTr="00BA2117">
        <w:trPr>
          <w:trHeight w:val="300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97B83F3" w14:textId="77777777" w:rsidR="00BA2117" w:rsidRPr="00A4768B" w:rsidRDefault="00BA2117" w:rsidP="00BA2117">
            <w:pPr>
              <w:spacing w:line="276" w:lineRule="auto"/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GT</w:t>
            </w:r>
          </w:p>
        </w:tc>
        <w:tc>
          <w:tcPr>
            <w:tcW w:w="7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281E36F" w14:textId="77777777" w:rsidR="00BA2117" w:rsidRPr="00A87257" w:rsidRDefault="00BA2117" w:rsidP="00BA2117">
            <w:pPr>
              <w:spacing w:line="276" w:lineRule="auto"/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</w:pPr>
            <w:r w:rsidRPr="00BE6006">
              <w:rPr>
                <w:rFonts w:eastAsia="Times New Roman" w:cs="Arial"/>
                <w:b/>
                <w:color w:val="000000"/>
                <w:sz w:val="20"/>
                <w:szCs w:val="20"/>
                <w:u w:val="single"/>
                <w:lang w:val="en-AU"/>
              </w:rPr>
              <w:t>G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eno</w:t>
            </w:r>
            <w:r w:rsidRPr="00BE6006">
              <w:rPr>
                <w:rFonts w:eastAsia="Times New Roman" w:cs="Arial"/>
                <w:b/>
                <w:color w:val="000000"/>
                <w:sz w:val="20"/>
                <w:szCs w:val="20"/>
                <w:u w:val="single"/>
                <w:lang w:val="en-AU"/>
              </w:rPr>
              <w:t>t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ype estimation</w:t>
            </w:r>
          </w:p>
        </w:tc>
      </w:tr>
      <w:tr w:rsidR="00BA2117" w:rsidRPr="00A4768B" w14:paraId="4DFEA626" w14:textId="77777777" w:rsidTr="00BA2117">
        <w:trPr>
          <w:trHeight w:val="300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78A74B" w14:textId="77777777" w:rsidR="00BA2117" w:rsidRPr="00A4768B" w:rsidRDefault="00BA2117" w:rsidP="00BA2117">
            <w:pPr>
              <w:spacing w:line="276" w:lineRule="auto"/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M</w:t>
            </w:r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QBP</w:t>
            </w:r>
          </w:p>
        </w:tc>
        <w:tc>
          <w:tcPr>
            <w:tcW w:w="7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5B6B9B2" w14:textId="77777777" w:rsidR="00BA2117" w:rsidRPr="00A87257" w:rsidRDefault="00BA2117" w:rsidP="00BA2117">
            <w:pPr>
              <w:spacing w:line="276" w:lineRule="auto"/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</w:pPr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Average read </w:t>
            </w:r>
            <w:r w:rsidRPr="00DA2F48">
              <w:rPr>
                <w:rFonts w:eastAsia="Times New Roman" w:cs="Arial"/>
                <w:b/>
                <w:color w:val="000000"/>
                <w:sz w:val="20"/>
                <w:szCs w:val="20"/>
                <w:u w:val="single"/>
                <w:lang w:val="en-AU"/>
              </w:rPr>
              <w:t>m</w:t>
            </w:r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apping </w:t>
            </w:r>
            <w:r w:rsidRPr="000434EF">
              <w:rPr>
                <w:rFonts w:eastAsia="Times New Roman" w:cs="Arial"/>
                <w:b/>
                <w:color w:val="000000"/>
                <w:sz w:val="20"/>
                <w:szCs w:val="20"/>
                <w:u w:val="single"/>
                <w:lang w:val="en-AU"/>
              </w:rPr>
              <w:t>q</w:t>
            </w:r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uality 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of reads supporting both</w:t>
            </w:r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 </w:t>
            </w:r>
            <w:r w:rsidRPr="000434EF">
              <w:rPr>
                <w:rFonts w:eastAsia="Times New Roman" w:cs="Arial"/>
                <w:b/>
                <w:color w:val="000000"/>
                <w:sz w:val="20"/>
                <w:szCs w:val="20"/>
                <w:u w:val="single"/>
                <w:lang w:val="en-AU"/>
              </w:rPr>
              <w:t>b</w:t>
            </w:r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reak</w:t>
            </w:r>
            <w:r w:rsidRPr="000434EF">
              <w:rPr>
                <w:rFonts w:eastAsia="Times New Roman" w:cs="Arial"/>
                <w:b/>
                <w:color w:val="000000"/>
                <w:sz w:val="20"/>
                <w:szCs w:val="20"/>
                <w:u w:val="single"/>
                <w:lang w:val="en-AU"/>
              </w:rPr>
              <w:t>p</w:t>
            </w:r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oint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s</w:t>
            </w:r>
          </w:p>
        </w:tc>
      </w:tr>
      <w:tr w:rsidR="00BA2117" w:rsidRPr="00A4768B" w14:paraId="4A016355" w14:textId="77777777" w:rsidTr="00BA2117">
        <w:trPr>
          <w:trHeight w:val="300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38DA65" w14:textId="77777777" w:rsidR="00BA2117" w:rsidRPr="00A4768B" w:rsidRDefault="00BA2117" w:rsidP="00BA2117">
            <w:pPr>
              <w:spacing w:line="276" w:lineRule="auto"/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</w:pPr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CNV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perscript"/>
                <w:lang w:val="en-AU"/>
              </w:rPr>
              <w:t>2</w:t>
            </w:r>
          </w:p>
        </w:tc>
        <w:tc>
          <w:tcPr>
            <w:tcW w:w="7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91F1F52" w14:textId="77777777" w:rsidR="00BA2117" w:rsidRPr="00A87257" w:rsidRDefault="00BA2117" w:rsidP="00BA2117">
            <w:pPr>
              <w:spacing w:line="276" w:lineRule="auto"/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</w:pPr>
            <w:r w:rsidRPr="000E09DA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Is 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the structural </w:t>
            </w:r>
            <w:r w:rsidRPr="000E09DA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variant a </w:t>
            </w:r>
            <w:r w:rsidRPr="00BE6006">
              <w:rPr>
                <w:rFonts w:eastAsia="Times New Roman" w:cs="Arial"/>
                <w:b/>
                <w:color w:val="000000"/>
                <w:sz w:val="20"/>
                <w:szCs w:val="20"/>
                <w:u w:val="single"/>
                <w:lang w:val="en-AU"/>
              </w:rPr>
              <w:t>CNV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? </w:t>
            </w:r>
            <w:r w:rsidRPr="000E09DA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1 = yes, 0 = no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. Yes if DRA or DRF &lt;0.8 or &gt;1.2</w:t>
            </w:r>
          </w:p>
        </w:tc>
      </w:tr>
      <w:tr w:rsidR="00BA2117" w:rsidRPr="00A4768B" w14:paraId="34BEDAE8" w14:textId="77777777" w:rsidTr="00BA2117">
        <w:trPr>
          <w:trHeight w:val="300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24C85DA" w14:textId="77777777" w:rsidR="00BA2117" w:rsidRPr="00A4768B" w:rsidRDefault="00BA2117" w:rsidP="00BA2117">
            <w:pPr>
              <w:spacing w:line="276" w:lineRule="auto"/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IGV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perscript"/>
                <w:lang w:val="en-AU"/>
              </w:rPr>
              <w:t>2</w:t>
            </w:r>
          </w:p>
        </w:tc>
        <w:tc>
          <w:tcPr>
            <w:tcW w:w="7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B7CB18" w14:textId="77777777" w:rsidR="00BA2117" w:rsidRDefault="00BA2117" w:rsidP="00BA2117">
            <w:pPr>
              <w:spacing w:line="276" w:lineRule="auto"/>
              <w:rPr>
                <w:rFonts w:asciiTheme="majorHAnsi" w:eastAsia="Times New Roman" w:hAnsiTheme="majorHAnsi" w:cs="Arial"/>
                <w:b/>
                <w:bCs/>
                <w:color w:val="000000"/>
                <w:sz w:val="20"/>
                <w:szCs w:val="20"/>
                <w:lang w:val="en-AU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Link to load </w:t>
            </w:r>
            <w:r w:rsidRPr="00BE6006">
              <w:rPr>
                <w:rFonts w:eastAsia="Times New Roman" w:cs="Arial"/>
                <w:b/>
                <w:color w:val="000000"/>
                <w:sz w:val="20"/>
                <w:szCs w:val="20"/>
                <w:u w:val="single"/>
                <w:lang w:val="en-AU"/>
              </w:rPr>
              <w:t>IGV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 session file.</w:t>
            </w:r>
          </w:p>
          <w:p w14:paraId="71F73BD2" w14:textId="77777777" w:rsidR="00BA2117" w:rsidRPr="00A87257" w:rsidRDefault="00BA2117" w:rsidP="00BA2117">
            <w:pPr>
              <w:spacing w:line="276" w:lineRule="auto"/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IGV needs to be open for this to work, and only needs to be run once per session.</w:t>
            </w:r>
          </w:p>
        </w:tc>
      </w:tr>
      <w:tr w:rsidR="00BA2117" w:rsidRPr="00A4768B" w14:paraId="7BCDF8E2" w14:textId="77777777" w:rsidTr="00BA2117">
        <w:trPr>
          <w:trHeight w:val="300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8E0B440" w14:textId="77777777" w:rsidR="00BA2117" w:rsidRPr="00A4768B" w:rsidRDefault="00BA2117" w:rsidP="00BA2117">
            <w:pPr>
              <w:spacing w:line="276" w:lineRule="auto"/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GOTO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perscript"/>
                <w:lang w:val="en-AU"/>
              </w:rPr>
              <w:t>2</w:t>
            </w:r>
          </w:p>
        </w:tc>
        <w:tc>
          <w:tcPr>
            <w:tcW w:w="7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F6FB70A" w14:textId="77777777" w:rsidR="00BA2117" w:rsidRPr="00A87257" w:rsidRDefault="00BA2117" w:rsidP="00BA2117">
            <w:pPr>
              <w:spacing w:line="276" w:lineRule="auto"/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Link to </w:t>
            </w:r>
            <w:r w:rsidRPr="00BE6006">
              <w:rPr>
                <w:rFonts w:eastAsia="Times New Roman" w:cs="Arial"/>
                <w:b/>
                <w:color w:val="000000"/>
                <w:sz w:val="20"/>
                <w:szCs w:val="20"/>
                <w:u w:val="single"/>
                <w:lang w:val="en-AU"/>
              </w:rPr>
              <w:t>go to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 the region containing the variant in IGV</w:t>
            </w:r>
          </w:p>
        </w:tc>
      </w:tr>
      <w:tr w:rsidR="00BA2117" w:rsidRPr="00A4768B" w14:paraId="0C157646" w14:textId="77777777" w:rsidTr="00BA2117">
        <w:trPr>
          <w:trHeight w:val="300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D1F8DA" w14:textId="77777777" w:rsidR="00BA2117" w:rsidRPr="00A4768B" w:rsidRDefault="00BA2117" w:rsidP="00BA2117">
            <w:pPr>
              <w:spacing w:line="276" w:lineRule="auto"/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</w:pPr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LOCATION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perscript"/>
                <w:lang w:val="en-AU"/>
              </w:rPr>
              <w:t>2</w:t>
            </w:r>
          </w:p>
        </w:tc>
        <w:tc>
          <w:tcPr>
            <w:tcW w:w="7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449BB0" w14:textId="77777777" w:rsidR="00BA2117" w:rsidRPr="00A87257" w:rsidRDefault="00BA2117" w:rsidP="00BA2117">
            <w:pPr>
              <w:spacing w:line="276" w:lineRule="auto"/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</w:pPr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Genomic </w:t>
            </w:r>
            <w:r w:rsidRPr="00BE6006">
              <w:rPr>
                <w:rFonts w:eastAsia="Times New Roman" w:cs="Arial"/>
                <w:b/>
                <w:color w:val="000000"/>
                <w:sz w:val="20"/>
                <w:szCs w:val="20"/>
                <w:u w:val="single"/>
                <w:lang w:val="en-AU"/>
              </w:rPr>
              <w:t>location</w:t>
            </w:r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 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(</w:t>
            </w:r>
            <w:proofErr w:type="spellStart"/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chr</w:t>
            </w:r>
            <w:proofErr w:type="gramStart"/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:start</w:t>
            </w:r>
            <w:proofErr w:type="gramEnd"/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-end</w:t>
            </w:r>
            <w:proofErr w:type="spellEnd"/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)</w:t>
            </w:r>
          </w:p>
        </w:tc>
      </w:tr>
      <w:tr w:rsidR="00BA2117" w:rsidRPr="00A4768B" w14:paraId="46D7FD67" w14:textId="77777777" w:rsidTr="00BA2117">
        <w:trPr>
          <w:trHeight w:val="300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670BE9" w14:textId="77777777" w:rsidR="00BA2117" w:rsidRPr="00A4768B" w:rsidRDefault="00BA2117" w:rsidP="00BA2117">
            <w:pPr>
              <w:spacing w:line="276" w:lineRule="auto"/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</w:pPr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SVTYPE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perscript"/>
                <w:lang w:val="en-AU"/>
              </w:rPr>
              <w:t>2</w:t>
            </w:r>
          </w:p>
        </w:tc>
        <w:tc>
          <w:tcPr>
            <w:tcW w:w="7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240B120" w14:textId="77777777" w:rsidR="00BA2117" w:rsidRPr="00A87257" w:rsidRDefault="00BA2117" w:rsidP="00BA2117">
            <w:pPr>
              <w:spacing w:line="276" w:lineRule="auto"/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</w:pPr>
            <w:r w:rsidRPr="00BE6006">
              <w:rPr>
                <w:rFonts w:eastAsia="Times New Roman" w:cs="Arial"/>
                <w:b/>
                <w:color w:val="000000"/>
                <w:sz w:val="20"/>
                <w:szCs w:val="20"/>
                <w:u w:val="single"/>
                <w:lang w:val="en-AU"/>
              </w:rPr>
              <w:t>S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tructural </w:t>
            </w:r>
            <w:r w:rsidRPr="00BE6006">
              <w:rPr>
                <w:rFonts w:eastAsia="Times New Roman" w:cs="Arial"/>
                <w:b/>
                <w:color w:val="000000"/>
                <w:sz w:val="20"/>
                <w:szCs w:val="20"/>
                <w:u w:val="single"/>
                <w:lang w:val="en-AU"/>
              </w:rPr>
              <w:t>v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ariant </w:t>
            </w:r>
            <w:r w:rsidRPr="00BE6006">
              <w:rPr>
                <w:rFonts w:eastAsia="Times New Roman" w:cs="Arial"/>
                <w:b/>
                <w:color w:val="000000"/>
                <w:sz w:val="20"/>
                <w:szCs w:val="20"/>
                <w:u w:val="single"/>
                <w:lang w:val="en-AU"/>
              </w:rPr>
              <w:t>type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: D</w:t>
            </w:r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eletion, duplication, inversion or break ends (BND)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.</w:t>
            </w:r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 BND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s represent </w:t>
            </w:r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a pair of breakpoint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s and can represent a translocation</w:t>
            </w:r>
            <w:proofErr w:type="gramStart"/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..</w:t>
            </w:r>
            <w:proofErr w:type="gramEnd"/>
          </w:p>
        </w:tc>
      </w:tr>
      <w:tr w:rsidR="00BA2117" w:rsidRPr="00A4768B" w14:paraId="3B6CAD87" w14:textId="77777777" w:rsidTr="00BA2117">
        <w:trPr>
          <w:trHeight w:val="300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7213E05" w14:textId="77777777" w:rsidR="00BA2117" w:rsidRPr="00A4768B" w:rsidRDefault="00BA2117" w:rsidP="00BA2117">
            <w:pPr>
              <w:spacing w:line="276" w:lineRule="auto"/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</w:pPr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SVLEN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perscript"/>
                <w:lang w:val="en-AU"/>
              </w:rPr>
              <w:t>2</w:t>
            </w:r>
          </w:p>
        </w:tc>
        <w:tc>
          <w:tcPr>
            <w:tcW w:w="7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552B59" w14:textId="77777777" w:rsidR="00BA2117" w:rsidRPr="00A87257" w:rsidRDefault="00BA2117" w:rsidP="00BA2117">
            <w:pPr>
              <w:spacing w:line="276" w:lineRule="auto"/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</w:pPr>
            <w:r w:rsidRPr="00BE6006">
              <w:rPr>
                <w:rFonts w:eastAsia="Times New Roman" w:cs="Arial"/>
                <w:b/>
                <w:color w:val="000000"/>
                <w:sz w:val="20"/>
                <w:szCs w:val="20"/>
                <w:u w:val="single"/>
                <w:lang w:val="en-AU"/>
              </w:rPr>
              <w:t>Len</w:t>
            </w:r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gth of </w:t>
            </w:r>
            <w:r w:rsidRPr="00BE6006">
              <w:rPr>
                <w:rFonts w:eastAsia="Times New Roman" w:cs="Arial"/>
                <w:b/>
                <w:color w:val="000000"/>
                <w:sz w:val="20"/>
                <w:szCs w:val="20"/>
                <w:u w:val="single"/>
                <w:lang w:val="en-AU"/>
              </w:rPr>
              <w:t>s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tructural </w:t>
            </w:r>
            <w:r w:rsidRPr="00BE6006">
              <w:rPr>
                <w:rFonts w:eastAsia="Times New Roman" w:cs="Arial"/>
                <w:b/>
                <w:color w:val="000000"/>
                <w:sz w:val="20"/>
                <w:szCs w:val="20"/>
                <w:u w:val="single"/>
                <w:lang w:val="en-AU"/>
              </w:rPr>
              <w:t>v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ariant, in base pairs</w:t>
            </w:r>
          </w:p>
        </w:tc>
      </w:tr>
      <w:tr w:rsidR="00BA2117" w:rsidRPr="00A4768B" w14:paraId="0B4AC8A2" w14:textId="77777777" w:rsidTr="00BA2117">
        <w:trPr>
          <w:trHeight w:val="300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49F6B9" w14:textId="77777777" w:rsidR="00BA2117" w:rsidRPr="00A4768B" w:rsidRDefault="00BA2117" w:rsidP="00BA2117">
            <w:pPr>
              <w:spacing w:line="276" w:lineRule="auto"/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</w:pPr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TOOL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perscript"/>
                <w:lang w:val="en-AU"/>
              </w:rPr>
              <w:t>2</w:t>
            </w:r>
          </w:p>
        </w:tc>
        <w:tc>
          <w:tcPr>
            <w:tcW w:w="7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78B04FA" w14:textId="77777777" w:rsidR="00BA2117" w:rsidRPr="00A87257" w:rsidRDefault="00BA2117" w:rsidP="00BA2117">
            <w:pPr>
              <w:spacing w:line="276" w:lineRule="auto"/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</w:pPr>
            <w:proofErr w:type="spellStart"/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Varaint</w:t>
            </w:r>
            <w:proofErr w:type="spellEnd"/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 detection </w:t>
            </w:r>
            <w:r w:rsidRPr="00BE6006">
              <w:rPr>
                <w:rFonts w:eastAsia="Times New Roman" w:cs="Arial"/>
                <w:b/>
                <w:color w:val="000000"/>
                <w:sz w:val="20"/>
                <w:szCs w:val="20"/>
                <w:u w:val="single"/>
                <w:lang w:val="en-AU"/>
              </w:rPr>
              <w:t>tool</w:t>
            </w:r>
            <w:r>
              <w:rPr>
                <w:rFonts w:eastAsia="Times New Roman" w:cs="Arial"/>
                <w:b/>
                <w:color w:val="000000"/>
                <w:sz w:val="20"/>
                <w:szCs w:val="20"/>
                <w:u w:val="single"/>
                <w:lang w:val="en-AU"/>
              </w:rPr>
              <w:t>: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 </w:t>
            </w:r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Lumpy 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and/</w:t>
            </w:r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or CNVnator</w:t>
            </w:r>
          </w:p>
        </w:tc>
      </w:tr>
      <w:tr w:rsidR="00BA2117" w:rsidRPr="00A4768B" w14:paraId="2A5EB5A6" w14:textId="77777777" w:rsidTr="00BA2117">
        <w:trPr>
          <w:trHeight w:val="300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FFB236" w14:textId="77777777" w:rsidR="00BA2117" w:rsidRPr="00A4768B" w:rsidRDefault="00BA2117" w:rsidP="00BA2117">
            <w:pPr>
              <w:spacing w:line="276" w:lineRule="auto"/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PAFV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perscript"/>
                <w:lang w:val="en-AU"/>
              </w:rPr>
              <w:t>2</w:t>
            </w:r>
          </w:p>
        </w:tc>
        <w:tc>
          <w:tcPr>
            <w:tcW w:w="7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264A6C5" w14:textId="77777777" w:rsidR="00BA2117" w:rsidRPr="00A87257" w:rsidRDefault="00BA2117" w:rsidP="00BA2117">
            <w:pPr>
              <w:spacing w:line="276" w:lineRule="auto"/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</w:pPr>
            <w:r w:rsidRPr="004A5AAA">
              <w:rPr>
                <w:rFonts w:eastAsia="Times New Roman" w:cs="Arial"/>
                <w:b/>
                <w:color w:val="000000"/>
                <w:sz w:val="20"/>
                <w:szCs w:val="20"/>
                <w:u w:val="single"/>
                <w:lang w:val="en-AU"/>
              </w:rPr>
              <w:t>P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opulation v</w:t>
            </w:r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ariant </w:t>
            </w:r>
            <w:r w:rsidRPr="004A5AAA">
              <w:rPr>
                <w:rFonts w:eastAsia="Times New Roman" w:cs="Arial"/>
                <w:b/>
                <w:color w:val="000000"/>
                <w:sz w:val="20"/>
                <w:szCs w:val="20"/>
                <w:u w:val="single"/>
                <w:lang w:val="en-AU"/>
              </w:rPr>
              <w:t>a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llele </w:t>
            </w:r>
            <w:r w:rsidRPr="004A5AAA">
              <w:rPr>
                <w:rFonts w:eastAsia="Times New Roman" w:cs="Arial"/>
                <w:b/>
                <w:color w:val="000000"/>
                <w:sz w:val="20"/>
                <w:szCs w:val="20"/>
                <w:u w:val="single"/>
                <w:lang w:val="en-AU"/>
              </w:rPr>
              <w:t>f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requency from </w:t>
            </w:r>
            <w:r w:rsidRPr="006B2205">
              <w:rPr>
                <w:rFonts w:eastAsia="Times New Roman" w:cs="Arial"/>
                <w:b/>
                <w:color w:val="000000"/>
                <w:sz w:val="20"/>
                <w:szCs w:val="20"/>
                <w:u w:val="single"/>
                <w:lang w:val="en-AU"/>
              </w:rPr>
              <w:t>v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ariants in </w:t>
            </w:r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control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. At the time of publication, </w:t>
            </w:r>
            <w:proofErr w:type="gramStart"/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this</w:t>
            </w:r>
            <w:proofErr w:type="gramEnd"/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 is </w:t>
            </w:r>
            <w:proofErr w:type="gramStart"/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500 healthy individuals from the MGRB cohort</w:t>
            </w:r>
            <w:proofErr w:type="gramEnd"/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 (</w:t>
            </w:r>
            <w:r w:rsidRPr="000F1EFC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https://sgc.garvan.org.au/initiatives/mgrb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).</w:t>
            </w:r>
          </w:p>
        </w:tc>
      </w:tr>
      <w:tr w:rsidR="00BA2117" w:rsidRPr="00A4768B" w14:paraId="590254EF" w14:textId="77777777" w:rsidTr="00BA2117">
        <w:trPr>
          <w:trHeight w:val="300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E6B723B" w14:textId="77777777" w:rsidR="00BA2117" w:rsidRPr="00A4768B" w:rsidRDefault="00BA2117" w:rsidP="00BA2117">
            <w:pPr>
              <w:spacing w:line="276" w:lineRule="auto"/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P</w:t>
            </w:r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AF1KG</w:t>
            </w:r>
          </w:p>
        </w:tc>
        <w:tc>
          <w:tcPr>
            <w:tcW w:w="7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B09FB81" w14:textId="77777777" w:rsidR="00BA2117" w:rsidRPr="00A87257" w:rsidRDefault="00BA2117" w:rsidP="00BA2117">
            <w:pPr>
              <w:spacing w:line="276" w:lineRule="auto"/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</w:pPr>
            <w:r w:rsidRPr="000434EF">
              <w:rPr>
                <w:rFonts w:eastAsia="Times New Roman" w:cs="Arial"/>
                <w:b/>
                <w:color w:val="000000"/>
                <w:sz w:val="20"/>
                <w:szCs w:val="20"/>
                <w:u w:val="single"/>
                <w:lang w:val="en-AU"/>
              </w:rPr>
              <w:t>P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opulation variant </w:t>
            </w:r>
            <w:r w:rsidRPr="000434EF">
              <w:rPr>
                <w:rFonts w:eastAsia="Times New Roman" w:cs="Arial"/>
                <w:b/>
                <w:color w:val="000000"/>
                <w:sz w:val="20"/>
                <w:szCs w:val="20"/>
                <w:u w:val="single"/>
                <w:lang w:val="en-AU"/>
              </w:rPr>
              <w:t>a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llele </w:t>
            </w:r>
            <w:r w:rsidRPr="000434EF">
              <w:rPr>
                <w:rFonts w:eastAsia="Times New Roman" w:cs="Arial"/>
                <w:b/>
                <w:color w:val="000000"/>
                <w:sz w:val="20"/>
                <w:szCs w:val="20"/>
                <w:u w:val="single"/>
                <w:lang w:val="en-AU"/>
              </w:rPr>
              <w:t>f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requency</w:t>
            </w:r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 in </w:t>
            </w:r>
            <w:r w:rsidRPr="000434EF">
              <w:rPr>
                <w:rFonts w:eastAsia="Times New Roman" w:cs="Arial"/>
                <w:b/>
                <w:color w:val="000000"/>
                <w:sz w:val="20"/>
                <w:szCs w:val="20"/>
                <w:u w:val="single"/>
                <w:lang w:val="en-AU"/>
              </w:rPr>
              <w:t>1000</w:t>
            </w:r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 </w:t>
            </w:r>
            <w:r w:rsidRPr="000434EF">
              <w:rPr>
                <w:rFonts w:eastAsia="Times New Roman" w:cs="Arial"/>
                <w:b/>
                <w:color w:val="000000"/>
                <w:sz w:val="20"/>
                <w:szCs w:val="20"/>
                <w:u w:val="single"/>
                <w:lang w:val="en-AU"/>
              </w:rPr>
              <w:t>g</w:t>
            </w:r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enome project</w:t>
            </w:r>
          </w:p>
        </w:tc>
      </w:tr>
      <w:tr w:rsidR="00BA2117" w:rsidRPr="00A4768B" w14:paraId="15E90865" w14:textId="77777777" w:rsidTr="00BA2117">
        <w:trPr>
          <w:trHeight w:val="300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9814331" w14:textId="77777777" w:rsidR="00BA2117" w:rsidRPr="00A4768B" w:rsidRDefault="00BA2117" w:rsidP="00BA2117">
            <w:pPr>
              <w:spacing w:line="276" w:lineRule="auto"/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</w:pPr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GC</w:t>
            </w:r>
          </w:p>
        </w:tc>
        <w:tc>
          <w:tcPr>
            <w:tcW w:w="7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EFB9DFE" w14:textId="77777777" w:rsidR="00BA2117" w:rsidRPr="00A87257" w:rsidRDefault="00BA2117" w:rsidP="00BA2117">
            <w:pPr>
              <w:spacing w:line="276" w:lineRule="auto"/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</w:pPr>
            <w:r w:rsidRPr="000434EF">
              <w:rPr>
                <w:rFonts w:eastAsia="Times New Roman" w:cs="Arial"/>
                <w:b/>
                <w:color w:val="000000"/>
                <w:sz w:val="20"/>
                <w:szCs w:val="20"/>
                <w:u w:val="single"/>
                <w:lang w:val="en-AU"/>
              </w:rPr>
              <w:t>GC</w:t>
            </w:r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 content 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of the variant</w:t>
            </w:r>
          </w:p>
        </w:tc>
      </w:tr>
      <w:tr w:rsidR="00BA2117" w:rsidRPr="00A4768B" w14:paraId="157F06A5" w14:textId="77777777" w:rsidTr="00BA2117">
        <w:trPr>
          <w:trHeight w:val="300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F3CC8E" w14:textId="77777777" w:rsidR="00BA2117" w:rsidRPr="00A4768B" w:rsidRDefault="00BA2117" w:rsidP="00BA2117">
            <w:pPr>
              <w:spacing w:line="276" w:lineRule="auto"/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</w:pPr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CR</w:t>
            </w:r>
          </w:p>
        </w:tc>
        <w:tc>
          <w:tcPr>
            <w:tcW w:w="7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FB3076" w14:textId="77777777" w:rsidR="00BA2117" w:rsidRPr="00A87257" w:rsidRDefault="00BA2117" w:rsidP="00BA2117">
            <w:pPr>
              <w:spacing w:line="276" w:lineRule="auto"/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S</w:t>
            </w:r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ize </w:t>
            </w:r>
            <w:r w:rsidRPr="000434EF">
              <w:rPr>
                <w:rFonts w:eastAsia="Times New Roman" w:cs="Arial"/>
                <w:b/>
                <w:color w:val="000000"/>
                <w:sz w:val="20"/>
                <w:szCs w:val="20"/>
                <w:u w:val="single"/>
                <w:lang w:val="en-AU"/>
              </w:rPr>
              <w:t>r</w:t>
            </w:r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atio of </w:t>
            </w:r>
            <w:r w:rsidRPr="000434EF">
              <w:rPr>
                <w:rFonts w:eastAsia="Times New Roman" w:cs="Arial"/>
                <w:b/>
                <w:color w:val="000000"/>
                <w:sz w:val="20"/>
                <w:szCs w:val="20"/>
                <w:u w:val="single"/>
                <w:lang w:val="en-AU"/>
              </w:rPr>
              <w:t>c</w:t>
            </w:r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ompressed vs. uncompressed reference sequence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 of the variant. Low complexity sequences have smaller compression ratios.</w:t>
            </w:r>
          </w:p>
        </w:tc>
      </w:tr>
      <w:tr w:rsidR="00BA2117" w:rsidRPr="00A4768B" w14:paraId="5296C4D9" w14:textId="77777777" w:rsidTr="00BA2117">
        <w:trPr>
          <w:trHeight w:val="300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52EB15F" w14:textId="77777777" w:rsidR="00BA2117" w:rsidRPr="00A4768B" w:rsidRDefault="00BA2117" w:rsidP="00BA2117">
            <w:pPr>
              <w:spacing w:line="276" w:lineRule="auto"/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</w:pPr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MQ</w:t>
            </w:r>
          </w:p>
        </w:tc>
        <w:tc>
          <w:tcPr>
            <w:tcW w:w="7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B5763A7" w14:textId="77777777" w:rsidR="00BA2117" w:rsidRDefault="00BA2117" w:rsidP="00BA2117">
            <w:pPr>
              <w:spacing w:line="276" w:lineRule="auto"/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</w:pPr>
            <w:r w:rsidRPr="000434EF">
              <w:rPr>
                <w:rFonts w:eastAsia="Times New Roman" w:cs="Arial"/>
                <w:b/>
                <w:color w:val="000000"/>
                <w:sz w:val="20"/>
                <w:szCs w:val="20"/>
                <w:u w:val="single"/>
                <w:lang w:val="en-AU"/>
              </w:rPr>
              <w:t>A</w:t>
            </w:r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verage 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read </w:t>
            </w:r>
            <w:r w:rsidRPr="000434EF">
              <w:rPr>
                <w:rFonts w:eastAsia="Times New Roman" w:cs="Arial"/>
                <w:b/>
                <w:color w:val="000000"/>
                <w:sz w:val="20"/>
                <w:szCs w:val="20"/>
                <w:u w:val="single"/>
                <w:lang w:val="en-AU"/>
              </w:rPr>
              <w:t>m</w:t>
            </w:r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apping </w:t>
            </w:r>
            <w:r w:rsidRPr="000434EF">
              <w:rPr>
                <w:rFonts w:eastAsia="Times New Roman" w:cs="Arial"/>
                <w:b/>
                <w:color w:val="000000"/>
                <w:sz w:val="20"/>
                <w:szCs w:val="20"/>
                <w:u w:val="single"/>
                <w:lang w:val="en-AU"/>
              </w:rPr>
              <w:t>q</w:t>
            </w:r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uality 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of the variant</w:t>
            </w:r>
          </w:p>
        </w:tc>
      </w:tr>
      <w:tr w:rsidR="00BA2117" w:rsidRPr="00A4768B" w14:paraId="4E68FEA6" w14:textId="77777777" w:rsidTr="00BA2117">
        <w:trPr>
          <w:trHeight w:val="300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0AA819" w14:textId="77777777" w:rsidR="00BA2117" w:rsidRPr="00A4768B" w:rsidRDefault="00BA2117" w:rsidP="00BA2117">
            <w:pPr>
              <w:spacing w:line="276" w:lineRule="auto"/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</w:pPr>
          </w:p>
        </w:tc>
        <w:tc>
          <w:tcPr>
            <w:tcW w:w="7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CDFBD2C" w14:textId="77777777" w:rsidR="00BA2117" w:rsidRPr="000434EF" w:rsidRDefault="00BA2117" w:rsidP="00BA2117">
            <w:pPr>
              <w:spacing w:line="276" w:lineRule="auto"/>
              <w:rPr>
                <w:rFonts w:eastAsia="Times New Roman" w:cs="Arial"/>
                <w:b/>
                <w:color w:val="000000"/>
                <w:sz w:val="20"/>
                <w:szCs w:val="20"/>
                <w:u w:val="single"/>
                <w:lang w:val="en-AU"/>
              </w:rPr>
            </w:pPr>
          </w:p>
        </w:tc>
      </w:tr>
      <w:tr w:rsidR="00BA2117" w:rsidRPr="00A4768B" w14:paraId="2302CD7C" w14:textId="77777777" w:rsidTr="00BA2117">
        <w:trPr>
          <w:trHeight w:val="300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CFE12F4" w14:textId="77777777" w:rsidR="00BA2117" w:rsidRPr="00A4768B" w:rsidRDefault="00BA2117" w:rsidP="00BA2117">
            <w:pPr>
              <w:spacing w:line="276" w:lineRule="auto"/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</w:pPr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SEGD</w:t>
            </w:r>
          </w:p>
        </w:tc>
        <w:tc>
          <w:tcPr>
            <w:tcW w:w="7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A29DCA7" w14:textId="77777777" w:rsidR="00BA2117" w:rsidRPr="000434EF" w:rsidRDefault="00BA2117" w:rsidP="00BA2117">
            <w:pPr>
              <w:spacing w:line="276" w:lineRule="auto"/>
              <w:rPr>
                <w:rFonts w:eastAsia="Times New Roman" w:cs="Arial"/>
                <w:b/>
                <w:color w:val="000000"/>
                <w:sz w:val="20"/>
                <w:szCs w:val="20"/>
                <w:u w:val="single"/>
                <w:lang w:val="en-AU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O</w:t>
            </w:r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verlapping </w:t>
            </w:r>
            <w:r w:rsidRPr="000434EF">
              <w:rPr>
                <w:rFonts w:eastAsia="Times New Roman" w:cs="Arial"/>
                <w:b/>
                <w:color w:val="000000"/>
                <w:sz w:val="20"/>
                <w:szCs w:val="20"/>
                <w:u w:val="single"/>
                <w:lang w:val="en-AU"/>
              </w:rPr>
              <w:t>seg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mental </w:t>
            </w:r>
            <w:r w:rsidRPr="000434EF">
              <w:rPr>
                <w:rFonts w:eastAsia="Times New Roman" w:cs="Arial"/>
                <w:b/>
                <w:color w:val="000000"/>
                <w:sz w:val="20"/>
                <w:szCs w:val="20"/>
                <w:u w:val="single"/>
                <w:lang w:val="en-AU"/>
              </w:rPr>
              <w:t>d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uplications published by </w:t>
            </w:r>
            <w:r w:rsidRPr="00003DF9">
              <w:rPr>
                <w:rFonts w:eastAsia="Times New Roman" w:cs="Arial"/>
                <w:color w:val="000000"/>
                <w:sz w:val="20"/>
                <w:szCs w:val="20"/>
              </w:rPr>
              <w:t>Bailey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 xml:space="preserve"> JA et al. 2002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. </w:t>
            </w:r>
            <w:r w:rsidRPr="00003DF9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For best match: % 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variant</w:t>
            </w:r>
            <w:r w:rsidRPr="00003DF9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 coverage | % </w:t>
            </w:r>
            <w:proofErr w:type="spellStart"/>
            <w:r w:rsidRPr="00003DF9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seg</w:t>
            </w:r>
            <w:proofErr w:type="spellEnd"/>
            <w:r w:rsidRPr="00003DF9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-dup coverage | identity | for all 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matching </w:t>
            </w:r>
            <w:proofErr w:type="spellStart"/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seg</w:t>
            </w:r>
            <w:proofErr w:type="spellEnd"/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-dup’s</w:t>
            </w:r>
            <w:r w:rsidRPr="00003DF9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: count | merged % 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variant </w:t>
            </w:r>
            <w:r w:rsidRPr="00003DF9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coverage</w:t>
            </w:r>
          </w:p>
        </w:tc>
      </w:tr>
      <w:tr w:rsidR="00BA2117" w:rsidRPr="00A4768B" w14:paraId="0706DCC7" w14:textId="77777777" w:rsidTr="00BA2117">
        <w:trPr>
          <w:trHeight w:val="300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91C738" w14:textId="77777777" w:rsidR="00BA2117" w:rsidRPr="00A4768B" w:rsidRDefault="00BA2117" w:rsidP="00BA2117">
            <w:pPr>
              <w:spacing w:line="276" w:lineRule="auto"/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NUMG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perscript"/>
                <w:lang w:val="en-AU"/>
              </w:rPr>
              <w:t>2</w:t>
            </w:r>
          </w:p>
        </w:tc>
        <w:tc>
          <w:tcPr>
            <w:tcW w:w="7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C947986" w14:textId="77777777" w:rsidR="00BA2117" w:rsidRPr="000434EF" w:rsidRDefault="00BA2117" w:rsidP="00BA2117">
            <w:pPr>
              <w:spacing w:line="276" w:lineRule="auto"/>
              <w:rPr>
                <w:rFonts w:eastAsia="Times New Roman" w:cs="Arial"/>
                <w:b/>
                <w:color w:val="000000"/>
                <w:sz w:val="20"/>
                <w:szCs w:val="20"/>
                <w:u w:val="single"/>
                <w:lang w:val="en-AU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u w:val="single"/>
                <w:lang w:val="en-AU"/>
              </w:rPr>
              <w:t>Num</w:t>
            </w:r>
            <w:r w:rsidRPr="00672BE1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ber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 </w:t>
            </w:r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of </w:t>
            </w:r>
            <w:r w:rsidRPr="00672BE1">
              <w:rPr>
                <w:rFonts w:eastAsia="Times New Roman" w:cs="Arial"/>
                <w:b/>
                <w:color w:val="000000"/>
                <w:sz w:val="20"/>
                <w:szCs w:val="20"/>
                <w:u w:val="single"/>
                <w:lang w:val="en-AU"/>
              </w:rPr>
              <w:t>g</w:t>
            </w:r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enes 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affected by the variant</w:t>
            </w:r>
          </w:p>
        </w:tc>
      </w:tr>
      <w:tr w:rsidR="00BA2117" w:rsidRPr="00A4768B" w14:paraId="74DA62F2" w14:textId="77777777" w:rsidTr="00BA2117">
        <w:trPr>
          <w:trHeight w:val="300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D5082A1" w14:textId="77777777" w:rsidR="00BA2117" w:rsidRPr="00A4768B" w:rsidRDefault="00BA2117" w:rsidP="00BA2117">
            <w:pPr>
              <w:spacing w:line="276" w:lineRule="auto"/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GENES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perscript"/>
                <w:lang w:val="en-AU"/>
              </w:rPr>
              <w:t>2</w:t>
            </w:r>
          </w:p>
        </w:tc>
        <w:tc>
          <w:tcPr>
            <w:tcW w:w="7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B02725" w14:textId="77777777" w:rsidR="00BA2117" w:rsidRPr="000434EF" w:rsidRDefault="00BA2117" w:rsidP="00BA2117">
            <w:pPr>
              <w:spacing w:line="276" w:lineRule="auto"/>
              <w:rPr>
                <w:rFonts w:eastAsia="Times New Roman" w:cs="Arial"/>
                <w:b/>
                <w:color w:val="000000"/>
                <w:sz w:val="20"/>
                <w:szCs w:val="20"/>
                <w:u w:val="single"/>
                <w:lang w:val="en-AU"/>
              </w:rPr>
            </w:pPr>
            <w:r w:rsidRPr="00672BE1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ENSEMBL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 </w:t>
            </w:r>
            <w:r w:rsidRPr="006B2205">
              <w:t>genes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 affected by the variant</w:t>
            </w:r>
          </w:p>
        </w:tc>
      </w:tr>
      <w:tr w:rsidR="00BA2117" w:rsidRPr="00A4768B" w14:paraId="5F2BA247" w14:textId="77777777" w:rsidTr="00BA2117">
        <w:trPr>
          <w:trHeight w:val="300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912DA11" w14:textId="77777777" w:rsidR="00BA2117" w:rsidRDefault="00BA2117" w:rsidP="00BA2117">
            <w:pPr>
              <w:spacing w:line="276" w:lineRule="auto"/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GFEAT</w:t>
            </w:r>
          </w:p>
        </w:tc>
        <w:tc>
          <w:tcPr>
            <w:tcW w:w="7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344BDA1" w14:textId="77777777" w:rsidR="00BA2117" w:rsidRPr="00672BE1" w:rsidRDefault="00BA2117" w:rsidP="00BA2117">
            <w:pPr>
              <w:spacing w:line="276" w:lineRule="auto"/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</w:pPr>
            <w:r w:rsidRPr="00D03E84">
              <w:rPr>
                <w:rFonts w:eastAsia="Times New Roman" w:cs="Arial"/>
                <w:b/>
                <w:color w:val="000000"/>
                <w:sz w:val="20"/>
                <w:szCs w:val="20"/>
                <w:u w:val="single"/>
                <w:lang w:val="en-AU"/>
              </w:rPr>
              <w:t>G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ene </w:t>
            </w:r>
            <w:r w:rsidRPr="00D03E84">
              <w:rPr>
                <w:rFonts w:eastAsia="Times New Roman" w:cs="Arial"/>
                <w:b/>
                <w:color w:val="000000"/>
                <w:sz w:val="20"/>
                <w:szCs w:val="20"/>
                <w:u w:val="single"/>
                <w:lang w:val="en-AU"/>
              </w:rPr>
              <w:t>feat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ure affected by structural variant. If multiple features or genes affected, one feature is reported in order of importance (</w:t>
            </w:r>
            <w:proofErr w:type="spellStart"/>
            <w:r w:rsidRPr="003B30EF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start_codon</w:t>
            </w:r>
            <w:proofErr w:type="spellEnd"/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 &gt; </w:t>
            </w:r>
            <w:proofErr w:type="spellStart"/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stop_codo</w:t>
            </w:r>
            <w:proofErr w:type="spellEnd"/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 &gt; </w:t>
            </w:r>
            <w:r w:rsidRPr="003B30EF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CDS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 &gt; UTR &gt; intron)</w:t>
            </w:r>
          </w:p>
        </w:tc>
      </w:tr>
      <w:tr w:rsidR="00BA2117" w:rsidRPr="00A4768B" w14:paraId="29B0A967" w14:textId="77777777" w:rsidTr="00BA2117">
        <w:trPr>
          <w:trHeight w:val="300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FD6100" w14:textId="77777777" w:rsidR="00BA2117" w:rsidRPr="00A4768B" w:rsidRDefault="00BA2117" w:rsidP="00BA2117">
            <w:pPr>
              <w:spacing w:line="276" w:lineRule="auto"/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HPO</w:t>
            </w:r>
          </w:p>
        </w:tc>
        <w:tc>
          <w:tcPr>
            <w:tcW w:w="7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7F035C" w14:textId="77777777" w:rsidR="00BA2117" w:rsidRDefault="00BA2117" w:rsidP="00BA2117">
            <w:pPr>
              <w:spacing w:line="276" w:lineRule="auto"/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</w:pPr>
            <w:r w:rsidRPr="00672BE1">
              <w:rPr>
                <w:rFonts w:eastAsia="Times New Roman" w:cs="Arial"/>
                <w:b/>
                <w:color w:val="000000"/>
                <w:sz w:val="20"/>
                <w:szCs w:val="20"/>
                <w:u w:val="single"/>
                <w:lang w:val="en-AU"/>
              </w:rPr>
              <w:t>HPO</w:t>
            </w:r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 num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b</w:t>
            </w:r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er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s of affected genes. HPO’s of genes are separated by the “|” symbol and appear in the same order as the gene names in the GENES column. Multiple HPO’s per gene are separated by colon.</w:t>
            </w:r>
          </w:p>
        </w:tc>
      </w:tr>
      <w:tr w:rsidR="00BA2117" w:rsidRPr="00A4768B" w14:paraId="7B4BB948" w14:textId="77777777" w:rsidTr="00BA2117">
        <w:trPr>
          <w:trHeight w:val="300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95FAB1B" w14:textId="77777777" w:rsidR="00BA2117" w:rsidRPr="00A4768B" w:rsidRDefault="00BA2117" w:rsidP="00BA2117">
            <w:pPr>
              <w:spacing w:line="276" w:lineRule="auto"/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PHEN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perscript"/>
                <w:lang w:val="en-AU"/>
              </w:rPr>
              <w:t>2</w:t>
            </w:r>
          </w:p>
        </w:tc>
        <w:tc>
          <w:tcPr>
            <w:tcW w:w="7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6343114" w14:textId="77777777" w:rsidR="00BA2117" w:rsidRDefault="00BA2117" w:rsidP="00BA2117">
            <w:pPr>
              <w:spacing w:line="276" w:lineRule="auto"/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Known </w:t>
            </w:r>
            <w:r w:rsidRPr="008D7FB3">
              <w:rPr>
                <w:rFonts w:eastAsia="Times New Roman" w:cs="Arial"/>
                <w:b/>
                <w:color w:val="000000"/>
                <w:sz w:val="20"/>
                <w:szCs w:val="20"/>
                <w:u w:val="single"/>
                <w:lang w:val="en-AU"/>
              </w:rPr>
              <w:t>phen</w:t>
            </w:r>
            <w:r w:rsidRPr="008D7FB3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otype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s for any genes affected by the variant, obtained </w:t>
            </w:r>
            <w:r w:rsidRPr="008D7FB3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from 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O</w:t>
            </w:r>
            <w:r w:rsidRPr="008D7FB3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MIM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, </w:t>
            </w:r>
            <w:r w:rsidRPr="008D7FB3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DDG2P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 or</w:t>
            </w:r>
            <w:r w:rsidRPr="008D7FB3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D7FB3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Orphanet</w:t>
            </w:r>
            <w:proofErr w:type="spellEnd"/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. If annotation from more than one source is available for a gene, only first source in above order is shown to reduce redundancy of terms.</w:t>
            </w:r>
          </w:p>
        </w:tc>
      </w:tr>
      <w:tr w:rsidR="00BA2117" w:rsidRPr="00A4768B" w14:paraId="510385C7" w14:textId="77777777" w:rsidTr="00BA2117">
        <w:trPr>
          <w:trHeight w:val="300"/>
        </w:trPr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3100A60" w14:textId="77777777" w:rsidR="00BA2117" w:rsidRPr="00A4768B" w:rsidRDefault="00BA2117" w:rsidP="00BA2117">
            <w:pPr>
              <w:spacing w:line="276" w:lineRule="auto"/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CANDG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perscript"/>
                <w:lang w:val="en-AU"/>
              </w:rPr>
              <w:t>2</w:t>
            </w:r>
          </w:p>
        </w:tc>
        <w:tc>
          <w:tcPr>
            <w:tcW w:w="76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96ACB3C" w14:textId="77777777" w:rsidR="00BA2117" w:rsidRPr="00A4768B" w:rsidRDefault="00BA2117" w:rsidP="00BA2117">
            <w:pPr>
              <w:spacing w:line="276" w:lineRule="auto"/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</w:pPr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Gene name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s that are also</w:t>
            </w:r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 in 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the </w:t>
            </w:r>
            <w:r w:rsidRPr="00672BE1">
              <w:rPr>
                <w:rFonts w:eastAsia="Times New Roman" w:cs="Arial"/>
                <w:b/>
                <w:color w:val="000000"/>
                <w:sz w:val="20"/>
                <w:szCs w:val="20"/>
                <w:u w:val="single"/>
                <w:lang w:val="en-AU"/>
              </w:rPr>
              <w:t>cand</w:t>
            </w:r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idate </w:t>
            </w:r>
            <w:r w:rsidRPr="00672BE1">
              <w:rPr>
                <w:rFonts w:eastAsia="Times New Roman" w:cs="Arial"/>
                <w:b/>
                <w:color w:val="000000"/>
                <w:sz w:val="20"/>
                <w:szCs w:val="20"/>
                <w:u w:val="single"/>
                <w:lang w:val="en-AU"/>
              </w:rPr>
              <w:t>g</w:t>
            </w:r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 xml:space="preserve">ene </w:t>
            </w:r>
            <w:r w:rsidRPr="00672BE1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l</w:t>
            </w:r>
            <w:r w:rsidRPr="00A4768B"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ist (if provided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  <w:t>)</w:t>
            </w:r>
          </w:p>
        </w:tc>
      </w:tr>
    </w:tbl>
    <w:p w14:paraId="0F2FF9FD" w14:textId="77777777" w:rsidR="00BA2117" w:rsidRDefault="00BA2117" w:rsidP="00BA2117">
      <w:pPr>
        <w:spacing w:line="276" w:lineRule="auto"/>
        <w:rPr>
          <w:sz w:val="20"/>
          <w:szCs w:val="20"/>
        </w:rPr>
      </w:pPr>
      <w:r w:rsidRPr="00CA5DC4">
        <w:rPr>
          <w:rFonts w:ascii="Calibri" w:eastAsia="Times New Roman" w:hAnsi="Calibri" w:cs="Times New Roman"/>
          <w:color w:val="000000"/>
          <w:sz w:val="20"/>
          <w:szCs w:val="20"/>
          <w:vertAlign w:val="superscript"/>
          <w:lang w:val="en-AU"/>
        </w:rPr>
        <w:t xml:space="preserve">1 </w:t>
      </w:r>
      <w:r w:rsidRPr="00CA5DC4">
        <w:rPr>
          <w:sz w:val="20"/>
          <w:szCs w:val="20"/>
        </w:rPr>
        <w:t>If pedigree file was provided</w:t>
      </w:r>
    </w:p>
    <w:p w14:paraId="3E961875" w14:textId="77777777" w:rsidR="00BA2117" w:rsidRDefault="00BA2117" w:rsidP="00BA2117">
      <w:pPr>
        <w:spacing w:line="276" w:lineRule="auto"/>
        <w:rPr>
          <w:sz w:val="20"/>
          <w:szCs w:val="20"/>
        </w:rPr>
      </w:pPr>
      <w:r>
        <w:rPr>
          <w:rFonts w:ascii="Calibri" w:eastAsia="Times New Roman" w:hAnsi="Calibri" w:cs="Times New Roman"/>
          <w:color w:val="000000"/>
          <w:sz w:val="20"/>
          <w:szCs w:val="20"/>
          <w:vertAlign w:val="superscript"/>
          <w:lang w:val="en-AU"/>
        </w:rPr>
        <w:t>2</w:t>
      </w:r>
      <w:r w:rsidRPr="00CA5DC4">
        <w:rPr>
          <w:rFonts w:ascii="Calibri" w:eastAsia="Times New Roman" w:hAnsi="Calibri" w:cs="Times New Roman"/>
          <w:color w:val="000000"/>
          <w:sz w:val="20"/>
          <w:szCs w:val="20"/>
          <w:vertAlign w:val="superscript"/>
          <w:lang w:val="en-AU"/>
        </w:rPr>
        <w:t xml:space="preserve"> </w:t>
      </w:r>
      <w:r>
        <w:rPr>
          <w:sz w:val="20"/>
          <w:szCs w:val="20"/>
        </w:rPr>
        <w:t xml:space="preserve">minimum </w:t>
      </w:r>
      <w:proofErr w:type="gramStart"/>
      <w:r>
        <w:rPr>
          <w:sz w:val="20"/>
          <w:szCs w:val="20"/>
        </w:rPr>
        <w:t>set</w:t>
      </w:r>
      <w:proofErr w:type="gramEnd"/>
      <w:r>
        <w:rPr>
          <w:sz w:val="20"/>
          <w:szCs w:val="20"/>
        </w:rPr>
        <w:t xml:space="preserve"> of annotation columns (see light.xlsx)</w:t>
      </w:r>
    </w:p>
    <w:p w14:paraId="5CD4E1C5" w14:textId="77777777" w:rsidR="00FA09A8" w:rsidRDefault="00FA09A8" w:rsidP="00FA09A8">
      <w:pPr>
        <w:spacing w:line="276" w:lineRule="auto"/>
        <w:rPr>
          <w:b/>
          <w:szCs w:val="22"/>
        </w:rPr>
      </w:pPr>
    </w:p>
    <w:p w14:paraId="32891FA5" w14:textId="70232F03" w:rsidR="00405127" w:rsidRPr="007F598F" w:rsidRDefault="00FA09A8" w:rsidP="00405127">
      <w:pPr>
        <w:spacing w:line="276" w:lineRule="auto"/>
      </w:pPr>
      <w:r>
        <w:rPr>
          <w:b/>
        </w:rPr>
        <w:t>Table</w:t>
      </w:r>
      <w:r w:rsidRPr="0025309A">
        <w:rPr>
          <w:b/>
        </w:rPr>
        <w:t xml:space="preserve"> </w:t>
      </w:r>
      <w:r w:rsidR="00B266B2">
        <w:rPr>
          <w:b/>
        </w:rPr>
        <w:t>3</w:t>
      </w:r>
      <w:r>
        <w:rPr>
          <w:b/>
        </w:rPr>
        <w:t xml:space="preserve"> </w:t>
      </w:r>
      <w:r w:rsidR="00405127" w:rsidRPr="007F598F">
        <w:t>Manual validation criteria</w:t>
      </w:r>
      <w:r w:rsidR="00405127">
        <w:t xml:space="preserve"> applied when visualizing SVs and their </w:t>
      </w:r>
      <w:r w:rsidR="00BE5E32">
        <w:t>evidence in the genome browser.</w:t>
      </w:r>
    </w:p>
    <w:tbl>
      <w:tblPr>
        <w:tblStyle w:val="ListParagraph"/>
        <w:tblW w:w="0" w:type="auto"/>
        <w:tblLook w:val="04A0" w:firstRow="1" w:lastRow="0" w:firstColumn="1" w:lastColumn="0" w:noHBand="0" w:noVBand="1"/>
      </w:tblPr>
      <w:tblGrid>
        <w:gridCol w:w="2048"/>
        <w:gridCol w:w="6820"/>
      </w:tblGrid>
      <w:tr w:rsidR="00405127" w:rsidRPr="00FB2CA0" w14:paraId="390A4C55" w14:textId="77777777" w:rsidTr="00405127">
        <w:trPr>
          <w:trHeight w:val="272"/>
        </w:trPr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</w:tcPr>
          <w:p w14:paraId="518FC34C" w14:textId="77777777" w:rsidR="00405127" w:rsidRPr="00FB2CA0" w:rsidRDefault="00405127" w:rsidP="00405127">
            <w:pPr>
              <w:spacing w:line="276" w:lineRule="auto"/>
              <w:rPr>
                <w:rFonts w:cs="Arial"/>
                <w:b/>
                <w:sz w:val="20"/>
                <w:szCs w:val="20"/>
              </w:rPr>
            </w:pPr>
            <w:r w:rsidRPr="00FB2CA0">
              <w:rPr>
                <w:rFonts w:cs="Arial"/>
                <w:b/>
                <w:sz w:val="20"/>
                <w:szCs w:val="20"/>
              </w:rPr>
              <w:t>Value</w:t>
            </w:r>
          </w:p>
        </w:tc>
        <w:tc>
          <w:tcPr>
            <w:tcW w:w="6820" w:type="dxa"/>
            <w:tcBorders>
              <w:top w:val="single" w:sz="4" w:space="0" w:color="auto"/>
              <w:bottom w:val="single" w:sz="4" w:space="0" w:color="auto"/>
            </w:tcBorders>
          </w:tcPr>
          <w:p w14:paraId="134429F5" w14:textId="77777777" w:rsidR="00405127" w:rsidRPr="00FB2CA0" w:rsidRDefault="00405127" w:rsidP="00405127">
            <w:pPr>
              <w:spacing w:line="276" w:lineRule="auto"/>
              <w:rPr>
                <w:rFonts w:cs="Arial"/>
                <w:b/>
                <w:sz w:val="20"/>
                <w:szCs w:val="20"/>
              </w:rPr>
            </w:pPr>
            <w:r w:rsidRPr="00FB2CA0">
              <w:rPr>
                <w:rFonts w:cs="Arial"/>
                <w:b/>
                <w:sz w:val="20"/>
                <w:szCs w:val="20"/>
              </w:rPr>
              <w:t>Criteria</w:t>
            </w:r>
          </w:p>
        </w:tc>
      </w:tr>
      <w:tr w:rsidR="00405127" w:rsidRPr="00FB2CA0" w14:paraId="3BE834C5" w14:textId="77777777" w:rsidTr="00405127">
        <w:trPr>
          <w:trHeight w:val="1424"/>
        </w:trPr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</w:tcPr>
          <w:p w14:paraId="5B1F38C9" w14:textId="77777777" w:rsidR="00405127" w:rsidRPr="00FB2CA0" w:rsidRDefault="00405127" w:rsidP="00405127">
            <w:pPr>
              <w:spacing w:line="276" w:lineRule="auto"/>
              <w:rPr>
                <w:rFonts w:cs="Arial"/>
                <w:sz w:val="20"/>
                <w:szCs w:val="20"/>
              </w:rPr>
            </w:pPr>
            <w:r w:rsidRPr="00FB2CA0">
              <w:rPr>
                <w:rFonts w:cs="Arial"/>
                <w:sz w:val="20"/>
                <w:szCs w:val="20"/>
              </w:rPr>
              <w:t>Pass</w:t>
            </w:r>
          </w:p>
        </w:tc>
        <w:tc>
          <w:tcPr>
            <w:tcW w:w="6820" w:type="dxa"/>
            <w:tcBorders>
              <w:top w:val="single" w:sz="4" w:space="0" w:color="auto"/>
              <w:bottom w:val="single" w:sz="4" w:space="0" w:color="auto"/>
            </w:tcBorders>
          </w:tcPr>
          <w:p w14:paraId="57D2640A" w14:textId="77777777" w:rsidR="00405127" w:rsidRPr="00787073" w:rsidRDefault="00405127" w:rsidP="0040512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="Arial"/>
                <w:sz w:val="20"/>
                <w:szCs w:val="20"/>
              </w:rPr>
            </w:pPr>
            <w:r w:rsidRPr="00787073">
              <w:rPr>
                <w:rFonts w:cs="Arial"/>
                <w:sz w:val="20"/>
                <w:szCs w:val="20"/>
              </w:rPr>
              <w:t xml:space="preserve">Diverse DP and SR mapping positions: mapping position of </w:t>
            </w:r>
            <w:r>
              <w:rPr>
                <w:rFonts w:cs="Arial"/>
                <w:sz w:val="20"/>
                <w:szCs w:val="20"/>
              </w:rPr>
              <w:t>su</w:t>
            </w:r>
            <w:r w:rsidRPr="00787073">
              <w:rPr>
                <w:rFonts w:cs="Arial"/>
                <w:sz w:val="20"/>
                <w:szCs w:val="20"/>
              </w:rPr>
              <w:t xml:space="preserve">pporting DPs and SRs </w:t>
            </w:r>
            <w:r>
              <w:rPr>
                <w:rFonts w:cs="Arial"/>
                <w:sz w:val="20"/>
                <w:szCs w:val="20"/>
              </w:rPr>
              <w:t>are</w:t>
            </w:r>
            <w:r w:rsidRPr="00787073">
              <w:rPr>
                <w:rFonts w:cs="Arial"/>
                <w:sz w:val="20"/>
                <w:szCs w:val="20"/>
              </w:rPr>
              <w:t xml:space="preserve"> randomly distributed up and downstream of </w:t>
            </w:r>
            <w:r>
              <w:rPr>
                <w:rFonts w:cs="Arial"/>
                <w:sz w:val="20"/>
                <w:szCs w:val="20"/>
              </w:rPr>
              <w:t>the</w:t>
            </w:r>
            <w:r w:rsidRPr="00787073">
              <w:rPr>
                <w:rFonts w:cs="Arial"/>
                <w:sz w:val="20"/>
                <w:szCs w:val="20"/>
              </w:rPr>
              <w:t xml:space="preserve"> SV breakpoin</w:t>
            </w:r>
            <w:r>
              <w:rPr>
                <w:rFonts w:cs="Arial"/>
                <w:sz w:val="20"/>
                <w:szCs w:val="20"/>
              </w:rPr>
              <w:t>t</w:t>
            </w:r>
          </w:p>
          <w:p w14:paraId="3D54B87D" w14:textId="77777777" w:rsidR="00405127" w:rsidRPr="00D63498" w:rsidRDefault="00405127" w:rsidP="0040512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For CNVs a clear change in DOC at breakpoint: a sharp step shape change of read depth at start and end of the variant</w:t>
            </w:r>
          </w:p>
          <w:p w14:paraId="7636599D" w14:textId="77777777" w:rsidR="00405127" w:rsidRDefault="00405127" w:rsidP="0040512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Variant</w:t>
            </w:r>
            <w:r w:rsidRPr="00FB2CA0">
              <w:rPr>
                <w:rFonts w:cs="Arial"/>
                <w:sz w:val="20"/>
                <w:szCs w:val="20"/>
              </w:rPr>
              <w:t xml:space="preserve"> in region </w:t>
            </w:r>
            <w:r>
              <w:rPr>
                <w:rFonts w:cs="Arial"/>
                <w:sz w:val="20"/>
                <w:szCs w:val="20"/>
              </w:rPr>
              <w:t xml:space="preserve">with </w:t>
            </w:r>
            <w:r w:rsidRPr="00FB2CA0">
              <w:rPr>
                <w:rFonts w:cs="Arial"/>
                <w:sz w:val="20"/>
                <w:szCs w:val="20"/>
              </w:rPr>
              <w:t xml:space="preserve">high </w:t>
            </w:r>
            <w:r>
              <w:rPr>
                <w:rFonts w:cs="Arial"/>
                <w:sz w:val="20"/>
                <w:szCs w:val="20"/>
              </w:rPr>
              <w:t>mapping quality (here MQ&gt;=55): If reads are mapped with low confidence (low mapping quality), they are more likely wrongly placed in the genome resulting in DP/SP or DOC that can be misinterpreted as a variant by automated variant callers.</w:t>
            </w:r>
          </w:p>
          <w:p w14:paraId="1E18E3CF" w14:textId="77777777" w:rsidR="00405127" w:rsidRPr="00FB2CA0" w:rsidRDefault="00405127" w:rsidP="0040512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="Arial"/>
                <w:sz w:val="20"/>
                <w:szCs w:val="20"/>
              </w:rPr>
            </w:pPr>
            <w:r w:rsidRPr="00FB2CA0">
              <w:rPr>
                <w:rFonts w:cs="Arial"/>
                <w:sz w:val="20"/>
                <w:szCs w:val="20"/>
              </w:rPr>
              <w:t>No</w:t>
            </w:r>
            <w:r w:rsidRPr="00007EA8">
              <w:rPr>
                <w:szCs w:val="22"/>
              </w:rPr>
              <w:t xml:space="preserve"> </w:t>
            </w:r>
            <w:r w:rsidRPr="00007EA8">
              <w:rPr>
                <w:rFonts w:cs="Arial"/>
                <w:sz w:val="20"/>
                <w:szCs w:val="20"/>
              </w:rPr>
              <w:t xml:space="preserve">competing </w:t>
            </w:r>
            <w:r w:rsidRPr="00FB2CA0">
              <w:rPr>
                <w:rFonts w:cs="Arial"/>
                <w:sz w:val="20"/>
                <w:szCs w:val="20"/>
              </w:rPr>
              <w:t>evidence</w:t>
            </w:r>
            <w:r>
              <w:rPr>
                <w:rFonts w:cs="Arial"/>
                <w:sz w:val="20"/>
                <w:szCs w:val="20"/>
              </w:rPr>
              <w:t>: e.g. no additional DP/SR linking to other parts of the genome than the predicted SV.</w:t>
            </w:r>
          </w:p>
        </w:tc>
      </w:tr>
      <w:tr w:rsidR="00405127" w:rsidRPr="00FB2CA0" w14:paraId="6612E9CD" w14:textId="77777777" w:rsidTr="00405127">
        <w:trPr>
          <w:trHeight w:val="570"/>
        </w:trPr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</w:tcPr>
          <w:p w14:paraId="563D48B9" w14:textId="77777777" w:rsidR="00405127" w:rsidRPr="00FB2CA0" w:rsidRDefault="00405127" w:rsidP="00405127">
            <w:pPr>
              <w:spacing w:line="276" w:lineRule="auto"/>
              <w:rPr>
                <w:rFonts w:cs="Arial"/>
                <w:sz w:val="20"/>
                <w:szCs w:val="20"/>
              </w:rPr>
            </w:pPr>
            <w:r w:rsidRPr="00FB2CA0">
              <w:rPr>
                <w:rFonts w:cs="Arial"/>
                <w:sz w:val="20"/>
                <w:szCs w:val="20"/>
              </w:rPr>
              <w:t>Needs further investigation</w:t>
            </w:r>
          </w:p>
        </w:tc>
        <w:tc>
          <w:tcPr>
            <w:tcW w:w="6820" w:type="dxa"/>
            <w:tcBorders>
              <w:top w:val="single" w:sz="4" w:space="0" w:color="auto"/>
              <w:bottom w:val="single" w:sz="4" w:space="0" w:color="auto"/>
            </w:tcBorders>
          </w:tcPr>
          <w:p w14:paraId="081BD546" w14:textId="77777777" w:rsidR="00405127" w:rsidRPr="00FB2CA0" w:rsidRDefault="00405127" w:rsidP="0040512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="Arial"/>
                <w:sz w:val="20"/>
                <w:szCs w:val="20"/>
              </w:rPr>
            </w:pPr>
            <w:r w:rsidRPr="00FB2CA0">
              <w:rPr>
                <w:rFonts w:cs="Arial"/>
                <w:sz w:val="20"/>
                <w:szCs w:val="20"/>
              </w:rPr>
              <w:t xml:space="preserve">Complex </w:t>
            </w:r>
            <w:r>
              <w:rPr>
                <w:rFonts w:cs="Arial"/>
                <w:sz w:val="20"/>
                <w:szCs w:val="20"/>
              </w:rPr>
              <w:t>variant</w:t>
            </w:r>
            <w:r w:rsidRPr="00FB2CA0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and</w:t>
            </w:r>
            <w:r w:rsidRPr="00FB2CA0">
              <w:rPr>
                <w:rFonts w:cs="Arial"/>
                <w:sz w:val="20"/>
                <w:szCs w:val="20"/>
              </w:rPr>
              <w:t xml:space="preserve"> </w:t>
            </w:r>
            <w:r w:rsidRPr="00007EA8">
              <w:rPr>
                <w:rFonts w:cs="Arial"/>
                <w:sz w:val="20"/>
                <w:szCs w:val="20"/>
              </w:rPr>
              <w:t xml:space="preserve">competing </w:t>
            </w:r>
            <w:r w:rsidRPr="00FB2CA0">
              <w:rPr>
                <w:rFonts w:cs="Arial"/>
                <w:sz w:val="20"/>
                <w:szCs w:val="20"/>
              </w:rPr>
              <w:t>evidence</w:t>
            </w:r>
            <w:r>
              <w:rPr>
                <w:rFonts w:cs="Arial"/>
                <w:sz w:val="20"/>
                <w:szCs w:val="20"/>
              </w:rPr>
              <w:t>: Complex variants are composed by more than one adjacent or superposed SV and the effect on a gene can be hard to predict until the complete structure is resolved. Complex events can be harder to distinguish from mapping artifacts.</w:t>
            </w:r>
          </w:p>
          <w:p w14:paraId="2ED19FC5" w14:textId="77777777" w:rsidR="00405127" w:rsidRDefault="00405127" w:rsidP="0040512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="Arial"/>
                <w:sz w:val="20"/>
                <w:szCs w:val="20"/>
              </w:rPr>
            </w:pPr>
            <w:r w:rsidRPr="00FB2CA0">
              <w:rPr>
                <w:rFonts w:cs="Arial"/>
                <w:sz w:val="20"/>
                <w:szCs w:val="20"/>
              </w:rPr>
              <w:t xml:space="preserve">In close vicinity to common </w:t>
            </w:r>
            <w:r>
              <w:rPr>
                <w:rFonts w:cs="Arial"/>
                <w:sz w:val="20"/>
                <w:szCs w:val="20"/>
              </w:rPr>
              <w:t>DP/SR:</w:t>
            </w:r>
          </w:p>
          <w:p w14:paraId="3AEB0B07" w14:textId="77777777" w:rsidR="00405127" w:rsidRPr="00FB2CA0" w:rsidRDefault="00405127" w:rsidP="0040512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CNV with avg. mapping quality &lt;40 and no DPs or SRs</w:t>
            </w:r>
          </w:p>
        </w:tc>
      </w:tr>
      <w:tr w:rsidR="00405127" w:rsidRPr="00FB2CA0" w14:paraId="377BB437" w14:textId="77777777" w:rsidTr="00405127">
        <w:trPr>
          <w:trHeight w:val="570"/>
        </w:trPr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</w:tcPr>
          <w:p w14:paraId="7EA04AA4" w14:textId="77777777" w:rsidR="00405127" w:rsidRPr="00FB2CA0" w:rsidRDefault="00405127" w:rsidP="00405127">
            <w:pPr>
              <w:spacing w:line="276" w:lineRule="auto"/>
              <w:rPr>
                <w:rFonts w:cs="Arial"/>
                <w:sz w:val="20"/>
                <w:szCs w:val="20"/>
              </w:rPr>
            </w:pPr>
            <w:r w:rsidRPr="00FB2CA0">
              <w:rPr>
                <w:rFonts w:cs="Arial"/>
                <w:sz w:val="20"/>
                <w:szCs w:val="20"/>
              </w:rPr>
              <w:t>False call</w:t>
            </w:r>
          </w:p>
        </w:tc>
        <w:tc>
          <w:tcPr>
            <w:tcW w:w="6820" w:type="dxa"/>
            <w:tcBorders>
              <w:top w:val="single" w:sz="4" w:space="0" w:color="auto"/>
              <w:bottom w:val="single" w:sz="4" w:space="0" w:color="auto"/>
            </w:tcBorders>
          </w:tcPr>
          <w:p w14:paraId="665C685E" w14:textId="77777777" w:rsidR="00405127" w:rsidRDefault="00405127" w:rsidP="0040512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Few DP/</w:t>
            </w:r>
            <w:proofErr w:type="gramStart"/>
            <w:r>
              <w:rPr>
                <w:rFonts w:cs="Arial"/>
                <w:sz w:val="20"/>
                <w:szCs w:val="20"/>
              </w:rPr>
              <w:t>SR ,</w:t>
            </w:r>
            <w:proofErr w:type="gramEnd"/>
            <w:r>
              <w:rPr>
                <w:rFonts w:cs="Arial"/>
                <w:sz w:val="20"/>
                <w:szCs w:val="20"/>
              </w:rPr>
              <w:t xml:space="preserve"> not being normally distribution around the breakpoint</w:t>
            </w:r>
          </w:p>
          <w:p w14:paraId="021CC27B" w14:textId="77777777" w:rsidR="00405127" w:rsidRDefault="00405127" w:rsidP="0040512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Presence of same DP/SR in most control samples (high PAFSU) </w:t>
            </w:r>
          </w:p>
          <w:p w14:paraId="245DA47A" w14:textId="77777777" w:rsidR="00405127" w:rsidRPr="0066780D" w:rsidRDefault="00405127" w:rsidP="0040512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Contradicting DP/SR evidence solely in r</w:t>
            </w:r>
            <w:r w:rsidRPr="0066780D">
              <w:rPr>
                <w:rFonts w:cs="Arial"/>
                <w:sz w:val="20"/>
                <w:szCs w:val="20"/>
              </w:rPr>
              <w:t xml:space="preserve">egion of low </w:t>
            </w:r>
            <w:r>
              <w:rPr>
                <w:rFonts w:cs="Arial"/>
                <w:sz w:val="20"/>
                <w:szCs w:val="20"/>
              </w:rPr>
              <w:t>mapping quality, representing misaligned reads</w:t>
            </w:r>
          </w:p>
        </w:tc>
      </w:tr>
    </w:tbl>
    <w:p w14:paraId="0FFF4B55" w14:textId="4201DEE2" w:rsidR="00FA09A8" w:rsidRDefault="00E62954">
      <w:pPr>
        <w:rPr>
          <w:sz w:val="20"/>
          <w:szCs w:val="20"/>
          <w:lang w:val="en-AU"/>
        </w:rPr>
      </w:pPr>
      <w:r>
        <w:rPr>
          <w:noProof/>
          <w:sz w:val="20"/>
          <w:szCs w:val="20"/>
        </w:rPr>
        <w:drawing>
          <wp:inline distT="0" distB="0" distL="0" distR="0" wp14:anchorId="0B965E9F" wp14:editId="4A6276B5">
            <wp:extent cx="5470525" cy="4253865"/>
            <wp:effectExtent l="0" t="0" r="0" b="0"/>
            <wp:docPr id="5" name="Picture 5" descr="Macintosh HD:Users:andre:Dropbox:Presentations:NATA:ClinSV:rev0v20170713:IGV_test_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ndre:Dropbox:Presentations:NATA:ClinSV:rev0v20170713:IGV_test_scree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25" cy="425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9AB28" w14:textId="77777777" w:rsidR="00FA09A8" w:rsidRDefault="00FA09A8">
      <w:pPr>
        <w:rPr>
          <w:sz w:val="20"/>
          <w:szCs w:val="20"/>
          <w:lang w:val="en-AU"/>
        </w:rPr>
      </w:pPr>
    </w:p>
    <w:p w14:paraId="7E96DBB7" w14:textId="77777777" w:rsidR="0052547C" w:rsidRDefault="0052547C">
      <w:pPr>
        <w:rPr>
          <w:sz w:val="20"/>
          <w:szCs w:val="20"/>
          <w:lang w:val="en-AU"/>
        </w:rPr>
      </w:pPr>
    </w:p>
    <w:p w14:paraId="70F12A5F" w14:textId="0F6CD868" w:rsidR="00276D15" w:rsidRPr="00BE6006" w:rsidRDefault="0052547C" w:rsidP="00276D15">
      <w:pPr>
        <w:rPr>
          <w:b/>
          <w:sz w:val="20"/>
          <w:szCs w:val="20"/>
        </w:rPr>
      </w:pPr>
      <w:r w:rsidRPr="0052547C">
        <w:rPr>
          <w:b/>
          <w:sz w:val="20"/>
          <w:szCs w:val="20"/>
          <w:lang w:val="en-AU"/>
        </w:rPr>
        <w:t>Figure</w:t>
      </w:r>
      <w:r w:rsidR="00893F60">
        <w:rPr>
          <w:b/>
          <w:sz w:val="20"/>
          <w:szCs w:val="20"/>
          <w:lang w:val="en-AU"/>
        </w:rPr>
        <w:t xml:space="preserve"> 1</w:t>
      </w:r>
      <w:r w:rsidRPr="0052547C">
        <w:rPr>
          <w:b/>
          <w:sz w:val="20"/>
          <w:szCs w:val="20"/>
          <w:lang w:val="en-AU"/>
        </w:rPr>
        <w:t xml:space="preserve"> </w:t>
      </w:r>
      <w:r w:rsidRPr="0052547C">
        <w:rPr>
          <w:b/>
          <w:sz w:val="20"/>
          <w:szCs w:val="20"/>
        </w:rPr>
        <w:t xml:space="preserve">Default </w:t>
      </w:r>
      <w:r w:rsidR="00BE6006" w:rsidRPr="0052547C">
        <w:rPr>
          <w:b/>
          <w:sz w:val="20"/>
          <w:szCs w:val="20"/>
        </w:rPr>
        <w:t xml:space="preserve">genome browser </w:t>
      </w:r>
      <w:r w:rsidR="00BE6006">
        <w:rPr>
          <w:b/>
          <w:sz w:val="20"/>
          <w:szCs w:val="20"/>
        </w:rPr>
        <w:t>tracks for manual validation</w:t>
      </w:r>
      <w:r w:rsidRPr="0052547C">
        <w:rPr>
          <w:b/>
          <w:sz w:val="20"/>
          <w:szCs w:val="20"/>
        </w:rPr>
        <w:t xml:space="preserve"> </w:t>
      </w:r>
      <w:r w:rsidR="00BE6006">
        <w:rPr>
          <w:b/>
          <w:sz w:val="20"/>
          <w:szCs w:val="20"/>
        </w:rPr>
        <w:br/>
      </w:r>
      <w:r w:rsidR="00BE6006">
        <w:rPr>
          <w:sz w:val="20"/>
          <w:szCs w:val="20"/>
        </w:rPr>
        <w:t xml:space="preserve">This region and tracks are display if the IGV session is loaded correctly. It </w:t>
      </w:r>
      <w:r w:rsidR="00276D15" w:rsidRPr="00276D15">
        <w:rPr>
          <w:sz w:val="20"/>
          <w:szCs w:val="20"/>
        </w:rPr>
        <w:t xml:space="preserve">shows a </w:t>
      </w:r>
      <w:r w:rsidR="00BE6006">
        <w:rPr>
          <w:sz w:val="20"/>
          <w:szCs w:val="20"/>
        </w:rPr>
        <w:t xml:space="preserve">commonly </w:t>
      </w:r>
      <w:r w:rsidR="004F2CC4">
        <w:rPr>
          <w:sz w:val="20"/>
          <w:szCs w:val="20"/>
        </w:rPr>
        <w:t>deleted</w:t>
      </w:r>
      <w:r w:rsidR="00276D15" w:rsidRPr="00276D15">
        <w:rPr>
          <w:sz w:val="20"/>
          <w:szCs w:val="20"/>
        </w:rPr>
        <w:t xml:space="preserve"> repeat sequence</w:t>
      </w:r>
      <w:r w:rsidR="00BE6006">
        <w:rPr>
          <w:sz w:val="20"/>
          <w:szCs w:val="20"/>
        </w:rPr>
        <w:t>.</w:t>
      </w:r>
    </w:p>
    <w:p w14:paraId="4E3F72FC" w14:textId="77777777" w:rsidR="00893F60" w:rsidRDefault="00893F60">
      <w:pPr>
        <w:rPr>
          <w:sz w:val="20"/>
          <w:szCs w:val="20"/>
        </w:rPr>
      </w:pPr>
    </w:p>
    <w:p w14:paraId="570D995B" w14:textId="6E17E508" w:rsidR="00893F60" w:rsidRPr="00E62954" w:rsidRDefault="0052547C" w:rsidP="00E62954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E62954">
        <w:rPr>
          <w:sz w:val="20"/>
          <w:szCs w:val="20"/>
          <w:lang w:val="en-AU"/>
        </w:rPr>
        <w:t xml:space="preserve">Depth of coverage of </w:t>
      </w:r>
      <w:r w:rsidR="00893F60" w:rsidRPr="00E62954">
        <w:rPr>
          <w:sz w:val="20"/>
          <w:szCs w:val="20"/>
        </w:rPr>
        <w:t>control sample NA12878</w:t>
      </w:r>
    </w:p>
    <w:p w14:paraId="70EC4A6E" w14:textId="5C9915C6" w:rsidR="00E62954" w:rsidRPr="00E62954" w:rsidRDefault="00261A97" w:rsidP="00E62954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E62954">
        <w:rPr>
          <w:sz w:val="20"/>
          <w:szCs w:val="20"/>
          <w:lang w:val="en-AU"/>
        </w:rPr>
        <w:t>Depth of coverage</w:t>
      </w:r>
      <w:r w:rsidR="00BE6006">
        <w:rPr>
          <w:sz w:val="20"/>
          <w:szCs w:val="20"/>
          <w:lang w:val="en-AU"/>
        </w:rPr>
        <w:t xml:space="preserve"> of</w:t>
      </w:r>
      <w:r w:rsidRPr="00E62954">
        <w:rPr>
          <w:sz w:val="20"/>
          <w:szCs w:val="20"/>
          <w:lang w:val="en-AU"/>
        </w:rPr>
        <w:t xml:space="preserve"> </w:t>
      </w:r>
      <w:r w:rsidR="00213444">
        <w:rPr>
          <w:sz w:val="20"/>
          <w:szCs w:val="20"/>
        </w:rPr>
        <w:t>input</w:t>
      </w:r>
      <w:r w:rsidR="00E62954" w:rsidRPr="00E62954">
        <w:rPr>
          <w:sz w:val="20"/>
          <w:szCs w:val="20"/>
        </w:rPr>
        <w:t xml:space="preserve"> sample</w:t>
      </w:r>
    </w:p>
    <w:p w14:paraId="400FBB4F" w14:textId="19442C82" w:rsidR="00E62954" w:rsidRPr="00E62954" w:rsidRDefault="00261A97" w:rsidP="00E62954">
      <w:pPr>
        <w:pStyle w:val="ListParagraph"/>
        <w:numPr>
          <w:ilvl w:val="0"/>
          <w:numId w:val="3"/>
        </w:numPr>
        <w:rPr>
          <w:sz w:val="20"/>
          <w:szCs w:val="20"/>
          <w:lang w:val="en-AU"/>
        </w:rPr>
      </w:pPr>
      <w:r w:rsidRPr="00E62954">
        <w:rPr>
          <w:sz w:val="20"/>
          <w:szCs w:val="20"/>
          <w:lang w:val="en-AU"/>
        </w:rPr>
        <w:t xml:space="preserve">Depth of coverage </w:t>
      </w:r>
      <w:r w:rsidR="0052547C" w:rsidRPr="00E62954">
        <w:rPr>
          <w:sz w:val="20"/>
          <w:szCs w:val="20"/>
        </w:rPr>
        <w:t>of sequence read bases with a Phr</w:t>
      </w:r>
      <w:r w:rsidR="00E62954">
        <w:rPr>
          <w:sz w:val="20"/>
          <w:szCs w:val="20"/>
        </w:rPr>
        <w:t>ed scaled mapping quality &gt;=20</w:t>
      </w:r>
    </w:p>
    <w:p w14:paraId="4E81406B" w14:textId="5C533DC6" w:rsidR="00E62954" w:rsidRPr="00E62954" w:rsidRDefault="00E62954" w:rsidP="00E62954">
      <w:pPr>
        <w:pStyle w:val="ListParagraph"/>
        <w:numPr>
          <w:ilvl w:val="0"/>
          <w:numId w:val="3"/>
        </w:numPr>
        <w:rPr>
          <w:sz w:val="20"/>
          <w:szCs w:val="20"/>
          <w:lang w:val="en-AU"/>
        </w:rPr>
      </w:pPr>
      <w:r>
        <w:rPr>
          <w:sz w:val="20"/>
          <w:szCs w:val="20"/>
        </w:rPr>
        <w:t>A</w:t>
      </w:r>
      <w:r w:rsidR="0052547C" w:rsidRPr="00E62954">
        <w:rPr>
          <w:sz w:val="20"/>
          <w:szCs w:val="20"/>
        </w:rPr>
        <w:t xml:space="preserve">verage mapping quality of aligned reads for current sample </w:t>
      </w:r>
    </w:p>
    <w:p w14:paraId="2A227675" w14:textId="5BAB15E0" w:rsidR="00E62954" w:rsidRPr="00261A97" w:rsidRDefault="00E62954" w:rsidP="00261A97">
      <w:pPr>
        <w:pStyle w:val="ListParagraph"/>
        <w:numPr>
          <w:ilvl w:val="0"/>
          <w:numId w:val="3"/>
        </w:numPr>
        <w:rPr>
          <w:sz w:val="20"/>
          <w:szCs w:val="20"/>
          <w:lang w:val="en-AU"/>
        </w:rPr>
      </w:pPr>
      <w:r>
        <w:rPr>
          <w:sz w:val="20"/>
          <w:szCs w:val="20"/>
        </w:rPr>
        <w:t>C</w:t>
      </w:r>
      <w:r w:rsidR="0052547C" w:rsidRPr="00E62954">
        <w:rPr>
          <w:sz w:val="20"/>
          <w:szCs w:val="20"/>
        </w:rPr>
        <w:t>overage standard deviation in 1kb windows of 500 healthy individuals</w:t>
      </w:r>
      <w:r w:rsidR="00261A97">
        <w:rPr>
          <w:sz w:val="20"/>
          <w:szCs w:val="20"/>
        </w:rPr>
        <w:t xml:space="preserve"> </w:t>
      </w:r>
      <w:r w:rsidR="00261A97" w:rsidRPr="00E62954">
        <w:rPr>
          <w:sz w:val="20"/>
          <w:szCs w:val="20"/>
        </w:rPr>
        <w:t>(MGRB</w:t>
      </w:r>
      <w:r w:rsidR="00261A97">
        <w:rPr>
          <w:sz w:val="20"/>
          <w:szCs w:val="20"/>
        </w:rPr>
        <w:t xml:space="preserve"> cohort)</w:t>
      </w:r>
    </w:p>
    <w:p w14:paraId="7CBA156A" w14:textId="3B37D650" w:rsidR="00E62954" w:rsidRPr="00E62954" w:rsidRDefault="00E62954" w:rsidP="00E62954">
      <w:pPr>
        <w:pStyle w:val="ListParagraph"/>
        <w:numPr>
          <w:ilvl w:val="0"/>
          <w:numId w:val="3"/>
        </w:numPr>
        <w:rPr>
          <w:sz w:val="20"/>
          <w:szCs w:val="20"/>
          <w:lang w:val="en-AU"/>
        </w:rPr>
      </w:pPr>
      <w:r>
        <w:rPr>
          <w:sz w:val="20"/>
          <w:szCs w:val="20"/>
        </w:rPr>
        <w:t>R</w:t>
      </w:r>
      <w:r w:rsidR="0052547C" w:rsidRPr="00E62954">
        <w:rPr>
          <w:sz w:val="20"/>
          <w:szCs w:val="20"/>
        </w:rPr>
        <w:t>egions of segmental duplication as determined by Bailey JA et al. 2002 (</w:t>
      </w:r>
      <w:proofErr w:type="spellStart"/>
      <w:r w:rsidR="0052547C" w:rsidRPr="00E62954">
        <w:rPr>
          <w:sz w:val="20"/>
          <w:szCs w:val="20"/>
        </w:rPr>
        <w:t>Seg</w:t>
      </w:r>
      <w:proofErr w:type="spellEnd"/>
      <w:r w:rsidR="0052547C" w:rsidRPr="00E62954">
        <w:rPr>
          <w:sz w:val="20"/>
          <w:szCs w:val="20"/>
        </w:rPr>
        <w:t xml:space="preserve">-Dup, </w:t>
      </w:r>
      <w:r w:rsidR="00261A97">
        <w:rPr>
          <w:sz w:val="20"/>
          <w:szCs w:val="20"/>
        </w:rPr>
        <w:t>none in this region</w:t>
      </w:r>
      <w:r w:rsidR="0052547C" w:rsidRPr="00E62954">
        <w:rPr>
          <w:sz w:val="20"/>
          <w:szCs w:val="20"/>
        </w:rPr>
        <w:t>)</w:t>
      </w:r>
    </w:p>
    <w:p w14:paraId="3B4E7651" w14:textId="148B47C6" w:rsidR="00E62954" w:rsidRPr="00E62954" w:rsidRDefault="00E62954" w:rsidP="00E62954">
      <w:pPr>
        <w:pStyle w:val="ListParagraph"/>
        <w:numPr>
          <w:ilvl w:val="0"/>
          <w:numId w:val="3"/>
        </w:numPr>
        <w:rPr>
          <w:sz w:val="20"/>
          <w:szCs w:val="20"/>
          <w:lang w:val="en-AU"/>
        </w:rPr>
      </w:pPr>
      <w:r>
        <w:rPr>
          <w:sz w:val="20"/>
          <w:szCs w:val="20"/>
        </w:rPr>
        <w:t>A</w:t>
      </w:r>
      <w:r w:rsidR="0052547C" w:rsidRPr="00E62954">
        <w:rPr>
          <w:sz w:val="20"/>
          <w:szCs w:val="20"/>
        </w:rPr>
        <w:t>nnotated ClinSV calls from Lumpy and CNVnator</w:t>
      </w:r>
    </w:p>
    <w:p w14:paraId="6005A1CC" w14:textId="6B9CF1D5" w:rsidR="00E62954" w:rsidRPr="00213444" w:rsidRDefault="00E62954" w:rsidP="00213444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</w:t>
      </w:r>
      <w:r w:rsidR="0052547C" w:rsidRPr="00E62954">
        <w:rPr>
          <w:sz w:val="20"/>
          <w:szCs w:val="20"/>
        </w:rPr>
        <w:t>iscordant</w:t>
      </w:r>
      <w:r w:rsidR="00261A97">
        <w:rPr>
          <w:sz w:val="20"/>
          <w:szCs w:val="20"/>
        </w:rPr>
        <w:t xml:space="preserve"> pairs </w:t>
      </w:r>
      <w:r w:rsidR="00213444">
        <w:rPr>
          <w:sz w:val="20"/>
          <w:szCs w:val="20"/>
        </w:rPr>
        <w:t>of input sample</w:t>
      </w:r>
      <w:r w:rsidR="0052547C" w:rsidRPr="00E62954">
        <w:rPr>
          <w:sz w:val="20"/>
          <w:szCs w:val="20"/>
        </w:rPr>
        <w:t xml:space="preserve">, followed by </w:t>
      </w:r>
      <w:r w:rsidR="00261A97">
        <w:rPr>
          <w:sz w:val="20"/>
          <w:szCs w:val="20"/>
        </w:rPr>
        <w:t>d</w:t>
      </w:r>
      <w:r w:rsidR="00261A97" w:rsidRPr="00E62954">
        <w:rPr>
          <w:sz w:val="20"/>
          <w:szCs w:val="20"/>
        </w:rPr>
        <w:t>iscordant</w:t>
      </w:r>
      <w:r w:rsidR="00261A97">
        <w:rPr>
          <w:sz w:val="20"/>
          <w:szCs w:val="20"/>
        </w:rPr>
        <w:t xml:space="preserve"> pairs </w:t>
      </w:r>
      <w:r w:rsidR="00213444">
        <w:rPr>
          <w:sz w:val="20"/>
          <w:szCs w:val="20"/>
        </w:rPr>
        <w:t xml:space="preserve">of </w:t>
      </w:r>
      <w:r w:rsidR="00213444" w:rsidRPr="00E62954">
        <w:rPr>
          <w:sz w:val="20"/>
          <w:szCs w:val="20"/>
        </w:rPr>
        <w:t>control sample NA12878</w:t>
      </w:r>
      <w:r w:rsidR="00213444">
        <w:rPr>
          <w:sz w:val="20"/>
          <w:szCs w:val="20"/>
        </w:rPr>
        <w:t xml:space="preserve"> </w:t>
      </w:r>
      <w:r w:rsidR="0052547C" w:rsidRPr="00213444">
        <w:rPr>
          <w:sz w:val="20"/>
          <w:szCs w:val="20"/>
        </w:rPr>
        <w:t>(</w:t>
      </w:r>
      <w:r w:rsidR="00213444">
        <w:rPr>
          <w:sz w:val="20"/>
          <w:szCs w:val="20"/>
        </w:rPr>
        <w:t>s</w:t>
      </w:r>
      <w:r w:rsidR="00213444" w:rsidRPr="00213444">
        <w:rPr>
          <w:sz w:val="20"/>
          <w:szCs w:val="20"/>
        </w:rPr>
        <w:t>croll</w:t>
      </w:r>
      <w:r w:rsidRPr="00213444">
        <w:rPr>
          <w:sz w:val="20"/>
          <w:szCs w:val="20"/>
        </w:rPr>
        <w:t xml:space="preserve"> down</w:t>
      </w:r>
      <w:r w:rsidR="00261A97" w:rsidRPr="00213444">
        <w:rPr>
          <w:sz w:val="20"/>
          <w:szCs w:val="20"/>
        </w:rPr>
        <w:t>)</w:t>
      </w:r>
    </w:p>
    <w:p w14:paraId="16EFBF6D" w14:textId="79DC25B4" w:rsidR="00E62954" w:rsidRPr="00E62954" w:rsidRDefault="00E62954" w:rsidP="00E62954">
      <w:pPr>
        <w:pStyle w:val="ListParagraph"/>
        <w:numPr>
          <w:ilvl w:val="0"/>
          <w:numId w:val="3"/>
        </w:numPr>
        <w:rPr>
          <w:sz w:val="20"/>
          <w:szCs w:val="20"/>
          <w:lang w:val="en-AU"/>
        </w:rPr>
      </w:pPr>
      <w:r>
        <w:rPr>
          <w:sz w:val="20"/>
          <w:szCs w:val="20"/>
        </w:rPr>
        <w:t>S</w:t>
      </w:r>
      <w:r w:rsidR="0052547C" w:rsidRPr="00E62954">
        <w:rPr>
          <w:sz w:val="20"/>
          <w:szCs w:val="20"/>
        </w:rPr>
        <w:t>plit</w:t>
      </w:r>
      <w:r w:rsidR="00261A97">
        <w:rPr>
          <w:sz w:val="20"/>
          <w:szCs w:val="20"/>
        </w:rPr>
        <w:t xml:space="preserve"> reads</w:t>
      </w:r>
      <w:r w:rsidR="00213444">
        <w:rPr>
          <w:sz w:val="20"/>
          <w:szCs w:val="20"/>
        </w:rPr>
        <w:t xml:space="preserve"> of input sample</w:t>
      </w:r>
      <w:r w:rsidR="0052547C" w:rsidRPr="00E62954">
        <w:rPr>
          <w:sz w:val="20"/>
          <w:szCs w:val="20"/>
        </w:rPr>
        <w:t xml:space="preserve">, followed by </w:t>
      </w:r>
      <w:r w:rsidR="00261A97" w:rsidRPr="00E62954">
        <w:rPr>
          <w:sz w:val="20"/>
          <w:szCs w:val="20"/>
        </w:rPr>
        <w:t xml:space="preserve">split reads </w:t>
      </w:r>
      <w:r w:rsidR="00213444">
        <w:rPr>
          <w:sz w:val="20"/>
          <w:szCs w:val="20"/>
        </w:rPr>
        <w:t xml:space="preserve">of </w:t>
      </w:r>
      <w:r w:rsidR="00213444" w:rsidRPr="00E62954">
        <w:rPr>
          <w:sz w:val="20"/>
          <w:szCs w:val="20"/>
        </w:rPr>
        <w:t>control sample NA12878</w:t>
      </w:r>
    </w:p>
    <w:p w14:paraId="18EF3644" w14:textId="51954267" w:rsidR="00E62954" w:rsidRPr="00E62954" w:rsidRDefault="0052547C" w:rsidP="00E62954">
      <w:pPr>
        <w:pStyle w:val="ListParagraph"/>
        <w:numPr>
          <w:ilvl w:val="0"/>
          <w:numId w:val="3"/>
        </w:numPr>
        <w:rPr>
          <w:sz w:val="20"/>
          <w:szCs w:val="20"/>
          <w:lang w:val="en-AU"/>
        </w:rPr>
      </w:pPr>
      <w:r w:rsidRPr="00E62954">
        <w:rPr>
          <w:sz w:val="20"/>
          <w:szCs w:val="20"/>
        </w:rPr>
        <w:t>ClinSV variants from 500 healthy control samples</w:t>
      </w:r>
      <w:r w:rsidR="00261A97">
        <w:rPr>
          <w:sz w:val="20"/>
          <w:szCs w:val="20"/>
        </w:rPr>
        <w:t xml:space="preserve"> </w:t>
      </w:r>
      <w:r w:rsidR="00261A97" w:rsidRPr="00E62954">
        <w:rPr>
          <w:sz w:val="20"/>
          <w:szCs w:val="20"/>
        </w:rPr>
        <w:t>(MGRB</w:t>
      </w:r>
      <w:r w:rsidR="00261A97">
        <w:rPr>
          <w:sz w:val="20"/>
          <w:szCs w:val="20"/>
        </w:rPr>
        <w:t xml:space="preserve"> cohort) called in batches of 15 samples</w:t>
      </w:r>
      <w:r w:rsidRPr="00E62954">
        <w:rPr>
          <w:sz w:val="20"/>
          <w:szCs w:val="20"/>
        </w:rPr>
        <w:t xml:space="preserve"> </w:t>
      </w:r>
    </w:p>
    <w:p w14:paraId="1167E8DF" w14:textId="2DD07D1C" w:rsidR="00E62954" w:rsidRPr="00E62954" w:rsidRDefault="0052547C" w:rsidP="00E62954">
      <w:pPr>
        <w:pStyle w:val="ListParagraph"/>
        <w:numPr>
          <w:ilvl w:val="0"/>
          <w:numId w:val="3"/>
        </w:numPr>
        <w:rPr>
          <w:sz w:val="20"/>
          <w:szCs w:val="20"/>
          <w:lang w:val="en-AU"/>
        </w:rPr>
      </w:pPr>
      <w:r w:rsidRPr="00E62954">
        <w:rPr>
          <w:sz w:val="20"/>
          <w:szCs w:val="20"/>
        </w:rPr>
        <w:t>Structural variants deposited in Database of Genomic Variants (DGV); feature name indicates the population allele frequency, study sample</w:t>
      </w:r>
      <w:r w:rsidR="00276D15">
        <w:rPr>
          <w:sz w:val="20"/>
          <w:szCs w:val="20"/>
        </w:rPr>
        <w:t xml:space="preserve"> size, author and DGV ID.</w:t>
      </w:r>
    </w:p>
    <w:p w14:paraId="436E73E4" w14:textId="242ACFB2" w:rsidR="00E62954" w:rsidRPr="00E62954" w:rsidRDefault="0052547C" w:rsidP="00E62954">
      <w:pPr>
        <w:pStyle w:val="ListParagraph"/>
        <w:numPr>
          <w:ilvl w:val="0"/>
          <w:numId w:val="3"/>
        </w:numPr>
        <w:rPr>
          <w:sz w:val="20"/>
          <w:szCs w:val="20"/>
          <w:lang w:val="en-AU"/>
        </w:rPr>
      </w:pPr>
      <w:proofErr w:type="spellStart"/>
      <w:r w:rsidRPr="00E62954">
        <w:rPr>
          <w:sz w:val="20"/>
          <w:szCs w:val="20"/>
        </w:rPr>
        <w:t>RefSeq</w:t>
      </w:r>
      <w:proofErr w:type="spellEnd"/>
      <w:r w:rsidRPr="00E62954">
        <w:rPr>
          <w:sz w:val="20"/>
          <w:szCs w:val="20"/>
        </w:rPr>
        <w:t xml:space="preserve"> </w:t>
      </w:r>
      <w:r w:rsidR="00E62954">
        <w:rPr>
          <w:sz w:val="20"/>
          <w:szCs w:val="20"/>
        </w:rPr>
        <w:t>genes</w:t>
      </w:r>
      <w:r w:rsidRPr="00E62954">
        <w:rPr>
          <w:sz w:val="20"/>
          <w:szCs w:val="20"/>
        </w:rPr>
        <w:t xml:space="preserve"> </w:t>
      </w:r>
    </w:p>
    <w:p w14:paraId="21C89CB5" w14:textId="57E2326E" w:rsidR="0052547C" w:rsidRPr="00E62954" w:rsidRDefault="00E62954" w:rsidP="00E62954">
      <w:pPr>
        <w:pStyle w:val="ListParagraph"/>
        <w:numPr>
          <w:ilvl w:val="0"/>
          <w:numId w:val="3"/>
        </w:numPr>
        <w:rPr>
          <w:sz w:val="20"/>
          <w:szCs w:val="20"/>
          <w:lang w:val="en-AU"/>
        </w:rPr>
      </w:pPr>
      <w:r>
        <w:rPr>
          <w:sz w:val="20"/>
          <w:szCs w:val="20"/>
        </w:rPr>
        <w:t>ENSEMBL genes (used for anno</w:t>
      </w:r>
      <w:r w:rsidR="00B66718">
        <w:rPr>
          <w:sz w:val="20"/>
          <w:szCs w:val="20"/>
        </w:rPr>
        <w:t>t</w:t>
      </w:r>
      <w:r>
        <w:rPr>
          <w:sz w:val="20"/>
          <w:szCs w:val="20"/>
        </w:rPr>
        <w:t>ation)</w:t>
      </w:r>
    </w:p>
    <w:p w14:paraId="67BBCA09" w14:textId="77777777" w:rsidR="0052547C" w:rsidRDefault="0052547C"/>
    <w:sectPr w:rsidR="0052547C" w:rsidSect="00BA2117">
      <w:pgSz w:w="12240" w:h="15840"/>
      <w:pgMar w:top="851" w:right="1183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B27DF"/>
    <w:multiLevelType w:val="hybridMultilevel"/>
    <w:tmpl w:val="AD8E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105DF3"/>
    <w:multiLevelType w:val="hybridMultilevel"/>
    <w:tmpl w:val="F766A7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044095"/>
    <w:multiLevelType w:val="hybridMultilevel"/>
    <w:tmpl w:val="A7AE6A0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010DC9"/>
    <w:multiLevelType w:val="hybridMultilevel"/>
    <w:tmpl w:val="326CAA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FA26AA"/>
    <w:multiLevelType w:val="hybridMultilevel"/>
    <w:tmpl w:val="151AE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2E9"/>
    <w:rsid w:val="00002F5A"/>
    <w:rsid w:val="00003DF9"/>
    <w:rsid w:val="00010A13"/>
    <w:rsid w:val="000434EF"/>
    <w:rsid w:val="000B0789"/>
    <w:rsid w:val="000D0EE9"/>
    <w:rsid w:val="000F1EFC"/>
    <w:rsid w:val="000F5E80"/>
    <w:rsid w:val="00113217"/>
    <w:rsid w:val="00113BF8"/>
    <w:rsid w:val="00122EC8"/>
    <w:rsid w:val="00130323"/>
    <w:rsid w:val="00183390"/>
    <w:rsid w:val="001C11FA"/>
    <w:rsid w:val="001F4944"/>
    <w:rsid w:val="00213444"/>
    <w:rsid w:val="0021465F"/>
    <w:rsid w:val="002362E9"/>
    <w:rsid w:val="0025639A"/>
    <w:rsid w:val="00257225"/>
    <w:rsid w:val="0026057B"/>
    <w:rsid w:val="00261A97"/>
    <w:rsid w:val="00272802"/>
    <w:rsid w:val="00276D15"/>
    <w:rsid w:val="002B07CC"/>
    <w:rsid w:val="002C19DD"/>
    <w:rsid w:val="002E41F1"/>
    <w:rsid w:val="002F2DD1"/>
    <w:rsid w:val="00310E63"/>
    <w:rsid w:val="003241D7"/>
    <w:rsid w:val="003435F3"/>
    <w:rsid w:val="00372C6A"/>
    <w:rsid w:val="003E6FDC"/>
    <w:rsid w:val="00405127"/>
    <w:rsid w:val="00441C2C"/>
    <w:rsid w:val="00442B09"/>
    <w:rsid w:val="004A5AAA"/>
    <w:rsid w:val="004B7491"/>
    <w:rsid w:val="004C4DAC"/>
    <w:rsid w:val="004C6442"/>
    <w:rsid w:val="004D43DA"/>
    <w:rsid w:val="004D6AA7"/>
    <w:rsid w:val="004F2CC4"/>
    <w:rsid w:val="00507939"/>
    <w:rsid w:val="00517743"/>
    <w:rsid w:val="0052223E"/>
    <w:rsid w:val="0052547C"/>
    <w:rsid w:val="005340FC"/>
    <w:rsid w:val="00536513"/>
    <w:rsid w:val="00536FEB"/>
    <w:rsid w:val="00567C85"/>
    <w:rsid w:val="005E68E4"/>
    <w:rsid w:val="005E7D05"/>
    <w:rsid w:val="00625445"/>
    <w:rsid w:val="00643C63"/>
    <w:rsid w:val="00672BE1"/>
    <w:rsid w:val="006A7268"/>
    <w:rsid w:val="006B2205"/>
    <w:rsid w:val="006B7E84"/>
    <w:rsid w:val="00707437"/>
    <w:rsid w:val="00745D3B"/>
    <w:rsid w:val="00754A27"/>
    <w:rsid w:val="00767F54"/>
    <w:rsid w:val="00777367"/>
    <w:rsid w:val="007D3EB2"/>
    <w:rsid w:val="00827A3A"/>
    <w:rsid w:val="0086268A"/>
    <w:rsid w:val="00893F60"/>
    <w:rsid w:val="00894CF7"/>
    <w:rsid w:val="008A1E75"/>
    <w:rsid w:val="008D779A"/>
    <w:rsid w:val="008D7FB3"/>
    <w:rsid w:val="008E4A0C"/>
    <w:rsid w:val="008F1882"/>
    <w:rsid w:val="009412B4"/>
    <w:rsid w:val="009439BA"/>
    <w:rsid w:val="009A0AF6"/>
    <w:rsid w:val="009F59A1"/>
    <w:rsid w:val="009F5C41"/>
    <w:rsid w:val="009F6956"/>
    <w:rsid w:val="00A03667"/>
    <w:rsid w:val="00A25578"/>
    <w:rsid w:val="00A505AE"/>
    <w:rsid w:val="00A71594"/>
    <w:rsid w:val="00A80DBF"/>
    <w:rsid w:val="00A87257"/>
    <w:rsid w:val="00AA2931"/>
    <w:rsid w:val="00AB5F3B"/>
    <w:rsid w:val="00AB60B6"/>
    <w:rsid w:val="00AC4496"/>
    <w:rsid w:val="00AC66B5"/>
    <w:rsid w:val="00AF2BDF"/>
    <w:rsid w:val="00B266B2"/>
    <w:rsid w:val="00B66718"/>
    <w:rsid w:val="00B8664F"/>
    <w:rsid w:val="00B93D9A"/>
    <w:rsid w:val="00BA2117"/>
    <w:rsid w:val="00BA3BB0"/>
    <w:rsid w:val="00BA7B8A"/>
    <w:rsid w:val="00BC5E57"/>
    <w:rsid w:val="00BD0FFE"/>
    <w:rsid w:val="00BD33E3"/>
    <w:rsid w:val="00BE5E32"/>
    <w:rsid w:val="00BE6006"/>
    <w:rsid w:val="00C109BE"/>
    <w:rsid w:val="00C47F73"/>
    <w:rsid w:val="00C7210F"/>
    <w:rsid w:val="00CE2603"/>
    <w:rsid w:val="00D138CD"/>
    <w:rsid w:val="00D41A95"/>
    <w:rsid w:val="00DC0C89"/>
    <w:rsid w:val="00DD3F1B"/>
    <w:rsid w:val="00DF31ED"/>
    <w:rsid w:val="00DF326C"/>
    <w:rsid w:val="00E07B2C"/>
    <w:rsid w:val="00E4408D"/>
    <w:rsid w:val="00E46C85"/>
    <w:rsid w:val="00E62954"/>
    <w:rsid w:val="00EA0557"/>
    <w:rsid w:val="00EF1E87"/>
    <w:rsid w:val="00F53DB1"/>
    <w:rsid w:val="00FA09A8"/>
    <w:rsid w:val="00FD494B"/>
    <w:rsid w:val="00FD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E267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2E9"/>
    <w:rPr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54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47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07939"/>
    <w:pPr>
      <w:ind w:left="720"/>
      <w:contextualSpacing/>
    </w:pPr>
  </w:style>
  <w:style w:type="table" w:styleId="TableGrid">
    <w:name w:val="Table Grid"/>
    <w:basedOn w:val="TableNormal"/>
    <w:uiPriority w:val="59"/>
    <w:rsid w:val="00B8664F"/>
    <w:rPr>
      <w:rFonts w:asciiTheme="minorHAnsi" w:hAnsi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F1EF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1EFC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1EF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1EF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1EF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C19DD"/>
    <w:rPr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2E9"/>
    <w:rPr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54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47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07939"/>
    <w:pPr>
      <w:ind w:left="720"/>
      <w:contextualSpacing/>
    </w:pPr>
  </w:style>
  <w:style w:type="table" w:styleId="TableGrid">
    <w:name w:val="Table Grid"/>
    <w:basedOn w:val="TableNormal"/>
    <w:uiPriority w:val="59"/>
    <w:rsid w:val="00B8664F"/>
    <w:rPr>
      <w:rFonts w:asciiTheme="minorHAnsi" w:hAnsi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F1EF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1EFC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1EF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1EF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1EF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C19DD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7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50339D-D070-3F46-8CE2-55730BF30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1658</Words>
  <Characters>9453</Characters>
  <Application>Microsoft Macintosh Word</Application>
  <DocSecurity>0</DocSecurity>
  <Lines>78</Lines>
  <Paragraphs>22</Paragraphs>
  <ScaleCrop>false</ScaleCrop>
  <Company/>
  <LinksUpToDate>false</LinksUpToDate>
  <CharactersWithSpaces>11089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10</cp:revision>
  <dcterms:created xsi:type="dcterms:W3CDTF">2018-06-27T06:35:00Z</dcterms:created>
  <dcterms:modified xsi:type="dcterms:W3CDTF">2018-06-28T06:54:00Z</dcterms:modified>
</cp:coreProperties>
</file>