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F8FA6" w:sz="18"/>
        </w:pBdr>
        <w:spacing w:after="80"/>
      </w:pPr>
      <w:r>
        <w:rPr>
          <w:b/>
          <w:bCs/>
          <w:color w:val="1F4E5F"/>
          <w:sz w:val="34"/>
          <w:szCs w:val="34"/>
        </w:rPr>
        <w:t xml:space="preserve">Meeting Minutes — Progress Review: September 4 Deliverables</w:t>
      </w:r>
    </w:p>
    <w:p>
      <w:pPr>
        <w:pBdr>
          <w:left w:val="single" w:color="2F8FA6" w:sz="24"/>
        </w:pBdr>
        <w:shd w:fill="F2F7F9" w:color="auto" w:val="clear"/>
        <w:spacing w:after="200" w:before="120"/>
        <w:ind w:left="200"/>
      </w:pPr>
      <w:r>
        <w:rPr>
          <w:b/>
          <w:bCs/>
        </w:rPr>
        <w:t xml:space="preserve">Date: </w:t>
      </w:r>
      <w:r>
        <w:t xml:space="preserve">September 9, 2026     </w:t>
      </w:r>
      <w:r>
        <w:rPr>
          <w:b/>
          <w:bCs/>
        </w:rPr>
        <w:t xml:space="preserve">Time: </w:t>
      </w:r>
      <w:r>
        <w:t xml:space="preserve">1:00 PM     </w:t>
      </w:r>
      <w:r>
        <w:rPr>
          <w:b/>
          <w:bCs/>
        </w:rPr>
        <w:t xml:space="preserve">Duration: </w:t>
      </w:r>
      <w:r>
        <w:t xml:space="preserve">68 minutes     </w:t>
      </w:r>
      <w:r>
        <w:rPr>
          <w:b/>
          <w:bCs/>
        </w:rPr>
        <w:t xml:space="preserve">Format: </w:t>
      </w:r>
      <w:r>
        <w:t xml:space="preserve">Google Meet (impromptu progress review)</w:t>
      </w:r>
    </w:p>
    <w:p>
      <w:pPr>
        <w:pStyle w:val="Heading3"/>
        <w:spacing w:after="100" w:before="220"/>
      </w:pPr>
      <w:r>
        <w:rPr>
          <w:b/>
          <w:bCs/>
          <w:color w:val="2F6F83"/>
          <w:sz w:val="24"/>
          <w:szCs w:val="24"/>
        </w:rPr>
        <w:t xml:space="preserve">Attendees</w:t>
      </w:r>
    </w:p>
    <w:tbl>
      <w:tblPr>
        <w:tblW w:type="dxa" w:w="9360"/>
        <w:tblBorders>
          <w:top w:val="single" w:color="CDD9DD" w:sz="4"/>
          <w:left w:val="single" w:color="CDD9DD" w:sz="4"/>
          <w:bottom w:val="single" w:color="CDD9DD" w:sz="4"/>
          <w:right w:val="single" w:color="CDD9DD" w:sz="4"/>
          <w:insideH w:val="single" w:color="auto" w:sz="4"/>
          <w:insideV w:val="single" w:color="auto" w:sz="4"/>
        </w:tblBorders>
      </w:tblPr>
      <w:tblGrid>
        <w:gridCol w:w="3000"/>
        <w:gridCol w:w="6360"/>
      </w:tblGrid>
      <w:tr>
        <w:trPr>
          <w:tblHeader/>
        </w:trPr>
        <w:tc>
          <w:tcPr>
            <w:tcW w:type="dxa" w:w="3000"/>
            <w:shd w:fill="1F4E5F" w:color="auto" w:val="clear"/>
            <w:tcMar>
              <w:top w:type="dxa" w:w="80"/>
              <w:left w:type="dxa" w:w="110"/>
              <w:bottom w:type="dxa" w:w="80"/>
              <w:right w:type="dxa" w:w="110"/>
            </w:tcMar>
          </w:tcPr>
          <w:p>
            <w:pPr>
              <w:spacing w:after="0"/>
            </w:pPr>
            <w:r>
              <w:rPr>
                <w:b/>
                <w:bCs/>
                <w:color w:val="FFFFFF"/>
              </w:rPr>
              <w:t xml:space="preserve">Name</w:t>
            </w:r>
          </w:p>
        </w:tc>
        <w:tc>
          <w:tcPr>
            <w:tcW w:type="dxa" w:w="6360"/>
            <w:shd w:fill="1F4E5F" w:color="auto" w:val="clear"/>
            <w:tcMar>
              <w:top w:type="dxa" w:w="80"/>
              <w:left w:type="dxa" w:w="110"/>
              <w:bottom w:type="dxa" w:w="80"/>
              <w:right w:type="dxa" w:w="110"/>
            </w:tcMar>
          </w:tcPr>
          <w:p>
            <w:pPr>
              <w:spacing w:after="0"/>
            </w:pPr>
            <w:r>
              <w:rPr>
                <w:b/>
                <w:bCs/>
                <w:color w:val="FFFFFF"/>
              </w:rPr>
              <w:t xml:space="preserve">Role</w:t>
            </w:r>
          </w:p>
        </w:tc>
      </w:tr>
      <w:tr>
        <w:tc>
          <w:tcPr>
            <w:tcW w:type="dxa" w:w="3000"/>
            <w:tcMar>
              <w:top w:type="dxa" w:w="80"/>
              <w:left w:type="dxa" w:w="110"/>
              <w:bottom w:type="dxa" w:w="80"/>
              <w:right w:type="dxa" w:w="110"/>
            </w:tcMar>
            <w:vAlign w:val="center"/>
          </w:tcPr>
          <w:p>
            <w:pPr>
              <w:spacing w:after="0"/>
            </w:pPr>
            <w:r>
              <w:t xml:space="preserve">Rovick Romasanta</w:t>
            </w:r>
          </w:p>
        </w:tc>
        <w:tc>
          <w:tcPr>
            <w:tcW w:type="dxa" w:w="6360"/>
            <w:tcMar>
              <w:top w:type="dxa" w:w="80"/>
              <w:left w:type="dxa" w:w="110"/>
              <w:bottom w:type="dxa" w:w="80"/>
              <w:right w:type="dxa" w:w="110"/>
            </w:tcMar>
            <w:vAlign w:val="center"/>
          </w:tcPr>
          <w:p>
            <w:pPr>
              <w:spacing w:after="0"/>
            </w:pPr>
            <w:r>
              <w:t xml:space="preserve">Developer (presenter)</w:t>
            </w:r>
          </w:p>
        </w:tc>
      </w:tr>
      <w:tr>
        <w:tc>
          <w:tcPr>
            <w:tcW w:type="dxa" w:w="3000"/>
            <w:shd w:fill="F2F7F9" w:color="auto" w:val="clear"/>
            <w:tcMar>
              <w:top w:type="dxa" w:w="80"/>
              <w:left w:type="dxa" w:w="110"/>
              <w:bottom w:type="dxa" w:w="80"/>
              <w:right w:type="dxa" w:w="110"/>
            </w:tcMar>
            <w:vAlign w:val="center"/>
          </w:tcPr>
          <w:p>
            <w:pPr>
              <w:spacing w:after="0"/>
            </w:pPr>
            <w:r>
              <w:t xml:space="preserve">Client review team</w:t>
            </w:r>
          </w:p>
        </w:tc>
        <w:tc>
          <w:tcPr>
            <w:tcW w:type="dxa" w:w="6360"/>
            <w:shd w:fill="F2F7F9" w:color="auto" w:val="clear"/>
            <w:tcMar>
              <w:top w:type="dxa" w:w="80"/>
              <w:left w:type="dxa" w:w="110"/>
              <w:bottom w:type="dxa" w:w="80"/>
              <w:right w:type="dxa" w:w="110"/>
            </w:tcMar>
            <w:vAlign w:val="center"/>
          </w:tcPr>
          <w:p>
            <w:pPr>
              <w:spacing w:after="0"/>
            </w:pPr>
            <w:r>
              <w:t xml:space="preserve">Product owner and stakeholders</w:t>
            </w:r>
          </w:p>
        </w:tc>
      </w:tr>
    </w:tbl>
    <w:p>
      <w:pPr>
        <w:pStyle w:val="Heading2"/>
        <w:pBdr>
          <w:bottom w:val="single" w:color="CDD9DD" w:sz="6"/>
        </w:pBdr>
        <w:spacing w:after="140" w:before="320"/>
      </w:pPr>
      <w:r>
        <w:rPr>
          <w:b/>
          <w:bCs/>
          <w:color w:val="1F4E5F"/>
          <w:sz w:val="28"/>
          <w:szCs w:val="28"/>
        </w:rPr>
        <w:t xml:space="preserve">1. Executive Summary</w:t>
      </w:r>
    </w:p>
    <w:p>
      <w:pPr>
        <w:pBdr>
          <w:left w:val="single" w:color="2F8FA6" w:sz="24"/>
        </w:pBdr>
        <w:shd w:fill="EEF6F8" w:color="auto" w:val="clear"/>
        <w:spacing w:after="160" w:before="120"/>
        <w:ind w:left="200"/>
      </w:pPr>
      <w:r>
        <w:t xml:space="preserve">All four deliverables committed on September 4 have been completed and are running on the live system. The client reviewed each item through a working demonstration and accepted the delivery. Testing focus now shifts from defect remediation to end-to-end validation of a complete system.</w:t>
      </w:r>
    </w:p>
    <w:p>
      <w:pPr>
        <w:spacing w:after="140"/>
      </w:pPr>
      <w:r>
        <w:t xml:space="preserve">One follow-up item was identified during review: the penalty ledger calculation is correct, but it does not yet present a per-month remaining balance after a partial payment. This is a presentation gap only and is scheduled for the next session.</w:t>
      </w:r>
    </w:p>
    <w:p>
      <w:pPr>
        <w:spacing w:after="140"/>
      </w:pPr>
      <w:r>
        <w:t xml:space="preserve">The engagement now enters its next work stream: </w:t>
      </w:r>
      <w:r>
        <w:rPr>
          <w:b/>
          <w:bCs/>
        </w:rPr>
        <w:t xml:space="preserve">document generation in the LRA module</w:t>
      </w:r>
      <w:r>
        <w:t xml:space="preserve"> and a </w:t>
      </w:r>
      <w:r>
        <w:rPr>
          <w:b/>
          <w:bCs/>
        </w:rPr>
        <w:t xml:space="preserve">data import/export template</w:t>
      </w:r>
      <w:r>
        <w:t xml:space="preserve"> for migrating historical borrower records.</w:t>
      </w:r>
    </w:p>
    <w:p>
      <w:pPr>
        <w:pStyle w:val="Heading2"/>
        <w:pBdr>
          <w:bottom w:val="single" w:color="CDD9DD" w:sz="6"/>
        </w:pBdr>
        <w:spacing w:after="140" w:before="320"/>
      </w:pPr>
      <w:r>
        <w:rPr>
          <w:b/>
          <w:bCs/>
          <w:color w:val="1F4E5F"/>
          <w:sz w:val="28"/>
          <w:szCs w:val="28"/>
        </w:rPr>
        <w:t xml:space="preserve">2. September 4 Deliverables — Status: Complete</w:t>
      </w:r>
    </w:p>
    <w:p>
      <w:pPr>
        <w:pStyle w:val="Heading3"/>
        <w:spacing w:after="100" w:before="220"/>
      </w:pPr>
      <w:r>
        <w:rPr>
          <w:b/>
          <w:bCs/>
          <w:color w:val="2F6F83"/>
          <w:sz w:val="24"/>
          <w:szCs w:val="24"/>
        </w:rPr>
        <w:t xml:space="preserve">2.1 Penalty Breakdown</w:t>
      </w:r>
    </w:p>
    <w:p>
      <w:pPr>
        <w:pStyle w:val="ListParagraph"/>
        <w:numPr>
          <w:ilvl w:val="0"/>
          <w:numId w:val="2"/>
        </w:numPr>
        <w:spacing w:after="60"/>
      </w:pPr>
      <w:r>
        <w:t xml:space="preserve">Overdue penalties are now tracked </w:t>
      </w:r>
      <w:r>
        <w:rPr>
          <w:b/>
          <w:bCs/>
        </w:rPr>
        <w:t xml:space="preserve">per overdue month</w:t>
      </w:r>
      <w:r>
        <w:t xml:space="preserve"> rather than being consolidated or duplicated.</w:t>
      </w:r>
    </w:p>
    <w:p>
      <w:pPr>
        <w:pStyle w:val="ListParagraph"/>
        <w:numPr>
          <w:ilvl w:val="0"/>
          <w:numId w:val="2"/>
        </w:numPr>
        <w:spacing w:after="60"/>
      </w:pPr>
      <w:r>
        <w:t xml:space="preserve">The breakdown supports both daily-rate and monthly schedules.</w:t>
      </w:r>
    </w:p>
    <w:p>
      <w:pPr>
        <w:pStyle w:val="ListParagraph"/>
        <w:numPr>
          <w:ilvl w:val="0"/>
          <w:numId w:val="2"/>
        </w:numPr>
        <w:spacing w:after="60"/>
      </w:pPr>
      <w:r>
        <w:t xml:space="preserve">Penalty is assessed at </w:t>
      </w:r>
      <w:r>
        <w:rPr>
          <w:b/>
          <w:bCs/>
        </w:rPr>
        <w:t xml:space="preserve">5% of the outstanding balance</w:t>
      </w:r>
      <w:r>
        <w:t xml:space="preserve"> per missed period and compounds for each subsequent unpaid period, up to a </w:t>
      </w:r>
      <w:r>
        <w:rPr>
          <w:b/>
          <w:bCs/>
        </w:rPr>
        <w:t xml:space="preserve">three-month</w:t>
      </w:r>
      <w:r>
        <w:t xml:space="preserve"> ceiling.</w:t>
      </w:r>
    </w:p>
    <w:p>
      <w:pPr>
        <w:pStyle w:val="ListParagraph"/>
        <w:numPr>
          <w:ilvl w:val="0"/>
          <w:numId w:val="2"/>
        </w:numPr>
        <w:spacing w:after="60"/>
      </w:pPr>
      <w:r>
        <w:t xml:space="preserve">Penalty is calculated on any outstanding balance, whether that balance represents the amortization due or an unpaid penalty amount.</w:t>
      </w:r>
    </w:p>
    <w:p>
      <w:pPr>
        <w:pStyle w:val="ListParagraph"/>
        <w:numPr>
          <w:ilvl w:val="0"/>
          <w:numId w:val="2"/>
        </w:numPr>
        <w:spacing w:after="60"/>
      </w:pPr>
      <w:r>
        <w:t xml:space="preserve">Collections staff can direct a payment to either the amortization due or the outstanding penalty. When the full amount is entered, allocation is automatic; when a partial amount is entered, the penalty is settled first and the remainder is applied to the amortization.</w:t>
      </w:r>
    </w:p>
    <w:p>
      <w:pPr>
        <w:spacing w:after="140"/>
      </w:pPr>
      <w:r>
        <w:rPr>
          <w:b/>
          <w:bCs/>
        </w:rPr>
        <w:t xml:space="preserve">Outcome:</w:t>
      </w:r>
      <w:r>
        <w:t xml:space="preserve"> Calculation logic accepted as correct. See Section 3 for the outstanding presentation item.</w:t>
      </w:r>
    </w:p>
    <w:p>
      <w:pPr>
        <w:pStyle w:val="Heading3"/>
        <w:spacing w:after="100" w:before="220"/>
      </w:pPr>
      <w:r>
        <w:rPr>
          <w:b/>
          <w:bCs/>
          <w:color w:val="2F6F83"/>
          <w:sz w:val="24"/>
          <w:szCs w:val="24"/>
        </w:rPr>
        <w:t xml:space="preserve">2.2 Offset With Discount</w:t>
      </w:r>
    </w:p>
    <w:p>
      <w:pPr>
        <w:pStyle w:val="ListParagraph"/>
        <w:numPr>
          <w:ilvl w:val="0"/>
          <w:numId w:val="2"/>
        </w:numPr>
        <w:spacing w:after="60"/>
      </w:pPr>
      <w:r>
        <w:t xml:space="preserve">A discounted offset now settles the target loan </w:t>
      </w:r>
      <w:r>
        <w:rPr>
          <w:b/>
          <w:bCs/>
        </w:rPr>
        <w:t xml:space="preserve">in full</w:t>
      </w:r>
      <w:r>
        <w:t xml:space="preserve">. Previously, an offset could leave a residual balance.</w:t>
      </w:r>
    </w:p>
    <w:p>
      <w:pPr>
        <w:pStyle w:val="ListParagraph"/>
        <w:numPr>
          <w:ilvl w:val="0"/>
          <w:numId w:val="2"/>
        </w:numPr>
        <w:spacing w:after="60"/>
      </w:pPr>
      <w:r>
        <w:t xml:space="preserve">The discount is applied and the offset amount is recalculated correctly through the full workflow (application to LRA to Committee to Accounts Receivable to internal transfer).</w:t>
      </w:r>
    </w:p>
    <w:p>
      <w:pPr>
        <w:spacing w:after="140"/>
      </w:pPr>
      <w:r>
        <w:rPr>
          <w:b/>
          <w:bCs/>
        </w:rPr>
        <w:t xml:space="preserve">Outcome:</w:t>
      </w:r>
      <w:r>
        <w:t xml:space="preserve"> Accepted as demonstrated. Demonstration case: a discounted offset reduced the amount due from approximately PHP 492,000 to PHP 475,000 and closed the target loan as fully paid.</w:t>
      </w:r>
    </w:p>
    <w:p>
      <w:pPr>
        <w:pStyle w:val="Heading3"/>
        <w:spacing w:after="100" w:before="220"/>
      </w:pPr>
      <w:r>
        <w:rPr>
          <w:b/>
          <w:bCs/>
          <w:color w:val="2F6F83"/>
          <w:sz w:val="24"/>
          <w:szCs w:val="24"/>
        </w:rPr>
        <w:t xml:space="preserve">2.3 Duplicate Daily Collection Report (DCRR) Guard</w:t>
      </w:r>
    </w:p>
    <w:p>
      <w:pPr>
        <w:pStyle w:val="ListParagraph"/>
        <w:numPr>
          <w:ilvl w:val="0"/>
          <w:numId w:val="2"/>
        </w:numPr>
        <w:spacing w:after="60"/>
      </w:pPr>
      <w:r>
        <w:t xml:space="preserve">The account queue now displays a </w:t>
      </w:r>
      <w:r>
        <w:rPr>
          <w:b/>
          <w:bCs/>
        </w:rPr>
        <w:t xml:space="preserve">pending-record indicator</w:t>
      </w:r>
      <w:r>
        <w:t xml:space="preserve"> for any month with an unposted DCRR.</w:t>
      </w:r>
    </w:p>
    <w:p>
      <w:pPr>
        <w:pStyle w:val="ListParagraph"/>
        <w:numPr>
          <w:ilvl w:val="0"/>
          <w:numId w:val="2"/>
        </w:numPr>
        <w:spacing w:after="60"/>
      </w:pPr>
      <w:r>
        <w:t xml:space="preserve">Submitting a </w:t>
      </w:r>
      <w:r>
        <w:rPr>
          <w:b/>
          <w:bCs/>
        </w:rPr>
        <w:t xml:space="preserve">duplicate DCRR for the same period is blocked</w:t>
      </w:r>
      <w:r>
        <w:t xml:space="preserve">, with an on-screen advisory identifying the existing record and its reference number.</w:t>
      </w:r>
    </w:p>
    <w:p>
      <w:pPr>
        <w:pStyle w:val="ListParagraph"/>
        <w:numPr>
          <w:ilvl w:val="0"/>
          <w:numId w:val="2"/>
        </w:numPr>
        <w:spacing w:after="60"/>
      </w:pPr>
      <w:r>
        <w:t xml:space="preserve">On the Accounts Receivable side, an overlapping or fully-covering second record cannot be selected unless the first is rejected.</w:t>
      </w:r>
    </w:p>
    <w:p>
      <w:pPr>
        <w:pStyle w:val="ListParagraph"/>
        <w:numPr>
          <w:ilvl w:val="0"/>
          <w:numId w:val="2"/>
        </w:numPr>
        <w:spacing w:after="60"/>
      </w:pPr>
      <w:r>
        <w:rPr>
          <w:b/>
          <w:bCs/>
        </w:rPr>
        <w:t xml:space="preserve">Legitimate partial payments remain permitted</w:t>
      </w:r>
      <w:r>
        <w:t xml:space="preserve"> within the same period, provided the combined total does not exceed the amount due.</w:t>
      </w:r>
    </w:p>
    <w:p>
      <w:pPr>
        <w:spacing w:after="140"/>
      </w:pPr>
      <w:r>
        <w:rPr>
          <w:b/>
          <w:bCs/>
        </w:rPr>
        <w:t xml:space="preserve">Outcome:</w:t>
      </w:r>
      <w:r>
        <w:t xml:space="preserve"> Accepted as demonstrated.</w:t>
      </w:r>
    </w:p>
    <w:p>
      <w:pPr>
        <w:pStyle w:val="Heading3"/>
        <w:spacing w:after="100" w:before="220"/>
      </w:pPr>
      <w:r>
        <w:rPr>
          <w:b/>
          <w:bCs/>
          <w:color w:val="2F6F83"/>
          <w:sz w:val="24"/>
          <w:szCs w:val="24"/>
        </w:rPr>
        <w:t xml:space="preserve">2.4 Daily Interest Divisor</w:t>
      </w:r>
    </w:p>
    <w:p>
      <w:pPr>
        <w:pStyle w:val="ListParagraph"/>
        <w:numPr>
          <w:ilvl w:val="0"/>
          <w:numId w:val="2"/>
        </w:numPr>
        <w:spacing w:after="60"/>
      </w:pPr>
      <w:r>
        <w:t xml:space="preserve">The interest divisor previously used a fixed 30-day assumption. It now uses the </w:t>
      </w:r>
      <w:r>
        <w:rPr>
          <w:b/>
          <w:bCs/>
        </w:rPr>
        <w:t xml:space="preserve">actual number of days in the applicable month</w:t>
      </w:r>
      <w:r>
        <w:t xml:space="preserve">.</w:t>
      </w:r>
    </w:p>
    <w:p>
      <w:pPr>
        <w:pStyle w:val="ListParagraph"/>
        <w:numPr>
          <w:ilvl w:val="0"/>
          <w:numId w:val="2"/>
        </w:numPr>
        <w:spacing w:after="60"/>
      </w:pPr>
      <w:r>
        <w:t xml:space="preserve">The change is in the calculation layer and is not surfaced in the user interface.</w:t>
      </w:r>
    </w:p>
    <w:p>
      <w:pPr>
        <w:spacing w:after="140"/>
      </w:pPr>
      <w:r>
        <w:rPr>
          <w:b/>
          <w:bCs/>
        </w:rPr>
        <w:t xml:space="preserve">Outcome:</w:t>
      </w:r>
      <w:r>
        <w:t xml:space="preserve"> Accepted on confirmation.</w:t>
      </w:r>
    </w:p>
    <w:p>
      <w:pPr>
        <w:pStyle w:val="Heading2"/>
        <w:pBdr>
          <w:bottom w:val="single" w:color="CDD9DD" w:sz="6"/>
        </w:pBdr>
        <w:spacing w:after="140" w:before="320"/>
      </w:pPr>
      <w:r>
        <w:rPr>
          <w:b/>
          <w:bCs/>
          <w:color w:val="1F4E5F"/>
          <w:sz w:val="28"/>
          <w:szCs w:val="28"/>
        </w:rPr>
        <w:t xml:space="preserve">3. Follow-Up Item — Penalty Ledger: Per-Month Remaining Balance</w:t>
      </w:r>
    </w:p>
    <w:p>
      <w:pPr>
        <w:spacing w:after="140"/>
      </w:pPr>
      <w:r>
        <w:t xml:space="preserve">The penalty calculation is correct. The gap is in presentation: after a partial payment, collections staff cannot readily see the remaining balance for a specific month, because the current view shows only a single running total.</w:t>
      </w:r>
    </w:p>
    <w:p>
      <w:pPr>
        <w:spacing w:after="140"/>
      </w:pPr>
      <w:r>
        <w:rPr>
          <w:b/>
          <w:bCs/>
        </w:rPr>
        <w:t xml:space="preserve">Client requirement:</w:t>
      </w:r>
    </w:p>
    <w:p>
      <w:pPr>
        <w:pStyle w:val="ListParagraph"/>
        <w:numPr>
          <w:ilvl w:val="0"/>
          <w:numId w:val="2"/>
        </w:numPr>
        <w:spacing w:after="60"/>
      </w:pPr>
      <w:r>
        <w:t xml:space="preserve">Adopt an accounting-ledger presentation in which a </w:t>
      </w:r>
      <w:r>
        <w:rPr>
          <w:b/>
          <w:bCs/>
        </w:rPr>
        <w:t xml:space="preserve">new line is added beneath a period when a partial payment is recorded</w:t>
      </w:r>
      <w:r>
        <w:t xml:space="preserve">, showing the updated balance for that period.</w:t>
      </w:r>
    </w:p>
    <w:p>
      <w:pPr>
        <w:pStyle w:val="ListParagraph"/>
        <w:numPr>
          <w:ilvl w:val="0"/>
          <w:numId w:val="2"/>
        </w:numPr>
        <w:spacing w:after="60"/>
      </w:pPr>
      <w:r>
        <w:t xml:space="preserve">The view must allow staff to state a borrower's current balance for a given month on request, including any remaining penalty.</w:t>
      </w:r>
    </w:p>
    <w:p>
      <w:pPr>
        <w:pStyle w:val="ListParagraph"/>
        <w:numPr>
          <w:ilvl w:val="0"/>
          <w:numId w:val="2"/>
        </w:numPr>
        <w:spacing w:after="60"/>
      </w:pPr>
      <w:r>
        <w:t xml:space="preserve">Where a period is partly settled, the view should show only the remaining amortization due plus the remaining penalty; a fully-settled penalty should show as zero.</w:t>
      </w:r>
    </w:p>
    <w:p>
      <w:pPr>
        <w:spacing w:after="140"/>
      </w:pPr>
      <w:r>
        <w:rPr>
          <w:b/>
          <w:bCs/>
        </w:rPr>
        <w:t xml:space="preserve">Planned resolution:</w:t>
      </w:r>
      <w:r>
        <w:t xml:space="preserve"> Add a per-month remaining-balance column (or ledger-style running lines) that updates as payments are recorded. This is a user-interface change only; the underlying calculation is unchanged. Estimated as low effort.</w:t>
      </w:r>
    </w:p>
    <w:p>
      <w:pPr>
        <w:spacing w:after="140"/>
      </w:pPr>
      <w:r>
        <w:rPr>
          <w:b/>
          <w:bCs/>
        </w:rPr>
        <w:t xml:space="preserve">Related points discussed:</w:t>
      </w:r>
    </w:p>
    <w:p>
      <w:pPr>
        <w:pStyle w:val="ListParagraph"/>
        <w:numPr>
          <w:ilvl w:val="0"/>
          <w:numId w:val="2"/>
        </w:numPr>
        <w:spacing w:after="60"/>
      </w:pPr>
      <w:r>
        <w:t xml:space="preserve">Penalty recharges at 5% of the outstanding balance for each additional unpaid period, compounding up to three months.</w:t>
      </w:r>
    </w:p>
    <w:p>
      <w:pPr>
        <w:pStyle w:val="ListParagraph"/>
        <w:numPr>
          <w:ilvl w:val="0"/>
          <w:numId w:val="2"/>
        </w:numPr>
        <w:spacing w:after="60"/>
      </w:pPr>
      <w:r>
        <w:t xml:space="preserve">Automatic assignment to remedial handling occurs once a balance remains outstanding beyond approximately three cycles (in the range of 90 to 125 days). The exact threshold is to be confirmed.</w:t>
      </w:r>
    </w:p>
    <w:p>
      <w:pPr>
        <w:pStyle w:val="Heading2"/>
        <w:pBdr>
          <w:bottom w:val="single" w:color="CDD9DD" w:sz="6"/>
        </w:pBdr>
        <w:spacing w:after="140" w:before="320"/>
      </w:pPr>
      <w:r>
        <w:rPr>
          <w:b/>
          <w:bCs/>
          <w:color w:val="1F4E5F"/>
          <w:sz w:val="28"/>
          <w:szCs w:val="28"/>
        </w:rPr>
        <w:t xml:space="preserve">4. Next Work Stream</w:t>
      </w:r>
    </w:p>
    <w:p>
      <w:pPr>
        <w:pStyle w:val="Heading3"/>
        <w:spacing w:after="100" w:before="220"/>
      </w:pPr>
      <w:r>
        <w:rPr>
          <w:b/>
          <w:bCs/>
          <w:color w:val="2F6F83"/>
          <w:sz w:val="24"/>
          <w:szCs w:val="24"/>
        </w:rPr>
        <w:t xml:space="preserve">4.1 Document Generation — LRA Module</w:t>
      </w:r>
    </w:p>
    <w:p>
      <w:pPr>
        <w:spacing w:after="140"/>
      </w:pPr>
      <w:r>
        <w:t xml:space="preserve">Generation of the documents produced during LRA processing is the primary deliverable for the next session.</w:t>
      </w:r>
    </w:p>
    <w:p>
      <w:pPr>
        <w:pStyle w:val="Heading3"/>
        <w:spacing w:after="100" w:before="220"/>
      </w:pPr>
      <w:r>
        <w:rPr>
          <w:b/>
          <w:bCs/>
          <w:color w:val="2F6F83"/>
          <w:sz w:val="24"/>
          <w:szCs w:val="24"/>
        </w:rPr>
        <w:t xml:space="preserve">4.2 Data Import / Export Template</w:t>
      </w:r>
    </w:p>
    <w:p>
      <w:pPr>
        <w:pStyle w:val="ListParagraph"/>
        <w:numPr>
          <w:ilvl w:val="0"/>
          <w:numId w:val="2"/>
        </w:numPr>
        <w:spacing w:after="60"/>
      </w:pPr>
      <w:r>
        <w:t xml:space="preserve">The system requires a defined column template for importing and exporting borrower masterfile data, to support migration of historical records without manual entry.</w:t>
      </w:r>
    </w:p>
    <w:p>
      <w:pPr>
        <w:pStyle w:val="ListParagraph"/>
        <w:numPr>
          <w:ilvl w:val="0"/>
          <w:numId w:val="2"/>
        </w:numPr>
        <w:spacing w:after="60"/>
      </w:pPr>
      <w:r>
        <w:t xml:space="preserve">The open question is whether the client's existing masterfile format or the system's data structure should govern the template.</w:t>
      </w:r>
    </w:p>
    <w:p>
      <w:pPr>
        <w:pStyle w:val="ListParagraph"/>
        <w:numPr>
          <w:ilvl w:val="0"/>
          <w:numId w:val="2"/>
        </w:numPr>
        <w:spacing w:after="60"/>
      </w:pPr>
      <w:r>
        <w:t xml:space="preserve">The client will provide sample files for assessment.</w:t>
      </w:r>
    </w:p>
    <w:p>
      <w:pPr>
        <w:pBdr>
          <w:left w:val="single" w:color="D9A441" w:sz="24"/>
        </w:pBdr>
        <w:shd w:fill="FFF8E8" w:color="auto" w:val="clear"/>
        <w:spacing w:after="160" w:before="120"/>
        <w:ind w:left="200"/>
      </w:pPr>
      <w:r>
        <w:rPr>
          <w:b/>
          <w:bCs/>
        </w:rPr>
        <w:t xml:space="preserve">Decision:</w:t>
      </w:r>
      <w:r>
        <w:t xml:space="preserve"> Rovick will first attempt to align with the client's masterfile format. If it is not workable, the system's template will be adopted and the client will conform to it. The client agreed to this approach.</w:t>
      </w:r>
    </w:p>
    <w:p>
      <w:pPr>
        <w:pStyle w:val="Heading2"/>
        <w:pBdr>
          <w:bottom w:val="single" w:color="CDD9DD" w:sz="6"/>
        </w:pBdr>
        <w:spacing w:after="140" w:before="320"/>
      </w:pPr>
      <w:r>
        <w:rPr>
          <w:b/>
          <w:bCs/>
          <w:color w:val="1F4E5F"/>
          <w:sz w:val="28"/>
          <w:szCs w:val="28"/>
        </w:rPr>
        <w:t xml:space="preserve">5. Deployment</w:t>
      </w:r>
    </w:p>
    <w:p>
      <w:pPr>
        <w:spacing w:after="140"/>
      </w:pPr>
      <w:r>
        <w:t xml:space="preserve">Following delivery of the next-session items, the plan is to proceed to end-to-end testing with a full set of user roles to simulate the complete workflow. Deployment timing is to be confirmed.</w:t>
      </w:r>
    </w:p>
    <w:p>
      <w:pPr>
        <w:pStyle w:val="Heading2"/>
        <w:pBdr>
          <w:bottom w:val="single" w:color="CDD9DD" w:sz="6"/>
        </w:pBdr>
        <w:spacing w:after="140" w:before="320"/>
      </w:pPr>
      <w:r>
        <w:rPr>
          <w:b/>
          <w:bCs/>
          <w:color w:val="1F4E5F"/>
          <w:sz w:val="28"/>
          <w:szCs w:val="28"/>
        </w:rPr>
        <w:t xml:space="preserve">6. Deliverables and Commitments</w:t>
      </w:r>
    </w:p>
    <w:p>
      <w:pPr>
        <w:pStyle w:val="Heading3"/>
        <w:spacing w:after="100" w:before="220"/>
      </w:pPr>
      <w:r>
        <w:rPr>
          <w:b/>
          <w:bCs/>
          <w:color w:val="2F6F83"/>
          <w:sz w:val="24"/>
          <w:szCs w:val="24"/>
        </w:rPr>
        <w:t xml:space="preserve">6.1 Completed and Accepted This Session</w:t>
      </w:r>
    </w:p>
    <w:tbl>
      <w:tblPr>
        <w:tblW w:type="dxa" w:w="9360"/>
        <w:tblBorders>
          <w:top w:val="single" w:color="CDD9DD" w:sz="4"/>
          <w:left w:val="single" w:color="CDD9DD" w:sz="4"/>
          <w:bottom w:val="single" w:color="CDD9DD" w:sz="4"/>
          <w:right w:val="single" w:color="CDD9DD" w:sz="4"/>
          <w:insideH w:val="single" w:color="auto" w:sz="4"/>
          <w:insideV w:val="single" w:color="auto" w:sz="4"/>
        </w:tblBorders>
      </w:tblPr>
      <w:tblGrid>
        <w:gridCol w:w="560"/>
        <w:gridCol w:w="5100"/>
        <w:gridCol w:w="2100"/>
        <w:gridCol w:w="1600"/>
      </w:tblGrid>
      <w:tr>
        <w:trPr>
          <w:tblHeader/>
        </w:trPr>
        <w:tc>
          <w:tcPr>
            <w:tcW w:type="dxa" w:w="560"/>
            <w:shd w:fill="1F4E5F" w:color="auto" w:val="clear"/>
            <w:tcMar>
              <w:top w:type="dxa" w:w="80"/>
              <w:left w:type="dxa" w:w="110"/>
              <w:bottom w:type="dxa" w:w="80"/>
              <w:right w:type="dxa" w:w="110"/>
            </w:tcMar>
          </w:tcPr>
          <w:p>
            <w:pPr>
              <w:spacing w:after="0"/>
            </w:pPr>
            <w:r>
              <w:rPr>
                <w:b/>
                <w:bCs/>
                <w:color w:val="FFFFFF"/>
              </w:rPr>
              <w:t xml:space="preserve">#</w:t>
            </w:r>
          </w:p>
        </w:tc>
        <w:tc>
          <w:tcPr>
            <w:tcW w:type="dxa" w:w="5100"/>
            <w:shd w:fill="1F4E5F" w:color="auto" w:val="clear"/>
            <w:tcMar>
              <w:top w:type="dxa" w:w="80"/>
              <w:left w:type="dxa" w:w="110"/>
              <w:bottom w:type="dxa" w:w="80"/>
              <w:right w:type="dxa" w:w="110"/>
            </w:tcMar>
          </w:tcPr>
          <w:p>
            <w:pPr>
              <w:spacing w:after="0"/>
            </w:pPr>
            <w:r>
              <w:rPr>
                <w:b/>
                <w:bCs/>
                <w:color w:val="FFFFFF"/>
              </w:rPr>
              <w:t xml:space="preserve">Deliverable</w:t>
            </w:r>
          </w:p>
        </w:tc>
        <w:tc>
          <w:tcPr>
            <w:tcW w:type="dxa" w:w="2100"/>
            <w:shd w:fill="1F4E5F" w:color="auto" w:val="clear"/>
            <w:tcMar>
              <w:top w:type="dxa" w:w="80"/>
              <w:left w:type="dxa" w:w="110"/>
              <w:bottom w:type="dxa" w:w="80"/>
              <w:right w:type="dxa" w:w="110"/>
            </w:tcMar>
          </w:tcPr>
          <w:p>
            <w:pPr>
              <w:spacing w:after="0"/>
            </w:pPr>
            <w:r>
              <w:rPr>
                <w:b/>
                <w:bCs/>
                <w:color w:val="FFFFFF"/>
              </w:rPr>
              <w:t xml:space="preserve">Module</w:t>
            </w:r>
          </w:p>
        </w:tc>
        <w:tc>
          <w:tcPr>
            <w:tcW w:type="dxa" w:w="1600"/>
            <w:shd w:fill="1F4E5F" w:color="auto" w:val="clear"/>
            <w:tcMar>
              <w:top w:type="dxa" w:w="80"/>
              <w:left w:type="dxa" w:w="110"/>
              <w:bottom w:type="dxa" w:w="80"/>
              <w:right w:type="dxa" w:w="110"/>
            </w:tcMar>
          </w:tcPr>
          <w:p>
            <w:pPr>
              <w:spacing w:after="0"/>
            </w:pPr>
            <w:r>
              <w:rPr>
                <w:b/>
                <w:bCs/>
                <w:color w:val="FFFFFF"/>
              </w:rPr>
              <w:t xml:space="preserve">Status</w:t>
            </w:r>
          </w:p>
        </w:tc>
      </w:tr>
      <w:tr>
        <w:tc>
          <w:tcPr>
            <w:tcW w:type="dxa" w:w="560"/>
            <w:tcMar>
              <w:top w:type="dxa" w:w="80"/>
              <w:left w:type="dxa" w:w="110"/>
              <w:bottom w:type="dxa" w:w="80"/>
              <w:right w:type="dxa" w:w="110"/>
            </w:tcMar>
            <w:vAlign w:val="center"/>
          </w:tcPr>
          <w:p>
            <w:pPr>
              <w:spacing w:after="0"/>
            </w:pPr>
            <w:r>
              <w:t xml:space="preserve">1</w:t>
            </w:r>
          </w:p>
        </w:tc>
        <w:tc>
          <w:tcPr>
            <w:tcW w:type="dxa" w:w="5100"/>
            <w:tcMar>
              <w:top w:type="dxa" w:w="80"/>
              <w:left w:type="dxa" w:w="110"/>
              <w:bottom w:type="dxa" w:w="80"/>
              <w:right w:type="dxa" w:w="110"/>
            </w:tcMar>
            <w:vAlign w:val="center"/>
          </w:tcPr>
          <w:p>
            <w:pPr>
              <w:spacing w:after="0"/>
            </w:pPr>
            <w:r>
              <w:t xml:space="preserve">Penalty breakdown — per-month tracking, daily and monthly rates, 5% of outstanding balance, compounding to three months, staff-directed allocation</w:t>
            </w:r>
          </w:p>
        </w:tc>
        <w:tc>
          <w:tcPr>
            <w:tcW w:type="dxa" w:w="2100"/>
            <w:tcMar>
              <w:top w:type="dxa" w:w="80"/>
              <w:left w:type="dxa" w:w="110"/>
              <w:bottom w:type="dxa" w:w="80"/>
              <w:right w:type="dxa" w:w="110"/>
            </w:tcMar>
            <w:vAlign w:val="center"/>
          </w:tcPr>
          <w:p>
            <w:pPr>
              <w:spacing w:after="0"/>
            </w:pPr>
            <w:r>
              <w:t xml:space="preserve">Penalty / Collections</w:t>
            </w:r>
          </w:p>
        </w:tc>
        <w:tc>
          <w:tcPr>
            <w:tcW w:type="dxa" w:w="1600"/>
            <w:shd w:fill="E4F4E4" w:color="auto" w:val="clear"/>
            <w:tcMar>
              <w:top w:type="dxa" w:w="80"/>
              <w:left w:type="dxa" w:w="110"/>
              <w:bottom w:type="dxa" w:w="80"/>
              <w:right w:type="dxa" w:w="110"/>
            </w:tcMar>
            <w:vAlign w:val="center"/>
          </w:tcPr>
          <w:p>
            <w:pPr>
              <w:spacing w:after="60"/>
            </w:pPr>
            <w:r>
              <w:rPr>
                <w:b/>
                <w:bCs/>
                <w:color w:val="1E7A1E"/>
              </w:rPr>
              <w:t xml:space="preserve">Complete</w:t>
            </w:r>
          </w:p>
          <w:p>
            <w:pPr>
              <w:spacing w:after="0"/>
            </w:pPr>
            <w:r>
              <w:rPr>
                <w:sz w:val="18"/>
                <w:szCs w:val="18"/>
              </w:rPr>
              <w:t xml:space="preserve">logic accepted</w:t>
            </w:r>
          </w:p>
        </w:tc>
      </w:tr>
      <w:tr>
        <w:tc>
          <w:tcPr>
            <w:tcW w:type="dxa" w:w="560"/>
            <w:shd w:fill="F2F7F9" w:color="auto" w:val="clear"/>
            <w:tcMar>
              <w:top w:type="dxa" w:w="80"/>
              <w:left w:type="dxa" w:w="110"/>
              <w:bottom w:type="dxa" w:w="80"/>
              <w:right w:type="dxa" w:w="110"/>
            </w:tcMar>
            <w:vAlign w:val="center"/>
          </w:tcPr>
          <w:p>
            <w:pPr>
              <w:spacing w:after="0"/>
            </w:pPr>
            <w:r>
              <w:t xml:space="preserve">2</w:t>
            </w:r>
          </w:p>
        </w:tc>
        <w:tc>
          <w:tcPr>
            <w:tcW w:type="dxa" w:w="5100"/>
            <w:shd w:fill="F2F7F9" w:color="auto" w:val="clear"/>
            <w:tcMar>
              <w:top w:type="dxa" w:w="80"/>
              <w:left w:type="dxa" w:w="110"/>
              <w:bottom w:type="dxa" w:w="80"/>
              <w:right w:type="dxa" w:w="110"/>
            </w:tcMar>
            <w:vAlign w:val="center"/>
          </w:tcPr>
          <w:p>
            <w:pPr>
              <w:spacing w:after="0"/>
            </w:pPr>
            <w:r>
              <w:t xml:space="preserve">Offset with discount — settles the target loan in full</w:t>
            </w:r>
          </w:p>
        </w:tc>
        <w:tc>
          <w:tcPr>
            <w:tcW w:type="dxa" w:w="2100"/>
            <w:shd w:fill="F2F7F9" w:color="auto" w:val="clear"/>
            <w:tcMar>
              <w:top w:type="dxa" w:w="80"/>
              <w:left w:type="dxa" w:w="110"/>
              <w:bottom w:type="dxa" w:w="80"/>
              <w:right w:type="dxa" w:w="110"/>
            </w:tcMar>
            <w:vAlign w:val="center"/>
          </w:tcPr>
          <w:p>
            <w:pPr>
              <w:spacing w:after="0"/>
            </w:pPr>
            <w:r>
              <w:t xml:space="preserve">Application / LRA / Committee / AR</w:t>
            </w:r>
          </w:p>
        </w:tc>
        <w:tc>
          <w:tcPr>
            <w:tcW w:type="dxa" w:w="1600"/>
            <w:shd w:fill="E4F4E4" w:color="auto" w:val="clear"/>
            <w:tcMar>
              <w:top w:type="dxa" w:w="80"/>
              <w:left w:type="dxa" w:w="110"/>
              <w:bottom w:type="dxa" w:w="80"/>
              <w:right w:type="dxa" w:w="110"/>
            </w:tcMar>
            <w:vAlign w:val="center"/>
          </w:tcPr>
          <w:p>
            <w:pPr>
              <w:spacing w:after="0"/>
            </w:pPr>
            <w:r>
              <w:rPr>
                <w:b/>
                <w:bCs/>
                <w:color w:val="1E7A1E"/>
              </w:rPr>
              <w:t xml:space="preserve">Complete</w:t>
            </w:r>
          </w:p>
        </w:tc>
      </w:tr>
      <w:tr>
        <w:tc>
          <w:tcPr>
            <w:tcW w:type="dxa" w:w="560"/>
            <w:tcMar>
              <w:top w:type="dxa" w:w="80"/>
              <w:left w:type="dxa" w:w="110"/>
              <w:bottom w:type="dxa" w:w="80"/>
              <w:right w:type="dxa" w:w="110"/>
            </w:tcMar>
            <w:vAlign w:val="center"/>
          </w:tcPr>
          <w:p>
            <w:pPr>
              <w:spacing w:after="0"/>
            </w:pPr>
            <w:r>
              <w:t xml:space="preserve">3</w:t>
            </w:r>
          </w:p>
        </w:tc>
        <w:tc>
          <w:tcPr>
            <w:tcW w:type="dxa" w:w="5100"/>
            <w:tcMar>
              <w:top w:type="dxa" w:w="80"/>
              <w:left w:type="dxa" w:w="110"/>
              <w:bottom w:type="dxa" w:w="80"/>
              <w:right w:type="dxa" w:w="110"/>
            </w:tcMar>
            <w:vAlign w:val="center"/>
          </w:tcPr>
          <w:p>
            <w:pPr>
              <w:spacing w:after="0"/>
            </w:pPr>
            <w:r>
              <w:t xml:space="preserve">Duplicate DCRR guard — pending indicator and duplicate block; partial payments preserved</w:t>
            </w:r>
          </w:p>
        </w:tc>
        <w:tc>
          <w:tcPr>
            <w:tcW w:type="dxa" w:w="2100"/>
            <w:tcMar>
              <w:top w:type="dxa" w:w="80"/>
              <w:left w:type="dxa" w:w="110"/>
              <w:bottom w:type="dxa" w:w="80"/>
              <w:right w:type="dxa" w:w="110"/>
            </w:tcMar>
            <w:vAlign w:val="center"/>
          </w:tcPr>
          <w:p>
            <w:pPr>
              <w:spacing w:after="0"/>
            </w:pPr>
            <w:r>
              <w:t xml:space="preserve">Collections / AR</w:t>
            </w:r>
          </w:p>
        </w:tc>
        <w:tc>
          <w:tcPr>
            <w:tcW w:type="dxa" w:w="1600"/>
            <w:shd w:fill="E4F4E4" w:color="auto" w:val="clear"/>
            <w:tcMar>
              <w:top w:type="dxa" w:w="80"/>
              <w:left w:type="dxa" w:w="110"/>
              <w:bottom w:type="dxa" w:w="80"/>
              <w:right w:type="dxa" w:w="110"/>
            </w:tcMar>
            <w:vAlign w:val="center"/>
          </w:tcPr>
          <w:p>
            <w:pPr>
              <w:spacing w:after="0"/>
            </w:pPr>
            <w:r>
              <w:rPr>
                <w:b/>
                <w:bCs/>
                <w:color w:val="1E7A1E"/>
              </w:rPr>
              <w:t xml:space="preserve">Complete</w:t>
            </w:r>
          </w:p>
        </w:tc>
      </w:tr>
      <w:tr>
        <w:tc>
          <w:tcPr>
            <w:tcW w:type="dxa" w:w="560"/>
            <w:shd w:fill="F2F7F9" w:color="auto" w:val="clear"/>
            <w:tcMar>
              <w:top w:type="dxa" w:w="80"/>
              <w:left w:type="dxa" w:w="110"/>
              <w:bottom w:type="dxa" w:w="80"/>
              <w:right w:type="dxa" w:w="110"/>
            </w:tcMar>
            <w:vAlign w:val="center"/>
          </w:tcPr>
          <w:p>
            <w:pPr>
              <w:spacing w:after="0"/>
            </w:pPr>
            <w:r>
              <w:t xml:space="preserve">4</w:t>
            </w:r>
          </w:p>
        </w:tc>
        <w:tc>
          <w:tcPr>
            <w:tcW w:type="dxa" w:w="5100"/>
            <w:shd w:fill="F2F7F9" w:color="auto" w:val="clear"/>
            <w:tcMar>
              <w:top w:type="dxa" w:w="80"/>
              <w:left w:type="dxa" w:w="110"/>
              <w:bottom w:type="dxa" w:w="80"/>
              <w:right w:type="dxa" w:w="110"/>
            </w:tcMar>
            <w:vAlign w:val="center"/>
          </w:tcPr>
          <w:p>
            <w:pPr>
              <w:spacing w:after="0"/>
            </w:pPr>
            <w:r>
              <w:t xml:space="preserve">Daily interest divisor — actual days in month</w:t>
            </w:r>
          </w:p>
        </w:tc>
        <w:tc>
          <w:tcPr>
            <w:tcW w:type="dxa" w:w="2100"/>
            <w:shd w:fill="F2F7F9" w:color="auto" w:val="clear"/>
            <w:tcMar>
              <w:top w:type="dxa" w:w="80"/>
              <w:left w:type="dxa" w:w="110"/>
              <w:bottom w:type="dxa" w:w="80"/>
              <w:right w:type="dxa" w:w="110"/>
            </w:tcMar>
            <w:vAlign w:val="center"/>
          </w:tcPr>
          <w:p>
            <w:pPr>
              <w:spacing w:after="0"/>
            </w:pPr>
            <w:r>
              <w:t xml:space="preserve">Calculation layer</w:t>
            </w:r>
          </w:p>
        </w:tc>
        <w:tc>
          <w:tcPr>
            <w:tcW w:type="dxa" w:w="1600"/>
            <w:shd w:fill="E4F4E4" w:color="auto" w:val="clear"/>
            <w:tcMar>
              <w:top w:type="dxa" w:w="80"/>
              <w:left w:type="dxa" w:w="110"/>
              <w:bottom w:type="dxa" w:w="80"/>
              <w:right w:type="dxa" w:w="110"/>
            </w:tcMar>
            <w:vAlign w:val="center"/>
          </w:tcPr>
          <w:p>
            <w:pPr>
              <w:spacing w:after="0"/>
            </w:pPr>
            <w:r>
              <w:rPr>
                <w:b/>
                <w:bCs/>
                <w:color w:val="1E7A1E"/>
              </w:rPr>
              <w:t xml:space="preserve">Complete</w:t>
            </w:r>
          </w:p>
        </w:tc>
      </w:tr>
    </w:tbl>
    <w:p>
      <w:pPr>
        <w:pStyle w:val="Heading3"/>
        <w:spacing w:after="100" w:before="220"/>
      </w:pPr>
      <w:r>
        <w:rPr>
          <w:b/>
          <w:bCs/>
          <w:color w:val="2F6F83"/>
          <w:sz w:val="24"/>
          <w:szCs w:val="24"/>
        </w:rPr>
        <w:t xml:space="preserve">6.2 Open — Due Wednesday, September 10, 2026</w:t>
      </w:r>
    </w:p>
    <w:tbl>
      <w:tblPr>
        <w:tblW w:type="dxa" w:w="9360"/>
        <w:tblBorders>
          <w:top w:val="single" w:color="CDD9DD" w:sz="4"/>
          <w:left w:val="single" w:color="CDD9DD" w:sz="4"/>
          <w:bottom w:val="single" w:color="CDD9DD" w:sz="4"/>
          <w:right w:val="single" w:color="CDD9DD" w:sz="4"/>
          <w:insideH w:val="single" w:color="auto" w:sz="4"/>
          <w:insideV w:val="single" w:color="auto" w:sz="4"/>
        </w:tblBorders>
      </w:tblPr>
      <w:tblGrid>
        <w:gridCol w:w="560"/>
        <w:gridCol w:w="4300"/>
        <w:gridCol w:w="1900"/>
        <w:gridCol w:w="2600"/>
      </w:tblGrid>
      <w:tr>
        <w:trPr>
          <w:tblHeader/>
        </w:trPr>
        <w:tc>
          <w:tcPr>
            <w:tcW w:type="dxa" w:w="560"/>
            <w:shd w:fill="1F4E5F" w:color="auto" w:val="clear"/>
            <w:tcMar>
              <w:top w:type="dxa" w:w="80"/>
              <w:left w:type="dxa" w:w="110"/>
              <w:bottom w:type="dxa" w:w="80"/>
              <w:right w:type="dxa" w:w="110"/>
            </w:tcMar>
          </w:tcPr>
          <w:p>
            <w:pPr>
              <w:spacing w:after="0"/>
            </w:pPr>
            <w:r>
              <w:rPr>
                <w:b/>
                <w:bCs/>
                <w:color w:val="FFFFFF"/>
              </w:rPr>
              <w:t xml:space="preserve">#</w:t>
            </w:r>
          </w:p>
        </w:tc>
        <w:tc>
          <w:tcPr>
            <w:tcW w:type="dxa" w:w="4300"/>
            <w:shd w:fill="1F4E5F" w:color="auto" w:val="clear"/>
            <w:tcMar>
              <w:top w:type="dxa" w:w="80"/>
              <w:left w:type="dxa" w:w="110"/>
              <w:bottom w:type="dxa" w:w="80"/>
              <w:right w:type="dxa" w:w="110"/>
            </w:tcMar>
          </w:tcPr>
          <w:p>
            <w:pPr>
              <w:spacing w:after="0"/>
            </w:pPr>
            <w:r>
              <w:rPr>
                <w:b/>
                <w:bCs/>
                <w:color w:val="FFFFFF"/>
              </w:rPr>
              <w:t xml:space="preserve">Deliverable</w:t>
            </w:r>
          </w:p>
        </w:tc>
        <w:tc>
          <w:tcPr>
            <w:tcW w:type="dxa" w:w="1900"/>
            <w:shd w:fill="1F4E5F" w:color="auto" w:val="clear"/>
            <w:tcMar>
              <w:top w:type="dxa" w:w="80"/>
              <w:left w:type="dxa" w:w="110"/>
              <w:bottom w:type="dxa" w:w="80"/>
              <w:right w:type="dxa" w:w="110"/>
            </w:tcMar>
          </w:tcPr>
          <w:p>
            <w:pPr>
              <w:spacing w:after="0"/>
            </w:pPr>
            <w:r>
              <w:rPr>
                <w:b/>
                <w:bCs/>
                <w:color w:val="FFFFFF"/>
              </w:rPr>
              <w:t xml:space="preserve">Module</w:t>
            </w:r>
          </w:p>
        </w:tc>
        <w:tc>
          <w:tcPr>
            <w:tcW w:type="dxa" w:w="2600"/>
            <w:shd w:fill="1F4E5F" w:color="auto" w:val="clear"/>
            <w:tcMar>
              <w:top w:type="dxa" w:w="80"/>
              <w:left w:type="dxa" w:w="110"/>
              <w:bottom w:type="dxa" w:w="80"/>
              <w:right w:type="dxa" w:w="110"/>
            </w:tcMar>
          </w:tcPr>
          <w:p>
            <w:pPr>
              <w:spacing w:after="0"/>
            </w:pPr>
            <w:r>
              <w:rPr>
                <w:b/>
                <w:bCs/>
                <w:color w:val="FFFFFF"/>
              </w:rPr>
              <w:t xml:space="preserve">Notes</w:t>
            </w:r>
          </w:p>
        </w:tc>
      </w:tr>
      <w:tr>
        <w:tc>
          <w:tcPr>
            <w:tcW w:type="dxa" w:w="560"/>
            <w:tcMar>
              <w:top w:type="dxa" w:w="80"/>
              <w:left w:type="dxa" w:w="110"/>
              <w:bottom w:type="dxa" w:w="80"/>
              <w:right w:type="dxa" w:w="110"/>
            </w:tcMar>
            <w:vAlign w:val="center"/>
          </w:tcPr>
          <w:p>
            <w:pPr>
              <w:spacing w:after="0"/>
            </w:pPr>
            <w:r>
              <w:t xml:space="preserve">A</w:t>
            </w:r>
          </w:p>
        </w:tc>
        <w:tc>
          <w:tcPr>
            <w:tcW w:type="dxa" w:w="4300"/>
            <w:tcMar>
              <w:top w:type="dxa" w:w="80"/>
              <w:left w:type="dxa" w:w="110"/>
              <w:bottom w:type="dxa" w:w="80"/>
              <w:right w:type="dxa" w:w="110"/>
            </w:tcMar>
            <w:vAlign w:val="center"/>
          </w:tcPr>
          <w:p>
            <w:pPr>
              <w:spacing w:after="0"/>
            </w:pPr>
            <w:r>
              <w:t xml:space="preserve">Per-month remaining-balance view on the penalty ledger; updates on partial payment; shows remaining amortization due plus remaining penalty</w:t>
            </w:r>
          </w:p>
        </w:tc>
        <w:tc>
          <w:tcPr>
            <w:tcW w:type="dxa" w:w="1900"/>
            <w:tcMar>
              <w:top w:type="dxa" w:w="80"/>
              <w:left w:type="dxa" w:w="110"/>
              <w:bottom w:type="dxa" w:w="80"/>
              <w:right w:type="dxa" w:w="110"/>
            </w:tcMar>
            <w:vAlign w:val="center"/>
          </w:tcPr>
          <w:p>
            <w:pPr>
              <w:spacing w:after="0"/>
            </w:pPr>
            <w:r>
              <w:t xml:space="preserve">Collections / AR ledger (UI)</w:t>
            </w:r>
          </w:p>
        </w:tc>
        <w:tc>
          <w:tcPr>
            <w:tcW w:type="dxa" w:w="2600"/>
            <w:tcMar>
              <w:top w:type="dxa" w:w="80"/>
              <w:left w:type="dxa" w:w="110"/>
              <w:bottom w:type="dxa" w:w="80"/>
              <w:right w:type="dxa" w:w="110"/>
            </w:tcMar>
            <w:vAlign w:val="center"/>
          </w:tcPr>
          <w:p>
            <w:pPr>
              <w:spacing w:after="40"/>
            </w:pPr>
            <w:r>
              <w:rPr>
                <w:b/>
                <w:bCs/>
                <w:color w:val="A86400"/>
              </w:rPr>
              <w:t xml:space="preserve">Open</w:t>
            </w:r>
          </w:p>
          <w:p>
            <w:pPr>
              <w:spacing w:after="0"/>
            </w:pPr>
            <w:r>
              <w:rPr>
                <w:sz w:val="18"/>
                <w:szCs w:val="18"/>
              </w:rPr>
              <w:t xml:space="preserve">Presentation only; calculation unchanged</w:t>
            </w:r>
          </w:p>
        </w:tc>
      </w:tr>
      <w:tr>
        <w:tc>
          <w:tcPr>
            <w:tcW w:type="dxa" w:w="560"/>
            <w:shd w:fill="F2F7F9" w:color="auto" w:val="clear"/>
            <w:tcMar>
              <w:top w:type="dxa" w:w="80"/>
              <w:left w:type="dxa" w:w="110"/>
              <w:bottom w:type="dxa" w:w="80"/>
              <w:right w:type="dxa" w:w="110"/>
            </w:tcMar>
            <w:vAlign w:val="center"/>
          </w:tcPr>
          <w:p>
            <w:pPr>
              <w:spacing w:after="0"/>
            </w:pPr>
            <w:r>
              <w:t xml:space="preserve">B</w:t>
            </w:r>
          </w:p>
        </w:tc>
        <w:tc>
          <w:tcPr>
            <w:tcW w:type="dxa" w:w="4300"/>
            <w:shd w:fill="F2F7F9" w:color="auto" w:val="clear"/>
            <w:tcMar>
              <w:top w:type="dxa" w:w="80"/>
              <w:left w:type="dxa" w:w="110"/>
              <w:bottom w:type="dxa" w:w="80"/>
              <w:right w:type="dxa" w:w="110"/>
            </w:tcMar>
            <w:vAlign w:val="center"/>
          </w:tcPr>
          <w:p>
            <w:pPr>
              <w:spacing w:after="0"/>
            </w:pPr>
            <w:r>
              <w:t xml:space="preserve">LRA document generation</w:t>
            </w:r>
          </w:p>
        </w:tc>
        <w:tc>
          <w:tcPr>
            <w:tcW w:type="dxa" w:w="1900"/>
            <w:shd w:fill="F2F7F9" w:color="auto" w:val="clear"/>
            <w:tcMar>
              <w:top w:type="dxa" w:w="80"/>
              <w:left w:type="dxa" w:w="110"/>
              <w:bottom w:type="dxa" w:w="80"/>
              <w:right w:type="dxa" w:w="110"/>
            </w:tcMar>
            <w:vAlign w:val="center"/>
          </w:tcPr>
          <w:p>
            <w:pPr>
              <w:spacing w:after="0"/>
            </w:pPr>
            <w:r>
              <w:t xml:space="preserve">LRA</w:t>
            </w:r>
          </w:p>
        </w:tc>
        <w:tc>
          <w:tcPr>
            <w:tcW w:type="dxa" w:w="2600"/>
            <w:shd w:fill="F2F7F9" w:color="auto" w:val="clear"/>
            <w:tcMar>
              <w:top w:type="dxa" w:w="80"/>
              <w:left w:type="dxa" w:w="110"/>
              <w:bottom w:type="dxa" w:w="80"/>
              <w:right w:type="dxa" w:w="110"/>
            </w:tcMar>
            <w:vAlign w:val="center"/>
          </w:tcPr>
          <w:p>
            <w:pPr>
              <w:spacing w:after="40"/>
            </w:pPr>
            <w:r>
              <w:rPr>
                <w:b/>
                <w:bCs/>
                <w:color w:val="A86400"/>
              </w:rPr>
              <w:t xml:space="preserve">Open</w:t>
            </w:r>
          </w:p>
          <w:p>
            <w:pPr>
              <w:spacing w:after="0"/>
            </w:pPr>
            <w:r>
              <w:rPr>
                <w:sz w:val="18"/>
                <w:szCs w:val="18"/>
              </w:rPr>
              <w:t xml:space="preserve">Primary deliverable for the next session</w:t>
            </w:r>
          </w:p>
        </w:tc>
      </w:tr>
      <w:tr>
        <w:tc>
          <w:tcPr>
            <w:tcW w:type="dxa" w:w="560"/>
            <w:tcMar>
              <w:top w:type="dxa" w:w="80"/>
              <w:left w:type="dxa" w:w="110"/>
              <w:bottom w:type="dxa" w:w="80"/>
              <w:right w:type="dxa" w:w="110"/>
            </w:tcMar>
            <w:vAlign w:val="center"/>
          </w:tcPr>
          <w:p>
            <w:pPr>
              <w:spacing w:after="0"/>
            </w:pPr>
            <w:r>
              <w:t xml:space="preserve">C</w:t>
            </w:r>
          </w:p>
        </w:tc>
        <w:tc>
          <w:tcPr>
            <w:tcW w:type="dxa" w:w="4300"/>
            <w:tcMar>
              <w:top w:type="dxa" w:w="80"/>
              <w:left w:type="dxa" w:w="110"/>
              <w:bottom w:type="dxa" w:w="80"/>
              <w:right w:type="dxa" w:w="110"/>
            </w:tcMar>
            <w:vAlign w:val="center"/>
          </w:tcPr>
          <w:p>
            <w:pPr>
              <w:spacing w:after="0"/>
            </w:pPr>
            <w:r>
              <w:t xml:space="preserve">Import/export template — assessment of client formats against the system structure and a recommendation</w:t>
            </w:r>
          </w:p>
        </w:tc>
        <w:tc>
          <w:tcPr>
            <w:tcW w:type="dxa" w:w="1900"/>
            <w:tcMar>
              <w:top w:type="dxa" w:w="80"/>
              <w:left w:type="dxa" w:w="110"/>
              <w:bottom w:type="dxa" w:w="80"/>
              <w:right w:type="dxa" w:w="110"/>
            </w:tcMar>
            <w:vAlign w:val="center"/>
          </w:tcPr>
          <w:p>
            <w:pPr>
              <w:spacing w:after="0"/>
            </w:pPr>
            <w:r>
              <w:t xml:space="preserve">Data migration</w:t>
            </w:r>
          </w:p>
        </w:tc>
        <w:tc>
          <w:tcPr>
            <w:tcW w:type="dxa" w:w="2600"/>
            <w:tcMar>
              <w:top w:type="dxa" w:w="80"/>
              <w:left w:type="dxa" w:w="110"/>
              <w:bottom w:type="dxa" w:w="80"/>
              <w:right w:type="dxa" w:w="110"/>
            </w:tcMar>
            <w:vAlign w:val="center"/>
          </w:tcPr>
          <w:p>
            <w:pPr>
              <w:spacing w:after="40"/>
            </w:pPr>
            <w:r>
              <w:rPr>
                <w:b/>
                <w:bCs/>
                <w:color w:val="A86400"/>
              </w:rPr>
              <w:t xml:space="preserve">Open</w:t>
            </w:r>
          </w:p>
          <w:p>
            <w:pPr>
              <w:spacing w:after="0"/>
            </w:pPr>
            <w:r>
              <w:rPr>
                <w:sz w:val="18"/>
                <w:szCs w:val="18"/>
              </w:rPr>
              <w:t xml:space="preserve">Status update only at the next session</w:t>
            </w:r>
          </w:p>
        </w:tc>
      </w:tr>
    </w:tbl>
    <w:p>
      <w:pPr>
        <w:pStyle w:val="Heading3"/>
        <w:spacing w:after="100" w:before="220"/>
      </w:pPr>
      <w:r>
        <w:rPr>
          <w:b/>
          <w:bCs/>
          <w:color w:val="2F6F83"/>
          <w:sz w:val="24"/>
          <w:szCs w:val="24"/>
        </w:rPr>
        <w:t xml:space="preserve">6.3 Commitments</w:t>
      </w:r>
    </w:p>
    <w:tbl>
      <w:tblPr>
        <w:tblW w:type="dxa" w:w="9360"/>
        <w:tblBorders>
          <w:top w:val="single" w:color="CDD9DD" w:sz="4"/>
          <w:left w:val="single" w:color="CDD9DD" w:sz="4"/>
          <w:bottom w:val="single" w:color="CDD9DD" w:sz="4"/>
          <w:right w:val="single" w:color="CDD9DD" w:sz="4"/>
          <w:insideH w:val="single" w:color="auto" w:sz="4"/>
          <w:insideV w:val="single" w:color="auto" w:sz="4"/>
        </w:tblBorders>
      </w:tblPr>
      <w:tblGrid>
        <w:gridCol w:w="2200"/>
        <w:gridCol w:w="7160"/>
      </w:tblGrid>
      <w:tr>
        <w:trPr>
          <w:tblHeader/>
        </w:trPr>
        <w:tc>
          <w:tcPr>
            <w:tcW w:type="dxa" w:w="2200"/>
            <w:shd w:fill="1F4E5F" w:color="auto" w:val="clear"/>
            <w:tcMar>
              <w:top w:type="dxa" w:w="80"/>
              <w:left w:type="dxa" w:w="110"/>
              <w:bottom w:type="dxa" w:w="80"/>
              <w:right w:type="dxa" w:w="110"/>
            </w:tcMar>
          </w:tcPr>
          <w:p>
            <w:pPr>
              <w:spacing w:after="0"/>
            </w:pPr>
            <w:r>
              <w:rPr>
                <w:b/>
                <w:bCs/>
                <w:color w:val="FFFFFF"/>
              </w:rPr>
              <w:t xml:space="preserve">Owner</w:t>
            </w:r>
          </w:p>
        </w:tc>
        <w:tc>
          <w:tcPr>
            <w:tcW w:type="dxa" w:w="7160"/>
            <w:shd w:fill="1F4E5F" w:color="auto" w:val="clear"/>
            <w:tcMar>
              <w:top w:type="dxa" w:w="80"/>
              <w:left w:type="dxa" w:w="110"/>
              <w:bottom w:type="dxa" w:w="80"/>
              <w:right w:type="dxa" w:w="110"/>
            </w:tcMar>
          </w:tcPr>
          <w:p>
            <w:pPr>
              <w:spacing w:after="0"/>
            </w:pPr>
            <w:r>
              <w:rPr>
                <w:b/>
                <w:bCs/>
                <w:color w:val="FFFFFF"/>
              </w:rPr>
              <w:t xml:space="preserve">Commitment</w:t>
            </w:r>
          </w:p>
        </w:tc>
      </w:tr>
      <w:tr>
        <w:tc>
          <w:tcPr>
            <w:tcW w:type="dxa" w:w="2200"/>
            <w:tcMar>
              <w:top w:type="dxa" w:w="80"/>
              <w:left w:type="dxa" w:w="110"/>
              <w:bottom w:type="dxa" w:w="80"/>
              <w:right w:type="dxa" w:w="110"/>
            </w:tcMar>
            <w:vAlign w:val="center"/>
          </w:tcPr>
          <w:p>
            <w:pPr>
              <w:spacing w:after="0"/>
            </w:pPr>
            <w:r>
              <w:rPr>
                <w:b/>
                <w:bCs/>
              </w:rPr>
              <w:t xml:space="preserve">Rovick Romasanta</w:t>
            </w:r>
          </w:p>
        </w:tc>
        <w:tc>
          <w:tcPr>
            <w:tcW w:type="dxa" w:w="7160"/>
            <w:tcMar>
              <w:top w:type="dxa" w:w="80"/>
              <w:left w:type="dxa" w:w="110"/>
              <w:bottom w:type="dxa" w:w="80"/>
              <w:right w:type="dxa" w:w="110"/>
            </w:tcMar>
            <w:vAlign w:val="center"/>
          </w:tcPr>
          <w:p>
            <w:pPr>
              <w:spacing w:after="60"/>
            </w:pPr>
            <w:r>
              <w:t xml:space="preserve">• Deliver items A and B for the September 10 session.</w:t>
            </w:r>
          </w:p>
          <w:p>
            <w:pPr>
              <w:spacing w:after="0"/>
            </w:pPr>
            <w:r>
              <w:t xml:space="preserve">• Review the client's masterfile format and advise on the template direction; provide a written progress update.</w:t>
            </w:r>
          </w:p>
        </w:tc>
      </w:tr>
      <w:tr>
        <w:tc>
          <w:tcPr>
            <w:tcW w:type="dxa" w:w="2200"/>
            <w:shd w:fill="F2F7F9" w:color="auto" w:val="clear"/>
            <w:tcMar>
              <w:top w:type="dxa" w:w="80"/>
              <w:left w:type="dxa" w:w="110"/>
              <w:bottom w:type="dxa" w:w="80"/>
              <w:right w:type="dxa" w:w="110"/>
            </w:tcMar>
            <w:vAlign w:val="center"/>
          </w:tcPr>
          <w:p>
            <w:pPr>
              <w:spacing w:after="0"/>
            </w:pPr>
            <w:r>
              <w:rPr>
                <w:b/>
                <w:bCs/>
              </w:rPr>
              <w:t xml:space="preserve">Client review team</w:t>
            </w:r>
          </w:p>
        </w:tc>
        <w:tc>
          <w:tcPr>
            <w:tcW w:type="dxa" w:w="7160"/>
            <w:shd w:fill="F2F7F9" w:color="auto" w:val="clear"/>
            <w:tcMar>
              <w:top w:type="dxa" w:w="80"/>
              <w:left w:type="dxa" w:w="110"/>
              <w:bottom w:type="dxa" w:w="80"/>
              <w:right w:type="dxa" w:w="110"/>
            </w:tcMar>
            <w:vAlign w:val="center"/>
          </w:tcPr>
          <w:p>
            <w:pPr>
              <w:spacing w:after="60"/>
            </w:pPr>
            <w:r>
              <w:t xml:space="preserve">• Advise whether the existing format is suitable or the system template should be adopted.</w:t>
            </w:r>
          </w:p>
          <w:p>
            <w:pPr>
              <w:spacing w:after="0"/>
            </w:pPr>
            <w:r>
              <w:t xml:space="preserve">• Confirm deployment timing and the remedial auto-assignment day threshold.</w:t>
            </w:r>
          </w:p>
        </w:tc>
      </w:tr>
    </w:tbl>
    <w:p>
      <w:pPr>
        <w:pStyle w:val="Heading2"/>
        <w:pBdr>
          <w:bottom w:val="single" w:color="CDD9DD" w:sz="6"/>
        </w:pBdr>
        <w:spacing w:after="140" w:before="320"/>
      </w:pPr>
      <w:r>
        <w:rPr>
          <w:b/>
          <w:bCs/>
          <w:color w:val="1F4E5F"/>
          <w:sz w:val="28"/>
          <w:szCs w:val="28"/>
        </w:rPr>
        <w:t xml:space="preserve">7. Next Meeting</w:t>
      </w:r>
    </w:p>
    <w:p>
      <w:pPr>
        <w:pBdr>
          <w:left w:val="single" w:color="2F8FA6" w:sz="24"/>
        </w:pBdr>
        <w:shd w:fill="F2F7F9" w:color="auto" w:val="clear"/>
        <w:spacing w:after="120" w:before="120"/>
        <w:ind w:left="200"/>
      </w:pPr>
      <w:r>
        <w:rPr>
          <w:b/>
          <w:bCs/>
        </w:rPr>
        <w:t xml:space="preserve">Wednesday, September 10, 2026, 2:00 PM</w:t>
      </w:r>
      <w:r>
        <w:t xml:space="preserve"> — Google Meet</w:t>
      </w:r>
    </w:p>
    <w:p>
      <w:pPr>
        <w:pBdr>
          <w:left w:val="single" w:color="2F8FA6" w:sz="24"/>
        </w:pBdr>
        <w:shd w:fill="F2F7F9" w:color="auto" w:val="clear"/>
        <w:spacing w:after="120"/>
        <w:ind w:left="200"/>
      </w:pPr>
      <w:r>
        <w:rPr>
          <w:b/>
          <w:bCs/>
        </w:rPr>
        <w:t xml:space="preserve">Agenda: </w:t>
      </w:r>
      <w:r>
        <w:t xml:space="preserve">penalty ledger per-month remaining balance · LRA document generation · import/export template recommendation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92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2026-09-09T11:32:56.054Z</dcterms:created>
  <dcterms:modified xsi:type="dcterms:W3CDTF">2026-09-09T11:32:56.055Z</dcterms:modified>
</cp:coreProperties>
</file>

<file path=docProps/custom.xml><?xml version="1.0" encoding="utf-8"?>
<Properties xmlns="http://schemas.openxmlformats.org/officeDocument/2006/custom-properties" xmlns:vt="http://schemas.openxmlformats.org/officeDocument/2006/docPropsVTypes"/>
</file>