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Title"/>
        <w:jc w:val="center"/>
      </w:pPr>
      <w:r>
        <w:rPr>
          <w:rFonts w:ascii="Calibri" w:hAnsi="Calibri"/>
          <w:b/>
          <w:sz w:val="52"/>
        </w:rPr>
        <w:t>LoanStar</w:t>
      </w:r>
    </w:p>
    <w:p>
      <w:pPr>
        <w:jc w:val="center"/>
      </w:pPr>
      <w:r>
        <w:rPr>
          <w:rFonts w:ascii="Calibri" w:hAnsi="Calibri"/>
          <w:b w:val="0"/>
          <w:color w:val="5A5A5A"/>
          <w:sz w:val="36"/>
        </w:rPr>
        <w:t>System User Manual</w:t>
      </w:r>
    </w:p>
    <w:p/>
    <w:p>
      <w:pPr>
        <w:jc w:val="center"/>
      </w:pPr>
      <w:r>
        <w:rPr>
          <w:rFonts w:ascii="Calibri" w:hAnsi="Calibri"/>
          <w:b w:val="0"/>
          <w:color w:val="5A5A5A"/>
          <w:sz w:val="20"/>
        </w:rPr>
        <w:t>Version Code aligned edition | October 2026</w:t>
      </w:r>
    </w:p>
    <w:p>
      <w:r>
        <w:br w:type="page"/>
      </w:r>
    </w:p>
    <w:p>
      <w:pPr>
        <w:pStyle w:val="Heading1"/>
        <w:spacing w:before="480" w:after="140"/>
      </w:pPr>
      <w:r>
        <w:rPr>
          <w:rFonts w:ascii="Calibri" w:hAnsi="Calibri"/>
          <w:b/>
          <w:color w:val="365F91"/>
          <w:sz w:val="28"/>
        </w:rPr>
        <w:t>Table of Contents</w:t>
      </w:r>
    </w:p>
    <w:p>
      <w:r>
        <w:fldChar w:fldCharType="begin"/>
        <w:instrText xml:space="preserve">TOC \\o "1-2" \\h \\z \\u</w:instrText>
        <w:fldChar w:fldCharType="end"/>
      </w:r>
    </w:p>
    <w:p>
      <w:r>
        <w:rPr>
          <w:rFonts w:ascii="Calibri" w:hAnsi="Calibri"/>
          <w:b w:val="0"/>
          <w:i/>
          <w:color w:val="5A5A5A"/>
          <w:sz w:val="18"/>
        </w:rPr>
        <w:t>In Word, right-click the table of contents and choose Update Field to show page numbers.</w:t>
      </w:r>
    </w:p>
    <w:p>
      <w:r>
        <w:br w:type="page"/>
      </w:r>
    </w:p>
    <w:p>
      <w:pPr>
        <w:pStyle w:val="Heading1"/>
        <w:spacing w:before="480" w:after="140"/>
      </w:pPr>
      <w:r>
        <w:rPr>
          <w:rFonts w:ascii="Calibri" w:hAnsi="Calibri"/>
          <w:b/>
          <w:color w:val="365F91"/>
          <w:sz w:val="28"/>
        </w:rPr>
        <w:t>Introduction</w:t>
      </w:r>
    </w:p>
    <w:p>
      <w:r>
        <w:t>LoanStar supports the work from a loan inquiry through application intake, verification, committee review, release, accounting, collection, and remedial handling. What you see in the menu depends on the role assigned to your account.</w:t>
      </w:r>
    </w:p>
    <w:p>
      <w:r>
        <w:t>Use this manual for the screens and actions that are currently implemented. Each section identifies the role area where the work is done. If an item is listed in the clarification appendix, ask your system administrator before relying on it in day-to-day work.</w:t>
      </w:r>
    </w:p>
    <w:p>
      <w:r>
        <w:br w:type="page"/>
      </w:r>
    </w:p>
    <w:p>
      <w:pPr>
        <w:pStyle w:val="Heading1"/>
        <w:spacing w:before="480" w:after="140"/>
      </w:pPr>
      <w:r>
        <w:rPr>
          <w:rFonts w:ascii="Calibri" w:hAnsi="Calibri"/>
          <w:b/>
          <w:color w:val="365F91"/>
          <w:sz w:val="28"/>
        </w:rPr>
        <w:t>Sign in and recover access</w:t>
      </w:r>
    </w:p>
    <w:p>
      <w:pPr>
        <w:pStyle w:val="Heading2"/>
        <w:spacing w:before="200" w:after="140"/>
      </w:pPr>
      <w:r>
        <w:rPr>
          <w:rFonts w:ascii="Calibri" w:hAnsi="Calibri"/>
          <w:b/>
          <w:color w:val="4F81BD"/>
          <w:sz w:val="26"/>
        </w:rPr>
        <w:t>What it is for</w:t>
      </w:r>
    </w:p>
    <w:p>
      <w:r>
        <w:t>Who uses this: Users with access to this work area. Lets you enter LoanStar, create an account where registration is enabled, or replace a forgotten password.</w:t>
      </w:r>
    </w:p>
    <w:p>
      <w:pPr>
        <w:pStyle w:val="Heading2"/>
        <w:spacing w:before="200" w:after="140"/>
      </w:pPr>
      <w:r>
        <w:rPr>
          <w:rFonts w:ascii="Calibri" w:hAnsi="Calibri"/>
          <w:b/>
          <w:color w:val="4F81BD"/>
          <w:sz w:val="26"/>
        </w:rPr>
        <w:t>Where to find it</w:t>
      </w:r>
    </w:p>
    <w:p>
      <w:r>
        <w:t>Use the sign-in page. Choose Forgot password when you cannot remember your password.</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Use the sign-in page. Choose Forgot password when you cannot remember your password.</w:t>
            </w:r>
          </w:p>
        </w:tc>
      </w:tr>
    </w:tbl>
    <w:p>
      <w:pPr>
        <w:pStyle w:val="Heading2"/>
        <w:spacing w:before="200" w:after="140"/>
      </w:pPr>
      <w:r>
        <w:rPr>
          <w:rFonts w:ascii="Calibri" w:hAnsi="Calibri"/>
          <w:b/>
          <w:color w:val="4F81BD"/>
          <w:sz w:val="26"/>
        </w:rPr>
        <w:t>Steps</w:t>
      </w:r>
    </w:p>
    <w:p>
      <w:pPr>
        <w:pStyle w:val="ListNumber"/>
      </w:pPr>
      <w:r>
        <w:t>Enter your email address and password, then select Sign in.</w:t>
      </w:r>
    </w:p>
    <w:p>
      <w:pPr>
        <w:pStyle w:val="ListNumber"/>
      </w:pPr>
      <w:r>
        <w:t>To recover access, select Forgot password and submit your email address.</w:t>
      </w:r>
    </w:p>
    <w:p>
      <w:pPr>
        <w:pStyle w:val="ListNumber"/>
      </w:pPr>
      <w:r>
        <w:t>Open the reset link sent to your email, enter the new password twice, and select Update password.</w:t>
      </w:r>
    </w:p>
    <w:p>
      <w:pPr>
        <w:pStyle w:val="ListNumber"/>
      </w:pPr>
      <w:r>
        <w:t>Use a password with at least eight characters.</w:t>
      </w:r>
    </w:p>
    <w:p>
      <w:pPr>
        <w:pStyle w:val="Heading2"/>
        <w:spacing w:before="200" w:after="140"/>
      </w:pPr>
      <w:r>
        <w:rPr>
          <w:rFonts w:ascii="Calibri" w:hAnsi="Calibri"/>
          <w:b/>
          <w:color w:val="4F81BD"/>
          <w:sz w:val="26"/>
        </w:rPr>
        <w:t>Tips and things to watch out for</w:t>
      </w:r>
    </w:p>
    <w:p>
      <w:pPr>
        <w:pStyle w:val="ListBullet"/>
      </w:pPr>
      <w:r>
        <w:t>The reset page only works when opened from the reset link or an active sign-in session.</w:t>
      </w:r>
    </w:p>
    <w:p>
      <w:pPr>
        <w:pStyle w:val="ListBullet"/>
      </w:pPr>
      <w:r>
        <w:t>Registration and access-denied pages are also implemented; availability depends on the system configuration and your assigned permissions.</w:t>
      </w:r>
    </w:p>
    <w:p>
      <w:pPr>
        <w:pStyle w:val="Heading1"/>
        <w:spacing w:before="480" w:after="140"/>
      </w:pPr>
      <w:r>
        <w:rPr>
          <w:rFonts w:ascii="Calibri" w:hAnsi="Calibri"/>
          <w:b/>
          <w:color w:val="365F91"/>
          <w:sz w:val="28"/>
        </w:rPr>
        <w:t>Your account and notifications</w:t>
      </w:r>
    </w:p>
    <w:p>
      <w:pPr>
        <w:pStyle w:val="Heading2"/>
        <w:spacing w:before="200" w:after="140"/>
      </w:pPr>
      <w:r>
        <w:rPr>
          <w:rFonts w:ascii="Calibri" w:hAnsi="Calibri"/>
          <w:b/>
          <w:color w:val="4F81BD"/>
          <w:sz w:val="26"/>
        </w:rPr>
        <w:t>What it is for</w:t>
      </w:r>
    </w:p>
    <w:p>
      <w:r>
        <w:t>Who uses this: Users with access to this work area. Lets every signed-in user keep account contact details, preferences, profile photo, and notification settings current.</w:t>
      </w:r>
    </w:p>
    <w:p>
      <w:pPr>
        <w:pStyle w:val="Heading2"/>
        <w:spacing w:before="200" w:after="140"/>
      </w:pPr>
      <w:r>
        <w:rPr>
          <w:rFonts w:ascii="Calibri" w:hAnsi="Calibri"/>
          <w:b/>
          <w:color w:val="4F81BD"/>
          <w:sz w:val="26"/>
        </w:rPr>
        <w:t>Where to find it</w:t>
      </w:r>
    </w:p>
    <w:p>
      <w:r>
        <w:t>Open Account from the application header or account menu.</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Account from the application header or account menu.</w:t>
            </w:r>
          </w:p>
        </w:tc>
      </w:tr>
    </w:tbl>
    <w:p>
      <w:pPr>
        <w:pStyle w:val="Heading2"/>
        <w:spacing w:before="200" w:after="140"/>
      </w:pPr>
      <w:r>
        <w:rPr>
          <w:rFonts w:ascii="Calibri" w:hAnsi="Calibri"/>
          <w:b/>
          <w:color w:val="4F81BD"/>
          <w:sz w:val="26"/>
        </w:rPr>
        <w:t>Steps</w:t>
      </w:r>
    </w:p>
    <w:p>
      <w:pPr>
        <w:pStyle w:val="ListNumber"/>
      </w:pPr>
      <w:r>
        <w:t>Upload a JPEG, PNG, or WebP photo if you want one displayed.</w:t>
      </w:r>
    </w:p>
    <w:p>
      <w:pPr>
        <w:pStyle w:val="ListNumber"/>
      </w:pPr>
      <w:r>
        <w:t>Update your display name, phone number, timezone, locale, and notification choices.</w:t>
      </w:r>
    </w:p>
    <w:p>
      <w:pPr>
        <w:pStyle w:val="ListNumber"/>
      </w:pPr>
      <w:r>
        <w:t>Review the notification list and select Mark all read when needed.</w:t>
      </w:r>
    </w:p>
    <w:p>
      <w:pPr>
        <w:pStyle w:val="ListNumber"/>
      </w:pPr>
      <w:r>
        <w:t>Select Save account.</w:t>
      </w:r>
    </w:p>
    <w:p>
      <w:pPr>
        <w:pStyle w:val="Heading2"/>
        <w:spacing w:before="200" w:after="140"/>
      </w:pPr>
      <w:r>
        <w:rPr>
          <w:rFonts w:ascii="Calibri" w:hAnsi="Calibri"/>
          <w:b/>
          <w:color w:val="4F81BD"/>
          <w:sz w:val="26"/>
        </w:rPr>
        <w:t>Tips and things to watch out for</w:t>
      </w:r>
    </w:p>
    <w:p>
      <w:pPr>
        <w:pStyle w:val="ListBullet"/>
      </w:pPr>
      <w:r>
        <w:t>Profile photos must be 2 MB or smaller.</w:t>
      </w:r>
    </w:p>
    <w:p>
      <w:pPr>
        <w:pStyle w:val="ListBullet"/>
      </w:pPr>
      <w:r>
        <w:t>Your email address is read-only here; ask an administrator to change it.</w:t>
      </w:r>
    </w:p>
    <w:p>
      <w:pPr>
        <w:pStyle w:val="ListBullet"/>
      </w:pPr>
      <w:r>
        <w:t>The account phone number is separate from the borrower contact information kept on an application.</w:t>
      </w:r>
    </w:p>
    <w:p>
      <w:pPr>
        <w:pStyle w:val="Heading1"/>
        <w:spacing w:before="480" w:after="140"/>
      </w:pPr>
      <w:r>
        <w:rPr>
          <w:rFonts w:ascii="Calibri" w:hAnsi="Calibri"/>
          <w:b/>
          <w:color w:val="365F91"/>
          <w:sz w:val="28"/>
        </w:rPr>
        <w:t>Dashboard and role based navigation</w:t>
      </w:r>
    </w:p>
    <w:p>
      <w:pPr>
        <w:pStyle w:val="Heading2"/>
        <w:spacing w:before="200" w:after="140"/>
      </w:pPr>
      <w:r>
        <w:rPr>
          <w:rFonts w:ascii="Calibri" w:hAnsi="Calibri"/>
          <w:b/>
          <w:color w:val="4F81BD"/>
          <w:sz w:val="26"/>
        </w:rPr>
        <w:t>What it is for</w:t>
      </w:r>
    </w:p>
    <w:p>
      <w:r>
        <w:t>Who uses this: Users with access to this work area. Provides a starting view of available work and routes you only to areas allowed by your role.</w:t>
      </w:r>
    </w:p>
    <w:p>
      <w:pPr>
        <w:pStyle w:val="Heading2"/>
        <w:spacing w:before="200" w:after="140"/>
      </w:pPr>
      <w:r>
        <w:rPr>
          <w:rFonts w:ascii="Calibri" w:hAnsi="Calibri"/>
          <w:b/>
          <w:color w:val="4F81BD"/>
          <w:sz w:val="26"/>
        </w:rPr>
        <w:t>Where to find it</w:t>
      </w:r>
    </w:p>
    <w:p>
      <w:r>
        <w:t>Select Dashboard in the left navigation.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Select Dashboard in the left navigation.</w:t>
            </w:r>
          </w:p>
        </w:tc>
      </w:tr>
    </w:tbl>
    <w:p>
      <w:pPr>
        <w:pStyle w:val="Heading2"/>
        <w:spacing w:before="200" w:after="140"/>
      </w:pPr>
      <w:r>
        <w:rPr>
          <w:rFonts w:ascii="Calibri" w:hAnsi="Calibri"/>
          <w:b/>
          <w:color w:val="4F81BD"/>
          <w:sz w:val="26"/>
        </w:rPr>
        <w:t>Steps</w:t>
      </w:r>
    </w:p>
    <w:p>
      <w:pPr>
        <w:pStyle w:val="ListNumber"/>
      </w:pPr>
      <w:r>
        <w:t>Review the dashboard tiles available to your account.</w:t>
      </w:r>
    </w:p>
    <w:p>
      <w:pPr>
        <w:pStyle w:val="ListNumber"/>
      </w:pPr>
      <w:r>
        <w:t>Use the left navigation to open your work area, such as Leads, Intake, Verification, Committee, Release, Accounting, Collection, Remedial, Reports, or Administration.</w:t>
      </w:r>
    </w:p>
    <w:p>
      <w:pPr>
        <w:pStyle w:val="ListNumber"/>
      </w:pPr>
      <w:r>
        <w:t>Expand a work area to open its queue, history, or supporting page.</w:t>
      </w:r>
    </w:p>
    <w:p>
      <w:pPr>
        <w:pStyle w:val="Heading2"/>
        <w:spacing w:before="200" w:after="140"/>
      </w:pPr>
      <w:r>
        <w:rPr>
          <w:rFonts w:ascii="Calibri" w:hAnsi="Calibri"/>
          <w:b/>
          <w:color w:val="4F81BD"/>
          <w:sz w:val="26"/>
        </w:rPr>
        <w:t>Tips and things to watch out for</w:t>
      </w:r>
    </w:p>
    <w:p>
      <w:pPr>
        <w:pStyle w:val="ListBullet"/>
      </w:pPr>
      <w:r>
        <w:t>Menu items are permission controlled. A missing menu item means your assigned role does not currently provide that area.</w:t>
      </w:r>
    </w:p>
    <w:p>
      <w:pPr>
        <w:pStyle w:val="ListBullet"/>
      </w:pPr>
      <w:r>
        <w:t>The Design and computation-breakdown pages are development tools, not normal operating screens.</w:t>
      </w:r>
    </w:p>
    <w:p>
      <w:pPr>
        <w:pStyle w:val="Heading1"/>
        <w:spacing w:before="480" w:after="140"/>
      </w:pPr>
      <w:r>
        <w:rPr>
          <w:rFonts w:ascii="Calibri" w:hAnsi="Calibri"/>
          <w:b/>
          <w:color w:val="365F91"/>
          <w:sz w:val="28"/>
        </w:rPr>
        <w:t>Borrower portal and loan application</w:t>
      </w:r>
    </w:p>
    <w:p>
      <w:pPr>
        <w:pStyle w:val="Heading2"/>
        <w:spacing w:before="200" w:after="140"/>
      </w:pPr>
      <w:r>
        <w:rPr>
          <w:rFonts w:ascii="Calibri" w:hAnsi="Calibri"/>
          <w:b/>
          <w:color w:val="4F81BD"/>
          <w:sz w:val="26"/>
        </w:rPr>
        <w:t>What it is for</w:t>
      </w:r>
    </w:p>
    <w:p>
      <w:r>
        <w:t>Who uses this: Users with access to this work area. Lets a borrower register, start or resume an application, supply information and documents, accept offers, and follow an active loan.</w:t>
      </w:r>
    </w:p>
    <w:p>
      <w:pPr>
        <w:pStyle w:val="Heading2"/>
        <w:spacing w:before="200" w:after="140"/>
      </w:pPr>
      <w:r>
        <w:rPr>
          <w:rFonts w:ascii="Calibri" w:hAnsi="Calibri"/>
          <w:b/>
          <w:color w:val="4F81BD"/>
          <w:sz w:val="26"/>
        </w:rPr>
        <w:t>Where to find it</w:t>
      </w:r>
    </w:p>
    <w:p>
      <w:r>
        <w:t>Open Borrower Portal. Select Register if you need a borrower account, then open an application from the borrower home page.</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Borrower Portal. Select Register if you need a borrower account, then open an application from the borrower home page.</w:t>
            </w:r>
          </w:p>
        </w:tc>
      </w:tr>
    </w:tbl>
    <w:p>
      <w:pPr>
        <w:pStyle w:val="Heading2"/>
        <w:spacing w:before="200" w:after="140"/>
      </w:pPr>
      <w:r>
        <w:rPr>
          <w:rFonts w:ascii="Calibri" w:hAnsi="Calibri"/>
          <w:b/>
          <w:color w:val="4F81BD"/>
          <w:sz w:val="26"/>
        </w:rPr>
        <w:t>Steps</w:t>
      </w:r>
    </w:p>
    <w:p>
      <w:pPr>
        <w:pStyle w:val="ListNumber"/>
      </w:pPr>
      <w:r>
        <w:t>Create or open an application, then complete the application form and any co-borrower details.</w:t>
      </w:r>
    </w:p>
    <w:p>
      <w:pPr>
        <w:pStyle w:val="ListNumber"/>
      </w:pPr>
      <w:r>
        <w:t>Save the form, add the required documents, and complete the visible checklist items.</w:t>
      </w:r>
    </w:p>
    <w:p>
      <w:pPr>
        <w:pStyle w:val="ListNumber"/>
      </w:pPr>
      <w:r>
        <w:t>Review the calculation, borrower briefing, and verification items when they become available.</w:t>
      </w:r>
    </w:p>
    <w:p>
      <w:pPr>
        <w:pStyle w:val="ListNumber"/>
      </w:pPr>
      <w:r>
        <w:t>Submit the application when the portal offers Submit application.</w:t>
      </w:r>
    </w:p>
    <w:p>
      <w:pPr>
        <w:pStyle w:val="ListNumber"/>
      </w:pPr>
      <w:r>
        <w:t>When an offer is presented, review it and accept or send a counteroffer. After release, use the active-loan view for loan status and payment information.</w:t>
      </w:r>
    </w:p>
    <w:p>
      <w:pPr>
        <w:pStyle w:val="Heading2"/>
        <w:spacing w:before="200" w:after="140"/>
      </w:pPr>
      <w:r>
        <w:rPr>
          <w:rFonts w:ascii="Calibri" w:hAnsi="Calibri"/>
          <w:b/>
          <w:color w:val="4F81BD"/>
          <w:sz w:val="26"/>
        </w:rPr>
        <w:t>Tips and things to watch out for</w:t>
      </w:r>
    </w:p>
    <w:p>
      <w:pPr>
        <w:pStyle w:val="ListBullet"/>
      </w:pPr>
      <w:r>
        <w:t>A draft application can be deleted from the borrower home page before it is submitted.</w:t>
      </w:r>
    </w:p>
    <w:p>
      <w:pPr>
        <w:pStyle w:val="ListBullet"/>
      </w:pPr>
      <w:r>
        <w:t>Some signing, document download, payment download, and release-document actions appear only when the application has reached the required stage.</w:t>
      </w:r>
    </w:p>
    <w:p>
      <w:pPr>
        <w:pStyle w:val="ListBullet"/>
      </w:pPr>
      <w:r>
        <w:t>The borrower view includes a status timeline so you can see the application or loan progress.</w:t>
      </w:r>
    </w:p>
    <w:p>
      <w:pPr>
        <w:pStyle w:val="Heading1"/>
        <w:spacing w:before="480" w:after="140"/>
      </w:pPr>
      <w:r>
        <w:rPr>
          <w:rFonts w:ascii="Calibri" w:hAnsi="Calibri"/>
          <w:b/>
          <w:color w:val="365F91"/>
          <w:sz w:val="28"/>
        </w:rPr>
        <w:t>Agent leads</w:t>
      </w:r>
    </w:p>
    <w:p>
      <w:pPr>
        <w:pStyle w:val="Heading2"/>
        <w:spacing w:before="200" w:after="140"/>
      </w:pPr>
      <w:r>
        <w:rPr>
          <w:rFonts w:ascii="Calibri" w:hAnsi="Calibri"/>
          <w:b/>
          <w:color w:val="4F81BD"/>
          <w:sz w:val="26"/>
        </w:rPr>
        <w:t>What it is for</w:t>
      </w:r>
    </w:p>
    <w:p>
      <w:r>
        <w:t>Who uses this: Users with access to this work area. Lets marketing or sales staff record leads, link a lead to an existing borrower, and monitor progress until closure.</w:t>
      </w:r>
    </w:p>
    <w:p>
      <w:pPr>
        <w:pStyle w:val="Heading2"/>
        <w:spacing w:before="200" w:after="140"/>
      </w:pPr>
      <w:r>
        <w:rPr>
          <w:rFonts w:ascii="Calibri" w:hAnsi="Calibri"/>
          <w:b/>
          <w:color w:val="4F81BD"/>
          <w:sz w:val="26"/>
        </w:rPr>
        <w:t>Where to find it</w:t>
      </w:r>
    </w:p>
    <w:p>
      <w:r>
        <w:t>Open Leads, then choose Leads pipeline or Closed leads.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Leads, then choose Leads pipeline or Closed leads.</w:t>
            </w:r>
          </w:p>
        </w:tc>
      </w:tr>
    </w:tbl>
    <w:p>
      <w:pPr>
        <w:pStyle w:val="Heading2"/>
        <w:spacing w:before="200" w:after="140"/>
      </w:pPr>
      <w:r>
        <w:rPr>
          <w:rFonts w:ascii="Calibri" w:hAnsi="Calibri"/>
          <w:b/>
          <w:color w:val="4F81BD"/>
          <w:sz w:val="26"/>
        </w:rPr>
        <w:t>Steps</w:t>
      </w:r>
    </w:p>
    <w:p>
      <w:pPr>
        <w:pStyle w:val="ListNumber"/>
      </w:pPr>
      <w:r>
        <w:t>Select New lead.</w:t>
      </w:r>
    </w:p>
    <w:p>
      <w:pPr>
        <w:pStyle w:val="ListNumber"/>
      </w:pPr>
      <w:r>
        <w:t>Enter the lead details and select a matching existing borrower when one is shown, or continue without a match.</w:t>
      </w:r>
    </w:p>
    <w:p>
      <w:pPr>
        <w:pStyle w:val="ListNumber"/>
      </w:pPr>
      <w:r>
        <w:t>Save the lead and select Open to review it.</w:t>
      </w:r>
    </w:p>
    <w:p>
      <w:pPr>
        <w:pStyle w:val="ListNumber"/>
      </w:pPr>
      <w:r>
        <w:t>Use the pipeline filters, date range, search, sorting, and segment filters to narrow the list.</w:t>
      </w:r>
    </w:p>
    <w:p>
      <w:pPr>
        <w:pStyle w:val="ListNumber"/>
      </w:pPr>
      <w:r>
        <w:t>Use Closed leads to review finished lead records.</w:t>
      </w:r>
    </w:p>
    <w:p>
      <w:pPr>
        <w:pStyle w:val="Heading2"/>
        <w:spacing w:before="200" w:after="140"/>
      </w:pPr>
      <w:r>
        <w:rPr>
          <w:rFonts w:ascii="Calibri" w:hAnsi="Calibri"/>
          <w:b/>
          <w:color w:val="4F81BD"/>
          <w:sz w:val="26"/>
        </w:rPr>
        <w:t>Tips and things to watch out for</w:t>
      </w:r>
    </w:p>
    <w:p>
      <w:pPr>
        <w:pStyle w:val="ListBullet"/>
      </w:pPr>
      <w:r>
        <w:t>The lead form can link to an existing borrower or clear that link before saving.</w:t>
      </w:r>
    </w:p>
    <w:p>
      <w:pPr>
        <w:pStyle w:val="ListBullet"/>
      </w:pPr>
      <w:r>
        <w:t>The individual lead page and its New lead page are available from the leads workflow.</w:t>
      </w:r>
    </w:p>
    <w:p>
      <w:pPr>
        <w:pStyle w:val="Heading1"/>
        <w:spacing w:before="480" w:after="140"/>
      </w:pPr>
      <w:r>
        <w:rPr>
          <w:rFonts w:ascii="Calibri" w:hAnsi="Calibri"/>
          <w:b/>
          <w:color w:val="365F91"/>
          <w:sz w:val="28"/>
        </w:rPr>
        <w:t>Intake and CSA application processing</w:t>
      </w:r>
    </w:p>
    <w:p>
      <w:pPr>
        <w:pStyle w:val="Heading2"/>
        <w:spacing w:before="200" w:after="140"/>
      </w:pPr>
      <w:r>
        <w:rPr>
          <w:rFonts w:ascii="Calibri" w:hAnsi="Calibri"/>
          <w:b/>
          <w:color w:val="4F81BD"/>
          <w:sz w:val="26"/>
        </w:rPr>
        <w:t>What it is for</w:t>
      </w:r>
    </w:p>
    <w:p>
      <w:r>
        <w:t>Who uses this: Users with access to this work area. Lets Customer Service Associates create applications, complete intake checks, calculate terms, manage borrower communication, and send complete files to verification.</w:t>
      </w:r>
    </w:p>
    <w:p>
      <w:pPr>
        <w:pStyle w:val="Heading2"/>
        <w:spacing w:before="200" w:after="140"/>
      </w:pPr>
      <w:r>
        <w:rPr>
          <w:rFonts w:ascii="Calibri" w:hAnsi="Calibri"/>
          <w:b/>
          <w:color w:val="4F81BD"/>
          <w:sz w:val="26"/>
        </w:rPr>
        <w:t>Where to find it</w:t>
      </w:r>
    </w:p>
    <w:p>
      <w:r>
        <w:t>Open Intake. Use Intake list for applications, Leads list for qualified leads, and Application history for prior work.</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Intake. Use Intake list for applications, Leads list for qualified leads, and Application history for prior work.</w:t>
            </w:r>
          </w:p>
        </w:tc>
      </w:tr>
    </w:tbl>
    <w:p>
      <w:pPr>
        <w:pStyle w:val="Heading2"/>
        <w:spacing w:before="200" w:after="140"/>
      </w:pPr>
      <w:r>
        <w:rPr>
          <w:rFonts w:ascii="Calibri" w:hAnsi="Calibri"/>
          <w:b/>
          <w:color w:val="4F81BD"/>
          <w:sz w:val="26"/>
        </w:rPr>
        <w:t>Steps</w:t>
      </w:r>
    </w:p>
    <w:p>
      <w:pPr>
        <w:pStyle w:val="ListNumber"/>
      </w:pPr>
      <w:r>
        <w:t>Select New application or select Start application from an eligible lead.</w:t>
      </w:r>
    </w:p>
    <w:p>
      <w:pPr>
        <w:pStyle w:val="ListNumber"/>
      </w:pPr>
      <w:r>
        <w:t>Open an application and complete the application form, privacy orientation, initial interview, bank authorization, and checklist items shown for the file.</w:t>
      </w:r>
    </w:p>
    <w:p>
      <w:pPr>
        <w:pStyle w:val="ListNumber"/>
      </w:pPr>
      <w:r>
        <w:t>Use the computation panel to prepare or update the computation and record its required confirmation.</w:t>
      </w:r>
    </w:p>
    <w:p>
      <w:pPr>
        <w:pStyle w:val="ListNumber"/>
      </w:pPr>
      <w:r>
        <w:t>Use the negotiation panel to record an offer or borrower response, and use Change owner or Connect borrower account when those actions are available.</w:t>
      </w:r>
    </w:p>
    <w:p>
      <w:pPr>
        <w:pStyle w:val="ListNumber"/>
      </w:pPr>
      <w:r>
        <w:t>Record pass or fail for checks, then select Endorse to CIG when the application is ready for verification.</w:t>
      </w:r>
    </w:p>
    <w:p>
      <w:pPr>
        <w:pStyle w:val="Heading2"/>
        <w:spacing w:before="200" w:after="140"/>
      </w:pPr>
      <w:r>
        <w:rPr>
          <w:rFonts w:ascii="Calibri" w:hAnsi="Calibri"/>
          <w:b/>
          <w:color w:val="4F81BD"/>
          <w:sz w:val="26"/>
        </w:rPr>
        <w:t>Tips and things to watch out for</w:t>
      </w:r>
    </w:p>
    <w:p>
      <w:pPr>
        <w:pStyle w:val="ListBullet"/>
      </w:pPr>
      <w:r>
        <w:t>The CSA file can be put on hold and later cleared; it also supports recording a revision as complete.</w:t>
      </w:r>
    </w:p>
    <w:p>
      <w:pPr>
        <w:pStyle w:val="ListBullet"/>
      </w:pPr>
      <w:r>
        <w:t>The option to proceed without borrower signing is available only where the application workflow allows it.</w:t>
      </w:r>
    </w:p>
    <w:p>
      <w:pPr>
        <w:pStyle w:val="ListBullet"/>
      </w:pPr>
      <w:r>
        <w:t>Use Application history to find prior CSA actions rather than treating the active queue as the complete record.</w:t>
      </w:r>
    </w:p>
    <w:p>
      <w:pPr>
        <w:pStyle w:val="Heading1"/>
        <w:spacing w:before="480" w:after="140"/>
      </w:pPr>
      <w:r>
        <w:rPr>
          <w:rFonts w:ascii="Calibri" w:hAnsi="Calibri"/>
          <w:b/>
          <w:color w:val="365F91"/>
          <w:sz w:val="28"/>
        </w:rPr>
        <w:t>CSA computation calculator and origination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build the application computation, test eligible schedules, show the borrower the breakdown, and apply an origination interest discount before endorsement.</w:t>
      </w:r>
    </w:p>
    <w:p>
      <w:pPr>
        <w:pStyle w:val="Heading2"/>
        <w:spacing w:before="200" w:after="140"/>
      </w:pPr>
      <w:r>
        <w:rPr>
          <w:rFonts w:ascii="Calibri" w:hAnsi="Calibri"/>
          <w:b/>
          <w:color w:val="4F81BD"/>
          <w:sz w:val="26"/>
        </w:rPr>
        <w:t>Where to find it</w:t>
      </w:r>
    </w:p>
    <w:p>
      <w:r>
        <w:t>Open an application from Intake list and scroll to Computation.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application from Intake list and scroll to Computation.</w:t>
            </w:r>
          </w:p>
        </w:tc>
      </w:tr>
    </w:tbl>
    <w:p>
      <w:pPr>
        <w:pStyle w:val="Heading2"/>
        <w:spacing w:before="200" w:after="140"/>
      </w:pPr>
      <w:r>
        <w:rPr>
          <w:rFonts w:ascii="Calibri" w:hAnsi="Calibri"/>
          <w:b/>
          <w:color w:val="4F81BD"/>
          <w:sz w:val="26"/>
        </w:rPr>
        <w:t>Steps</w:t>
      </w:r>
    </w:p>
    <w:p>
      <w:pPr>
        <w:pStyle w:val="ListNumber"/>
      </w:pPr>
      <w:r>
        <w:t>Select the loan type and confirm the visible interest, processing fee, admin fee, and chattel mortgage fee fields.</w:t>
      </w:r>
    </w:p>
    <w:p>
      <w:pPr>
        <w:pStyle w:val="ListNumber"/>
      </w:pPr>
      <w:r>
        <w:t>Choose the input mode, loan schedule, amount, terms, and add-on months, then select Compute or Recalculate.</w:t>
      </w:r>
    </w:p>
    <w:p>
      <w:pPr>
        <w:pStyle w:val="ListNumber"/>
      </w:pPr>
      <w:r>
        <w:t>Review the calculation breakdown for principal, fees, deductions, net released amount, total interest, total loan, and scheduled amortization.</w:t>
      </w:r>
    </w:p>
    <w:p>
      <w:pPr>
        <w:pStyle w:val="ListNumber"/>
      </w:pPr>
      <w:r>
        <w:t>Select Select discount or Edit discount under Origination discount.</w:t>
      </w:r>
    </w:p>
    <w:p>
      <w:pPr>
        <w:pStyle w:val="ListNumber"/>
      </w:pPr>
      <w:r>
        <w:t>Tick eligible installments, enter the permitted percentage for each selected installment, review the total interest discount, and apply it.</w:t>
      </w:r>
    </w:p>
    <w:p>
      <w:pPr>
        <w:pStyle w:val="ListNumber"/>
      </w:pPr>
      <w:r>
        <w:t>Use Full breakdown only as a supporting view; complete the normal computation review before sending the file forward.</w:t>
      </w:r>
    </w:p>
    <w:p>
      <w:pPr>
        <w:pStyle w:val="Heading2"/>
        <w:spacing w:before="200" w:after="140"/>
      </w:pPr>
      <w:r>
        <w:rPr>
          <w:rFonts w:ascii="Calibri" w:hAnsi="Calibri"/>
          <w:b/>
          <w:color w:val="4F81BD"/>
          <w:sz w:val="26"/>
        </w:rPr>
        <w:t>Tips and things to watch out for</w:t>
      </w:r>
    </w:p>
    <w:p>
      <w:pPr>
        <w:pStyle w:val="ListBullet"/>
      </w:pPr>
      <w:r>
        <w:t>A computation cannot be prepared until the initial interview is recorded.</w:t>
      </w:r>
    </w:p>
    <w:p>
      <w:pPr>
        <w:pStyle w:val="ListBullet"/>
      </w:pPr>
      <w:r>
        <w:t>The schedule message explains special schedule constraints, including terms that must be divisible by the schedule interval.</w:t>
      </w:r>
    </w:p>
    <w:p>
      <w:pPr>
        <w:pStyle w:val="ListBullet"/>
      </w:pPr>
      <w:r>
        <w:t>The computation becomes locked after the file is endorsed.</w:t>
      </w:r>
    </w:p>
    <w:p>
      <w:pPr>
        <w:pStyle w:val="ListBullet"/>
      </w:pPr>
      <w:r>
        <w:t>The borrower must sign the required computation before normal endorsement; use the visible exception flow only when policy permits.</w:t>
      </w:r>
    </w:p>
    <w:p>
      <w:pPr>
        <w:pStyle w:val="Heading1"/>
        <w:spacing w:before="480" w:after="140"/>
      </w:pPr>
      <w:r>
        <w:rPr>
          <w:rFonts w:ascii="Calibri" w:hAnsi="Calibri"/>
          <w:b/>
          <w:color w:val="365F91"/>
          <w:sz w:val="28"/>
        </w:rPr>
        <w:t>CSA settlement deductions and early settlement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include a full settlement of another active loan in a new computation and apply the allowed early settlement interest discount.</w:t>
      </w:r>
    </w:p>
    <w:p>
      <w:pPr>
        <w:pStyle w:val="Heading2"/>
        <w:spacing w:before="200" w:after="140"/>
      </w:pPr>
      <w:r>
        <w:rPr>
          <w:rFonts w:ascii="Calibri" w:hAnsi="Calibri"/>
          <w:b/>
          <w:color w:val="4F81BD"/>
          <w:sz w:val="26"/>
        </w:rPr>
        <w:t>Where to find it</w:t>
      </w:r>
    </w:p>
    <w:p>
      <w:r>
        <w:t>In Computation, open Other deductions and use Offset full settlement.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In Computation, open Other deductions and use Offset full settlement.</w:t>
            </w:r>
          </w:p>
        </w:tc>
      </w:tr>
    </w:tbl>
    <w:p>
      <w:pPr>
        <w:pStyle w:val="Heading2"/>
        <w:spacing w:before="200" w:after="140"/>
      </w:pPr>
      <w:r>
        <w:rPr>
          <w:rFonts w:ascii="Calibri" w:hAnsi="Calibri"/>
          <w:b/>
          <w:color w:val="4F81BD"/>
          <w:sz w:val="26"/>
        </w:rPr>
        <w:t>Steps</w:t>
      </w:r>
    </w:p>
    <w:p>
      <w:pPr>
        <w:pStyle w:val="ListNumber"/>
      </w:pPr>
      <w:r>
        <w:t>Select the target active loan for Offset full settlement.</w:t>
      </w:r>
    </w:p>
    <w:p>
      <w:pPr>
        <w:pStyle w:val="ListNumber"/>
      </w:pPr>
      <w:r>
        <w:t>Review the auto-filled remaining balance and change it only when the application allows it.</w:t>
      </w:r>
    </w:p>
    <w:p>
      <w:pPr>
        <w:pStyle w:val="ListNumber"/>
      </w:pPr>
      <w:r>
        <w:t>Select Apply early settlement discount.</w:t>
      </w:r>
    </w:p>
    <w:p>
      <w:pPr>
        <w:pStyle w:val="ListNumber"/>
      </w:pPr>
      <w:r>
        <w:t>Tick future installments only, set the permitted percentage for each, and review the gross interest, termination fee, and net discount.</w:t>
      </w:r>
    </w:p>
    <w:p>
      <w:pPr>
        <w:pStyle w:val="ListNumber"/>
      </w:pPr>
      <w:r>
        <w:t>Apply the discount, then recalculate and review the revised deduction and net release figures.</w:t>
      </w:r>
    </w:p>
    <w:p>
      <w:pPr>
        <w:pStyle w:val="Heading2"/>
        <w:spacing w:before="200" w:after="140"/>
      </w:pPr>
      <w:r>
        <w:rPr>
          <w:rFonts w:ascii="Calibri" w:hAnsi="Calibri"/>
          <w:b/>
          <w:color w:val="4F81BD"/>
          <w:sz w:val="26"/>
        </w:rPr>
        <w:t>Tips and things to watch out for</w:t>
      </w:r>
    </w:p>
    <w:p>
      <w:pPr>
        <w:pStyle w:val="ListBullet"/>
      </w:pPr>
      <w:r>
        <w:t>Due and past installments are not eligible for the early settlement discount.</w:t>
      </w:r>
    </w:p>
    <w:p>
      <w:pPr>
        <w:pStyle w:val="ListBullet"/>
      </w:pPr>
      <w:r>
        <w:t>The displayed net discount is the selected future interest less one month of interest shown as the termination fee.</w:t>
      </w:r>
    </w:p>
    <w:p>
      <w:pPr>
        <w:pStyle w:val="ListBullet"/>
      </w:pPr>
      <w:r>
        <w:t>The partial-payment tool does not close the other loan and does not apply a discount.</w:t>
      </w:r>
    </w:p>
    <w:p>
      <w:pPr>
        <w:pStyle w:val="Heading1"/>
        <w:spacing w:before="480" w:after="140"/>
      </w:pPr>
      <w:r>
        <w:rPr>
          <w:rFonts w:ascii="Calibri" w:hAnsi="Calibri"/>
          <w:b/>
          <w:color w:val="365F91"/>
          <w:sz w:val="28"/>
        </w:rPr>
        <w:t>Verification and CIG review</w:t>
      </w:r>
    </w:p>
    <w:p>
      <w:pPr>
        <w:pStyle w:val="Heading2"/>
        <w:spacing w:before="200" w:after="140"/>
      </w:pPr>
      <w:r>
        <w:rPr>
          <w:rFonts w:ascii="Calibri" w:hAnsi="Calibri"/>
          <w:b/>
          <w:color w:val="4F81BD"/>
          <w:sz w:val="26"/>
        </w:rPr>
        <w:t>What it is for</w:t>
      </w:r>
    </w:p>
    <w:p>
      <w:r>
        <w:t>Who uses this: Users with access to this work area. Lets Credit Investigation Group staff verify an endorsed application, collect supporting findings, and forward or return the file.</w:t>
      </w:r>
    </w:p>
    <w:p>
      <w:pPr>
        <w:pStyle w:val="Heading2"/>
        <w:spacing w:before="200" w:after="140"/>
      </w:pPr>
      <w:r>
        <w:rPr>
          <w:rFonts w:ascii="Calibri" w:hAnsi="Calibri"/>
          <w:b/>
          <w:color w:val="4F81BD"/>
          <w:sz w:val="26"/>
        </w:rPr>
        <w:t>Where to find it</w:t>
      </w:r>
    </w:p>
    <w:p>
      <w:r>
        <w:t>Open Verification. Use Verification queue for active work, Denial calls for borrower notification, Scheduled callbacks for follow-up, and History for completed actions.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Verification. Use Verification queue for active work, Denial calls for borrower notification, Scheduled callbacks for follow-up, and History for completed actions.</w:t>
            </w:r>
          </w:p>
        </w:tc>
      </w:tr>
    </w:tbl>
    <w:p>
      <w:pPr>
        <w:pStyle w:val="Heading2"/>
        <w:spacing w:before="200" w:after="140"/>
      </w:pPr>
      <w:r>
        <w:rPr>
          <w:rFonts w:ascii="Calibri" w:hAnsi="Calibri"/>
          <w:b/>
          <w:color w:val="4F81BD"/>
          <w:sz w:val="26"/>
        </w:rPr>
        <w:t>Steps</w:t>
      </w:r>
    </w:p>
    <w:p>
      <w:pPr>
        <w:pStyle w:val="ListNumber"/>
      </w:pPr>
      <w:r>
        <w:t>Select Verify on an application in the verification queue.</w:t>
      </w:r>
    </w:p>
    <w:p>
      <w:pPr>
        <w:pStyle w:val="ListNumber"/>
      </w:pPr>
      <w:r>
        <w:t>Review the application form and record the available borrower, employment, reference, field visit, crewing manager, and inspection findings.</w:t>
      </w:r>
    </w:p>
    <w:p>
      <w:pPr>
        <w:pStyle w:val="ListNumber"/>
      </w:pPr>
      <w:r>
        <w:t>Record pass or fail on the visible checks and save each finding.</w:t>
      </w:r>
    </w:p>
    <w:p>
      <w:pPr>
        <w:pStyle w:val="ListNumber"/>
      </w:pPr>
      <w:r>
        <w:t>Select Return to CSA when a correction is needed, or select Revision complete after the correction is confirmed.</w:t>
      </w:r>
    </w:p>
    <w:p>
      <w:pPr>
        <w:pStyle w:val="ListNumber"/>
      </w:pPr>
      <w:r>
        <w:t>Select Submit CI report to Committee when the verification work is complete.</w:t>
      </w:r>
    </w:p>
    <w:p>
      <w:pPr>
        <w:pStyle w:val="Heading2"/>
        <w:spacing w:before="200" w:after="140"/>
      </w:pPr>
      <w:r>
        <w:rPr>
          <w:rFonts w:ascii="Calibri" w:hAnsi="Calibri"/>
          <w:b/>
          <w:color w:val="4F81BD"/>
          <w:sz w:val="26"/>
        </w:rPr>
        <w:t>Tips and things to watch out for</w:t>
      </w:r>
    </w:p>
    <w:p>
      <w:pPr>
        <w:pStyle w:val="ListBullet"/>
      </w:pPr>
      <w:r>
        <w:t>The verification file includes forms for CI and references, field visit, crewing manager inspection, REM inspection, and SME reloan verification when applicable.</w:t>
      </w:r>
    </w:p>
    <w:p>
      <w:pPr>
        <w:pStyle w:val="ListBullet"/>
      </w:pPr>
      <w:r>
        <w:t>Use Denial calls to record Borrower informed and Callbacks to mark a scheduled callback resolved.</w:t>
      </w:r>
    </w:p>
    <w:p>
      <w:pPr>
        <w:pStyle w:val="ListBullet"/>
      </w:pPr>
      <w:r>
        <w:t>An application can be cancelled from the verification file when that action is available.</w:t>
      </w:r>
    </w:p>
    <w:p>
      <w:pPr>
        <w:pStyle w:val="Heading1"/>
        <w:spacing w:before="480" w:after="140"/>
      </w:pPr>
      <w:r>
        <w:rPr>
          <w:rFonts w:ascii="Calibri" w:hAnsi="Calibri"/>
          <w:b/>
          <w:color w:val="365F91"/>
          <w:sz w:val="28"/>
        </w:rPr>
        <w:t>Committee review and decisions</w:t>
      </w:r>
    </w:p>
    <w:p>
      <w:pPr>
        <w:pStyle w:val="Heading2"/>
        <w:spacing w:before="200" w:after="140"/>
      </w:pPr>
      <w:r>
        <w:rPr>
          <w:rFonts w:ascii="Calibri" w:hAnsi="Calibri"/>
          <w:b/>
          <w:color w:val="4F81BD"/>
          <w:sz w:val="26"/>
        </w:rPr>
        <w:t>What it is for</w:t>
      </w:r>
    </w:p>
    <w:p>
      <w:r>
        <w:t>Who uses this: Users with access to this work area. Lets authorized committee members review evidence, vote, negotiate an offer, place a file on hold, and record the final decision.</w:t>
      </w:r>
    </w:p>
    <w:p>
      <w:pPr>
        <w:pStyle w:val="Heading2"/>
        <w:spacing w:before="200" w:after="140"/>
      </w:pPr>
      <w:r>
        <w:rPr>
          <w:rFonts w:ascii="Calibri" w:hAnsi="Calibri"/>
          <w:b/>
          <w:color w:val="4F81BD"/>
          <w:sz w:val="26"/>
        </w:rPr>
        <w:t>Where to find it</w:t>
      </w:r>
    </w:p>
    <w:p>
      <w:r>
        <w:t>Open Committee, then choose Voting queue or Decision history.</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Committee, then choose Voting queue or Decision history.</w:t>
            </w:r>
          </w:p>
        </w:tc>
      </w:tr>
    </w:tbl>
    <w:p>
      <w:pPr>
        <w:pStyle w:val="Heading2"/>
        <w:spacing w:before="200" w:after="140"/>
      </w:pPr>
      <w:r>
        <w:rPr>
          <w:rFonts w:ascii="Calibri" w:hAnsi="Calibri"/>
          <w:b/>
          <w:color w:val="4F81BD"/>
          <w:sz w:val="26"/>
        </w:rPr>
        <w:t>Steps</w:t>
      </w:r>
    </w:p>
    <w:p>
      <w:pPr>
        <w:pStyle w:val="ListNumber"/>
      </w:pPr>
      <w:r>
        <w:t>Select Review for an application in the voting queue.</w:t>
      </w:r>
    </w:p>
    <w:p>
      <w:pPr>
        <w:pStyle w:val="ListNumber"/>
      </w:pPr>
      <w:r>
        <w:t>Review the application form and the available field visit, CI and references, crewing manager, and REM inspection records.</w:t>
      </w:r>
    </w:p>
    <w:p>
      <w:pPr>
        <w:pStyle w:val="ListNumber"/>
      </w:pPr>
      <w:r>
        <w:t>Use Vote Approve or Vote Deny to record your vote.</w:t>
      </w:r>
    </w:p>
    <w:p>
      <w:pPr>
        <w:pStyle w:val="ListNumber"/>
      </w:pPr>
      <w:r>
        <w:t>When a borrower counteroffer is shown, select Accept with the displayed amount if it is accepted.</w:t>
      </w:r>
    </w:p>
    <w:p>
      <w:pPr>
        <w:pStyle w:val="ListNumber"/>
      </w:pPr>
      <w:r>
        <w:t>Use Approve loan, Deny loan, Hold, Clear hold, or Approve without borrower sign as allowed by the file status.</w:t>
      </w:r>
    </w:p>
    <w:p>
      <w:pPr>
        <w:pStyle w:val="Heading2"/>
        <w:spacing w:before="200" w:after="140"/>
      </w:pPr>
      <w:r>
        <w:rPr>
          <w:rFonts w:ascii="Calibri" w:hAnsi="Calibri"/>
          <w:b/>
          <w:color w:val="4F81BD"/>
          <w:sz w:val="26"/>
        </w:rPr>
        <w:t>Tips and things to watch out for</w:t>
      </w:r>
    </w:p>
    <w:p>
      <w:pPr>
        <w:pStyle w:val="ListBullet"/>
      </w:pPr>
      <w:r>
        <w:t>A decision email can be resent from the application when the action is shown.</w:t>
      </w:r>
    </w:p>
    <w:p>
      <w:pPr>
        <w:pStyle w:val="ListBullet"/>
      </w:pPr>
      <w:r>
        <w:t>Use Decision history to locate earlier committee decisions.</w:t>
      </w:r>
    </w:p>
    <w:p>
      <w:pPr>
        <w:pStyle w:val="ListBullet"/>
      </w:pPr>
      <w:r>
        <w:t>Hold and clear-hold actions are recorded separately from the final approval or denial action.</w:t>
      </w:r>
    </w:p>
    <w:p>
      <w:pPr>
        <w:pStyle w:val="Heading1"/>
        <w:spacing w:before="480" w:after="140"/>
      </w:pPr>
      <w:r>
        <w:rPr>
          <w:rFonts w:ascii="Calibri" w:hAnsi="Calibri"/>
          <w:b/>
          <w:color w:val="365F91"/>
          <w:sz w:val="28"/>
        </w:rPr>
        <w:t>Committee offers counteroffers and approved computation</w:t>
      </w:r>
    </w:p>
    <w:p>
      <w:pPr>
        <w:pStyle w:val="Heading2"/>
        <w:spacing w:before="200" w:after="140"/>
      </w:pPr>
      <w:r>
        <w:rPr>
          <w:rFonts w:ascii="Calibri" w:hAnsi="Calibri"/>
          <w:b/>
          <w:color w:val="4F81BD"/>
          <w:sz w:val="26"/>
        </w:rPr>
        <w:t>What it is for</w:t>
      </w:r>
    </w:p>
    <w:p>
      <w:r>
        <w:t>Who uses this: Users with access to this work area. Lets committee members use the calculation and borrower negotiation information when deciding whether to approve, deny, hold, or accept a counteroffer.</w:t>
      </w:r>
    </w:p>
    <w:p>
      <w:pPr>
        <w:pStyle w:val="Heading2"/>
        <w:spacing w:before="200" w:after="140"/>
      </w:pPr>
      <w:r>
        <w:rPr>
          <w:rFonts w:ascii="Calibri" w:hAnsi="Calibri"/>
          <w:b/>
          <w:color w:val="4F81BD"/>
          <w:sz w:val="26"/>
        </w:rPr>
        <w:t>Where to find it</w:t>
      </w:r>
    </w:p>
    <w:p>
      <w:r>
        <w:t>Open an item from Committee Voting queue and review the application detail.</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item from Committee Voting queue and review the application detail.</w:t>
            </w:r>
          </w:p>
        </w:tc>
      </w:tr>
    </w:tbl>
    <w:p>
      <w:pPr>
        <w:pStyle w:val="Heading2"/>
        <w:spacing w:before="200" w:after="140"/>
      </w:pPr>
      <w:r>
        <w:rPr>
          <w:rFonts w:ascii="Calibri" w:hAnsi="Calibri"/>
          <w:b/>
          <w:color w:val="4F81BD"/>
          <w:sz w:val="26"/>
        </w:rPr>
        <w:t>Steps</w:t>
      </w:r>
    </w:p>
    <w:p>
      <w:pPr>
        <w:pStyle w:val="ListNumber"/>
      </w:pPr>
      <w:r>
        <w:t>Review the visible computation, application evidence, and verification forms before voting.</w:t>
      </w:r>
    </w:p>
    <w:p>
      <w:pPr>
        <w:pStyle w:val="ListNumber"/>
      </w:pPr>
      <w:r>
        <w:t>Record Vote Approve or Vote Deny as your committee vote.</w:t>
      </w:r>
    </w:p>
    <w:p>
      <w:pPr>
        <w:pStyle w:val="ListNumber"/>
      </w:pPr>
      <w:r>
        <w:t>When a borrower counteroffer is displayed, compare the shown amount with the approved terms.</w:t>
      </w:r>
    </w:p>
    <w:p>
      <w:pPr>
        <w:pStyle w:val="ListNumber"/>
      </w:pPr>
      <w:r>
        <w:t>Select Accept followed by the displayed counteroffer amount only when the committee accepts it.</w:t>
      </w:r>
    </w:p>
    <w:p>
      <w:pPr>
        <w:pStyle w:val="ListNumber"/>
      </w:pPr>
      <w:r>
        <w:t>Use Approve loan, Deny loan, Hold, or Clear hold according to the decision state shown by the file.</w:t>
      </w:r>
    </w:p>
    <w:p>
      <w:pPr>
        <w:pStyle w:val="Heading2"/>
        <w:spacing w:before="200" w:after="140"/>
      </w:pPr>
      <w:r>
        <w:rPr>
          <w:rFonts w:ascii="Calibri" w:hAnsi="Calibri"/>
          <w:b/>
          <w:color w:val="4F81BD"/>
          <w:sz w:val="26"/>
        </w:rPr>
        <w:t>Tips and things to watch out for</w:t>
      </w:r>
    </w:p>
    <w:p>
      <w:pPr>
        <w:pStyle w:val="ListBullet"/>
      </w:pPr>
      <w:r>
        <w:t>The committee page is a decision workspace; it does not expose CSA calculator controls for changing the fee, rate, schedule, or discount.</w:t>
      </w:r>
    </w:p>
    <w:p>
      <w:pPr>
        <w:pStyle w:val="ListBullet"/>
      </w:pPr>
      <w:r>
        <w:t>Use the approved computation shown on the application as the decision reference; a revised amount follows the negotiation flow rather than an undocumented manual calculation.</w:t>
      </w:r>
    </w:p>
    <w:p>
      <w:pPr>
        <w:pStyle w:val="ListBullet"/>
      </w:pPr>
      <w:r>
        <w:t>A borrower may have to confirm or sign the resulting computation depending on the application state.</w:t>
      </w:r>
    </w:p>
    <w:p>
      <w:pPr>
        <w:pStyle w:val="Heading1"/>
        <w:spacing w:before="480" w:after="140"/>
      </w:pPr>
      <w:r>
        <w:rPr>
          <w:rFonts w:ascii="Calibri" w:hAnsi="Calibri"/>
          <w:b/>
          <w:color w:val="365F91"/>
          <w:sz w:val="28"/>
        </w:rPr>
        <w:t>Release and LRA processing</w:t>
      </w:r>
    </w:p>
    <w:p>
      <w:pPr>
        <w:pStyle w:val="Heading2"/>
        <w:spacing w:before="200" w:after="140"/>
      </w:pPr>
      <w:r>
        <w:rPr>
          <w:rFonts w:ascii="Calibri" w:hAnsi="Calibri"/>
          <w:b/>
          <w:color w:val="4F81BD"/>
          <w:sz w:val="26"/>
        </w:rPr>
        <w:t>What it is for</w:t>
      </w:r>
    </w:p>
    <w:p>
      <w:r>
        <w:t>Who uses this: Users with access to this work area. Lets Loan Release Associates turn an approved file into a released and closed loan with generated documents, signatures, schedules, and release records.</w:t>
      </w:r>
    </w:p>
    <w:p>
      <w:pPr>
        <w:pStyle w:val="Heading2"/>
        <w:spacing w:before="200" w:after="140"/>
      </w:pPr>
      <w:r>
        <w:rPr>
          <w:rFonts w:ascii="Calibri" w:hAnsi="Calibri"/>
          <w:b/>
          <w:color w:val="4F81BD"/>
          <w:sz w:val="26"/>
        </w:rPr>
        <w:t>Where to find it</w:t>
      </w:r>
    </w:p>
    <w:p>
      <w:r>
        <w:t>Open Release LRA. Use Release queue for active files and Released loans for history.</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Release LRA. Use Release queue for active files and Released loans for history.</w:t>
            </w:r>
          </w:p>
        </w:tc>
      </w:tr>
    </w:tbl>
    <w:p>
      <w:pPr>
        <w:pStyle w:val="Heading2"/>
        <w:spacing w:before="200" w:after="140"/>
      </w:pPr>
      <w:r>
        <w:rPr>
          <w:rFonts w:ascii="Calibri" w:hAnsi="Calibri"/>
          <w:b/>
          <w:color w:val="4F81BD"/>
          <w:sz w:val="26"/>
        </w:rPr>
        <w:t>Steps</w:t>
      </w:r>
    </w:p>
    <w:p>
      <w:pPr>
        <w:pStyle w:val="ListNumber"/>
      </w:pPr>
      <w:r>
        <w:t>Open a queue item and select Start processing.</w:t>
      </w:r>
    </w:p>
    <w:p>
      <w:pPr>
        <w:pStyle w:val="ListNumber"/>
      </w:pPr>
      <w:r>
        <w:t>Save the release path and build or rebuild the payment schedule when required.</w:t>
      </w:r>
    </w:p>
    <w:p>
      <w:pPr>
        <w:pStyle w:val="ListNumber"/>
      </w:pPr>
      <w:r>
        <w:t>Save the PDC schedule, choose documents to generate, and generate the selected documents.</w:t>
      </w:r>
    </w:p>
    <w:p>
      <w:pPr>
        <w:pStyle w:val="ListNumber"/>
      </w:pPr>
      <w:r>
        <w:t>Mark individual documents signed or use Mark all signed, then upload signed documents when required.</w:t>
      </w:r>
    </w:p>
    <w:p>
      <w:pPr>
        <w:pStyle w:val="ListNumber"/>
      </w:pPr>
      <w:r>
        <w:t>Confirm physical PDCs collected, record release, and close the file when all required work is complete.</w:t>
      </w:r>
    </w:p>
    <w:p>
      <w:pPr>
        <w:pStyle w:val="Heading2"/>
        <w:spacing w:before="200" w:after="140"/>
      </w:pPr>
      <w:r>
        <w:rPr>
          <w:rFonts w:ascii="Calibri" w:hAnsi="Calibri"/>
          <w:b/>
          <w:color w:val="4F81BD"/>
          <w:sz w:val="26"/>
        </w:rPr>
        <w:t>Tips and things to watch out for</w:t>
      </w:r>
    </w:p>
    <w:p>
      <w:pPr>
        <w:pStyle w:val="ListBullet"/>
      </w:pPr>
      <w:r>
        <w:t>The release file supports viewing generated documents and uploading a combined signed-document file.</w:t>
      </w:r>
    </w:p>
    <w:p>
      <w:pPr>
        <w:pStyle w:val="ListBullet"/>
      </w:pPr>
      <w:r>
        <w:t>The document picker, checklist, final computation sheet, and acknowledgement receipt are available through the release workflow when applicable.</w:t>
      </w:r>
    </w:p>
    <w:p>
      <w:pPr>
        <w:pStyle w:val="ListBullet"/>
      </w:pPr>
      <w:r>
        <w:t>Use Released loans to review completed releases.</w:t>
      </w:r>
    </w:p>
    <w:p>
      <w:pPr>
        <w:pStyle w:val="Heading1"/>
        <w:spacing w:before="480" w:after="140"/>
      </w:pPr>
      <w:r>
        <w:rPr>
          <w:rFonts w:ascii="Calibri" w:hAnsi="Calibri"/>
          <w:b/>
          <w:color w:val="365F91"/>
          <w:sz w:val="28"/>
        </w:rPr>
        <w:t>Collections accounts and borrower contact</w:t>
      </w:r>
    </w:p>
    <w:p>
      <w:pPr>
        <w:pStyle w:val="Heading2"/>
        <w:spacing w:before="200" w:after="140"/>
      </w:pPr>
      <w:r>
        <w:rPr>
          <w:rFonts w:ascii="Calibri" w:hAnsi="Calibri"/>
          <w:b/>
          <w:color w:val="4F81BD"/>
          <w:sz w:val="26"/>
        </w:rPr>
        <w:t>What it is for</w:t>
      </w:r>
    </w:p>
    <w:p>
      <w:r>
        <w:t>Who uses this: Users with access to this work area. Lets collection staff prioritize active accounts, review the loan file, make contact notes, request demand letters, record payments, and offer a move of payment.</w:t>
      </w:r>
    </w:p>
    <w:p>
      <w:pPr>
        <w:pStyle w:val="Heading2"/>
        <w:spacing w:before="200" w:after="140"/>
      </w:pPr>
      <w:r>
        <w:rPr>
          <w:rFonts w:ascii="Calibri" w:hAnsi="Calibri"/>
          <w:b/>
          <w:color w:val="4F81BD"/>
          <w:sz w:val="26"/>
        </w:rPr>
        <w:t>Where to find it</w:t>
      </w:r>
    </w:p>
    <w:p>
      <w:r>
        <w:t>Open Collection, then choose Accounts or a dashboard link.</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then choose Accounts or a dashboard link.</w:t>
            </w:r>
          </w:p>
        </w:tc>
      </w:tr>
    </w:tbl>
    <w:p>
      <w:pPr>
        <w:pStyle w:val="Heading2"/>
        <w:spacing w:before="200" w:after="140"/>
      </w:pPr>
      <w:r>
        <w:rPr>
          <w:rFonts w:ascii="Calibri" w:hAnsi="Calibri"/>
          <w:b/>
          <w:color w:val="4F81BD"/>
          <w:sz w:val="26"/>
        </w:rPr>
        <w:t>Steps</w:t>
      </w:r>
    </w:p>
    <w:p>
      <w:pPr>
        <w:pStyle w:val="ListNumber"/>
      </w:pPr>
      <w:r>
        <w:t>Use the account queue filters for aging, segment, date, and search to find an account.</w:t>
      </w:r>
    </w:p>
    <w:p>
      <w:pPr>
        <w:pStyle w:val="ListNumber"/>
      </w:pPr>
      <w:r>
        <w:t>Open the loan file or case file to review the account details and checklist.</w:t>
      </w:r>
    </w:p>
    <w:p>
      <w:pPr>
        <w:pStyle w:val="ListNumber"/>
      </w:pPr>
      <w:r>
        <w:t>Select Log contact to record contact activity.</w:t>
      </w:r>
    </w:p>
    <w:p>
      <w:pPr>
        <w:pStyle w:val="ListNumber"/>
      </w:pPr>
      <w:r>
        <w:t>Select Demand letter when the account requires one.</w:t>
      </w:r>
    </w:p>
    <w:p>
      <w:pPr>
        <w:pStyle w:val="ListNumber"/>
      </w:pPr>
      <w:r>
        <w:t>Select Record payment to enter a payment, or Move of payment to prepare a permitted rescheduling offer.</w:t>
      </w:r>
    </w:p>
    <w:p>
      <w:pPr>
        <w:pStyle w:val="Heading2"/>
        <w:spacing w:before="200" w:after="140"/>
      </w:pPr>
      <w:r>
        <w:rPr>
          <w:rFonts w:ascii="Calibri" w:hAnsi="Calibri"/>
          <w:b/>
          <w:color w:val="4F81BD"/>
          <w:sz w:val="26"/>
        </w:rPr>
        <w:t>Tips and things to watch out for</w:t>
      </w:r>
    </w:p>
    <w:p>
      <w:pPr>
        <w:pStyle w:val="ListBullet"/>
      </w:pPr>
      <w:r>
        <w:t>The move-of-payment screen supports recording a surcharge and replacement check before offering the change.</w:t>
      </w:r>
    </w:p>
    <w:p>
      <w:pPr>
        <w:pStyle w:val="ListBullet"/>
      </w:pPr>
      <w:r>
        <w:t>The Collector dashboard can send reminders and links to the DCRR work area.</w:t>
      </w:r>
    </w:p>
    <w:p>
      <w:pPr>
        <w:pStyle w:val="ListBullet"/>
      </w:pPr>
      <w:r>
        <w:t>Closed accounts and collector history provide separate review screens for past work.</w:t>
      </w:r>
    </w:p>
    <w:p>
      <w:pPr>
        <w:pStyle w:val="Heading1"/>
        <w:spacing w:before="480" w:after="140"/>
      </w:pPr>
      <w:r>
        <w:rPr>
          <w:rFonts w:ascii="Calibri" w:hAnsi="Calibri"/>
          <w:b/>
          <w:color w:val="365F91"/>
          <w:sz w:val="28"/>
        </w:rPr>
        <w:t>Collector payment discounts and move of payment calculator</w:t>
      </w:r>
    </w:p>
    <w:p>
      <w:pPr>
        <w:pStyle w:val="Heading2"/>
        <w:spacing w:before="200" w:after="140"/>
      </w:pPr>
      <w:r>
        <w:rPr>
          <w:rFonts w:ascii="Calibri" w:hAnsi="Calibri"/>
          <w:b/>
          <w:color w:val="4F81BD"/>
          <w:sz w:val="26"/>
        </w:rPr>
        <w:t>What it is for</w:t>
      </w:r>
    </w:p>
    <w:p>
      <w:r>
        <w:t>Who uses this: Users with access to this work area. Lets collection staff calculate and document payment treatment for an active account, including permitted discount, surcharge, replacement-check, and move-of-payment choices.</w:t>
      </w:r>
    </w:p>
    <w:p>
      <w:pPr>
        <w:pStyle w:val="Heading2"/>
        <w:spacing w:before="200" w:after="140"/>
      </w:pPr>
      <w:r>
        <w:rPr>
          <w:rFonts w:ascii="Calibri" w:hAnsi="Calibri"/>
          <w:b/>
          <w:color w:val="4F81BD"/>
          <w:sz w:val="26"/>
        </w:rPr>
        <w:t>Where to find it</w:t>
      </w:r>
    </w:p>
    <w:p>
      <w:r>
        <w:t>Open Collection Accounts, choose an account, then select Record payment or Move of payment.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Accounts, choose an account, then select Record payment or Move of payment.</w:t>
            </w:r>
          </w:p>
        </w:tc>
      </w:tr>
    </w:tbl>
    <w:p>
      <w:pPr>
        <w:pStyle w:val="Heading2"/>
        <w:spacing w:before="200" w:after="140"/>
      </w:pPr>
      <w:r>
        <w:rPr>
          <w:rFonts w:ascii="Calibri" w:hAnsi="Calibri"/>
          <w:b/>
          <w:color w:val="4F81BD"/>
          <w:sz w:val="26"/>
        </w:rPr>
        <w:t>Steps</w:t>
      </w:r>
    </w:p>
    <w:p>
      <w:pPr>
        <w:pStyle w:val="ListNumber"/>
      </w:pPr>
      <w:r>
        <w:t>Open the loan file first and review the account ledger and the current amount due.</w:t>
      </w:r>
    </w:p>
    <w:p>
      <w:pPr>
        <w:pStyle w:val="ListNumber"/>
      </w:pPr>
      <w:r>
        <w:t>Select Record payment to enter the received amount and the payment details required by the form.</w:t>
      </w:r>
    </w:p>
    <w:p>
      <w:pPr>
        <w:pStyle w:val="ListNumber"/>
      </w:pPr>
      <w:r>
        <w:t>Where the payment form shows an authorized discount or penalty waiver, enter the reason and review the resulting balance before saving.</w:t>
      </w:r>
    </w:p>
    <w:p>
      <w:pPr>
        <w:pStyle w:val="ListNumber"/>
      </w:pPr>
      <w:r>
        <w:t>For a schedule change, select Move of payment and review the proposed schedule and any surcharge.</w:t>
      </w:r>
    </w:p>
    <w:p>
      <w:pPr>
        <w:pStyle w:val="ListNumber"/>
      </w:pPr>
      <w:r>
        <w:t>Record a replacement check when required, then select Offer Move of Payment only after the form confirms the offer can be made.</w:t>
      </w:r>
    </w:p>
    <w:p>
      <w:pPr>
        <w:pStyle w:val="Heading2"/>
        <w:spacing w:before="200" w:after="140"/>
      </w:pPr>
      <w:r>
        <w:rPr>
          <w:rFonts w:ascii="Calibri" w:hAnsi="Calibri"/>
          <w:b/>
          <w:color w:val="4F81BD"/>
          <w:sz w:val="26"/>
        </w:rPr>
        <w:t>Tips and things to watch out for</w:t>
      </w:r>
    </w:p>
    <w:p>
      <w:pPr>
        <w:pStyle w:val="ListBullet"/>
      </w:pPr>
      <w:r>
        <w:t>Collector discounts are recorded against the account and appear in the account ledger; they are not the same as the CSA origination discount.</w:t>
      </w:r>
    </w:p>
    <w:p>
      <w:pPr>
        <w:pStyle w:val="ListBullet"/>
      </w:pPr>
      <w:r>
        <w:t>The move-of-payment offer remains unavailable until its required inputs are complete.</w:t>
      </w:r>
    </w:p>
    <w:p>
      <w:pPr>
        <w:pStyle w:val="ListBullet"/>
      </w:pPr>
      <w:r>
        <w:t>A replacement check and surcharge are separate actions from the final move-of-payment offer.</w:t>
      </w:r>
    </w:p>
    <w:p>
      <w:pPr>
        <w:pStyle w:val="Heading1"/>
        <w:spacing w:before="480" w:after="140"/>
      </w:pPr>
      <w:r>
        <w:rPr>
          <w:rFonts w:ascii="Calibri" w:hAnsi="Calibri"/>
          <w:b/>
          <w:color w:val="365F91"/>
          <w:sz w:val="28"/>
        </w:rPr>
        <w:t>Daily collection report register</w:t>
      </w:r>
    </w:p>
    <w:p>
      <w:pPr>
        <w:pStyle w:val="Heading2"/>
        <w:spacing w:before="200" w:after="140"/>
      </w:pPr>
      <w:r>
        <w:rPr>
          <w:rFonts w:ascii="Calibri" w:hAnsi="Calibri"/>
          <w:b/>
          <w:color w:val="4F81BD"/>
          <w:sz w:val="26"/>
        </w:rPr>
        <w:t>What it is for</w:t>
      </w:r>
    </w:p>
    <w:p>
      <w:r>
        <w:t>Who uses this: Users with access to this work area. Lets collectors prepare a Daily Collection Report Register from recorded payments and send it for accounting review.</w:t>
      </w:r>
    </w:p>
    <w:p>
      <w:pPr>
        <w:pStyle w:val="Heading2"/>
        <w:spacing w:before="200" w:after="140"/>
      </w:pPr>
      <w:r>
        <w:rPr>
          <w:rFonts w:ascii="Calibri" w:hAnsi="Calibri"/>
          <w:b/>
          <w:color w:val="4F81BD"/>
          <w:sz w:val="26"/>
        </w:rPr>
        <w:t>Where to find it</w:t>
      </w:r>
    </w:p>
    <w:p>
      <w:r>
        <w:t>Open Collection, then DCRR builder. Use DCRR history to review prior reports.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then DCRR builder. Use DCRR history to review prior reports.</w:t>
            </w:r>
          </w:p>
        </w:tc>
      </w:tr>
    </w:tbl>
    <w:p>
      <w:pPr>
        <w:pStyle w:val="Heading2"/>
        <w:spacing w:before="200" w:after="140"/>
      </w:pPr>
      <w:r>
        <w:rPr>
          <w:rFonts w:ascii="Calibri" w:hAnsi="Calibri"/>
          <w:b/>
          <w:color w:val="4F81BD"/>
          <w:sz w:val="26"/>
        </w:rPr>
        <w:t>Steps</w:t>
      </w:r>
    </w:p>
    <w:p>
      <w:pPr>
        <w:pStyle w:val="ListNumber"/>
      </w:pPr>
      <w:r>
        <w:t>Select New DCRR to start a report.</w:t>
      </w:r>
    </w:p>
    <w:p>
      <w:pPr>
        <w:pStyle w:val="ListNumber"/>
      </w:pPr>
      <w:r>
        <w:t>Find eligible payments and select Add to DCRR.</w:t>
      </w:r>
    </w:p>
    <w:p>
      <w:pPr>
        <w:pStyle w:val="ListNumber"/>
      </w:pPr>
      <w:r>
        <w:t>Review or change an allocation when the allocation action is available.</w:t>
      </w:r>
    </w:p>
    <w:p>
      <w:pPr>
        <w:pStyle w:val="ListNumber"/>
      </w:pPr>
      <w:r>
        <w:t>Review the report totals and select Submit DCRR.</w:t>
      </w:r>
    </w:p>
    <w:p>
      <w:pPr>
        <w:pStyle w:val="ListNumber"/>
      </w:pPr>
      <w:r>
        <w:t>Use DCRR history to inspect submitted or returned reports.</w:t>
      </w:r>
    </w:p>
    <w:p>
      <w:pPr>
        <w:pStyle w:val="Heading2"/>
        <w:spacing w:before="200" w:after="140"/>
      </w:pPr>
      <w:r>
        <w:rPr>
          <w:rFonts w:ascii="Calibri" w:hAnsi="Calibri"/>
          <w:b/>
          <w:color w:val="4F81BD"/>
          <w:sz w:val="26"/>
        </w:rPr>
        <w:t>Tips and things to watch out for</w:t>
      </w:r>
    </w:p>
    <w:p>
      <w:pPr>
        <w:pStyle w:val="ListBullet"/>
      </w:pPr>
      <w:r>
        <w:t>The Proofs page is used to review payment proof and confirm or reject it before or alongside report work.</w:t>
      </w:r>
    </w:p>
    <w:p>
      <w:pPr>
        <w:pStyle w:val="ListBullet"/>
      </w:pPr>
      <w:r>
        <w:t>The system also exposes a separate Remedial DCRR screen for remedial accounts.</w:t>
      </w:r>
    </w:p>
    <w:p>
      <w:pPr>
        <w:pStyle w:val="Heading1"/>
        <w:spacing w:before="480" w:after="140"/>
      </w:pPr>
      <w:r>
        <w:rPr>
          <w:rFonts w:ascii="Calibri" w:hAnsi="Calibri"/>
          <w:b/>
          <w:color w:val="365F91"/>
          <w:sz w:val="28"/>
        </w:rPr>
        <w:t>Accounting masterlist and payment review</w:t>
      </w:r>
    </w:p>
    <w:p>
      <w:pPr>
        <w:pStyle w:val="Heading2"/>
        <w:spacing w:before="200" w:after="140"/>
      </w:pPr>
      <w:r>
        <w:rPr>
          <w:rFonts w:ascii="Calibri" w:hAnsi="Calibri"/>
          <w:b/>
          <w:color w:val="4F81BD"/>
          <w:sz w:val="26"/>
        </w:rPr>
        <w:t>What it is for</w:t>
      </w:r>
    </w:p>
    <w:p>
      <w:r>
        <w:t>Who uses this: Users with access to this work area. Lets Accounts Receivable staff manage the masterlist, inspect an account, review payment reports, and complete accounting actions.</w:t>
      </w:r>
    </w:p>
    <w:p>
      <w:pPr>
        <w:pStyle w:val="Heading2"/>
        <w:spacing w:before="200" w:after="140"/>
      </w:pPr>
      <w:r>
        <w:rPr>
          <w:rFonts w:ascii="Calibri" w:hAnsi="Calibri"/>
          <w:b/>
          <w:color w:val="4F81BD"/>
          <w:sz w:val="26"/>
        </w:rPr>
        <w:t>Where to find it</w:t>
      </w:r>
    </w:p>
    <w:p>
      <w:r>
        <w:t>Open Accounting AR. Use Masterlist for accounts, DCRR queue for submitted reports, Internal transfers for transfers, History for prior actions, and Rounding writeoffs for related cases.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Accounting AR. Use Masterlist for accounts, DCRR queue for submitted reports, Internal transfers for transfers, History for prior actions, and Rounding writeoffs for related cases.</w:t>
            </w:r>
          </w:p>
        </w:tc>
      </w:tr>
    </w:tbl>
    <w:p>
      <w:pPr>
        <w:pStyle w:val="Heading2"/>
        <w:spacing w:before="200" w:after="140"/>
      </w:pPr>
      <w:r>
        <w:rPr>
          <w:rFonts w:ascii="Calibri" w:hAnsi="Calibri"/>
          <w:b/>
          <w:color w:val="4F81BD"/>
          <w:sz w:val="26"/>
        </w:rPr>
        <w:t>Steps</w:t>
      </w:r>
    </w:p>
    <w:p>
      <w:pPr>
        <w:pStyle w:val="ListNumber"/>
      </w:pPr>
      <w:r>
        <w:t>Use search, filters, sorting, and Export CSV in the Masterlist to find an account.</w:t>
      </w:r>
    </w:p>
    <w:p>
      <w:pPr>
        <w:pStyle w:val="ListNumber"/>
      </w:pPr>
      <w:r>
        <w:t>Open an account to review its ledger, payments, and available actions.</w:t>
      </w:r>
    </w:p>
    <w:p>
      <w:pPr>
        <w:pStyle w:val="ListNumber"/>
      </w:pPr>
      <w:r>
        <w:t>Use the visible controls to mark a loan paid off, confirm remedial turnover, or open a write-off candidate when the status permits.</w:t>
      </w:r>
    </w:p>
    <w:p>
      <w:pPr>
        <w:pStyle w:val="ListNumber"/>
      </w:pPr>
      <w:r>
        <w:t>Review submitted DCRRs, then reconcile, reject, or mark a report item bounced as appropriate.</w:t>
      </w:r>
    </w:p>
    <w:p>
      <w:pPr>
        <w:pStyle w:val="ListNumber"/>
      </w:pPr>
      <w:r>
        <w:t>Open Internal transfers and select Confirm or Reject for each pending transfer.</w:t>
      </w:r>
    </w:p>
    <w:p>
      <w:pPr>
        <w:pStyle w:val="Heading2"/>
        <w:spacing w:before="200" w:after="140"/>
      </w:pPr>
      <w:r>
        <w:rPr>
          <w:rFonts w:ascii="Calibri" w:hAnsi="Calibri"/>
          <w:b/>
          <w:color w:val="4F81BD"/>
          <w:sz w:val="26"/>
        </w:rPr>
        <w:t>Tips and things to watch out for</w:t>
      </w:r>
    </w:p>
    <w:p>
      <w:pPr>
        <w:pStyle w:val="ListBullet"/>
      </w:pPr>
      <w:r>
        <w:t>The account screen includes a development-only aging simulation action; do not use it as a production accounting process.</w:t>
      </w:r>
    </w:p>
    <w:p>
      <w:pPr>
        <w:pStyle w:val="ListBullet"/>
      </w:pPr>
      <w:r>
        <w:t>AR History includes separate views of account, DCRR, and internal-transfer history.</w:t>
      </w:r>
    </w:p>
    <w:p>
      <w:pPr>
        <w:pStyle w:val="ListBullet"/>
      </w:pPr>
      <w:r>
        <w:t>Rounding writeoffs is a distinct review page with its own filters and account links.</w:t>
      </w:r>
    </w:p>
    <w:p>
      <w:pPr>
        <w:pStyle w:val="Heading1"/>
        <w:spacing w:before="480" w:after="140"/>
      </w:pPr>
      <w:r>
        <w:rPr>
          <w:rFonts w:ascii="Calibri" w:hAnsi="Calibri"/>
          <w:b/>
          <w:color w:val="365F91"/>
          <w:sz w:val="28"/>
        </w:rPr>
        <w:t>Remedial accounts</w:t>
      </w:r>
    </w:p>
    <w:p>
      <w:pPr>
        <w:pStyle w:val="Heading2"/>
        <w:spacing w:before="200" w:after="140"/>
      </w:pPr>
      <w:r>
        <w:rPr>
          <w:rFonts w:ascii="Calibri" w:hAnsi="Calibri"/>
          <w:b/>
          <w:color w:val="4F81BD"/>
          <w:sz w:val="26"/>
        </w:rPr>
        <w:t>What it is for</w:t>
      </w:r>
    </w:p>
    <w:p>
      <w:r>
        <w:t>Who uses this: Users with access to this work area. Lets remedial staff work with accounts handed over for remedial collection, record payments, prepare DCRRs, and issue a demand letter when needed.</w:t>
      </w:r>
    </w:p>
    <w:p>
      <w:pPr>
        <w:pStyle w:val="Heading2"/>
        <w:spacing w:before="200" w:after="140"/>
      </w:pPr>
      <w:r>
        <w:rPr>
          <w:rFonts w:ascii="Calibri" w:hAnsi="Calibri"/>
          <w:b/>
          <w:color w:val="4F81BD"/>
          <w:sz w:val="26"/>
        </w:rPr>
        <w:t>Where to find it</w:t>
      </w:r>
    </w:p>
    <w:p>
      <w:r>
        <w:t>Open Remedial, then open an account or select Remedial DCRR.</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Remedial, then open an account or select Remedial DCRR.</w:t>
            </w:r>
          </w:p>
        </w:tc>
      </w:tr>
    </w:tbl>
    <w:p>
      <w:pPr>
        <w:pStyle w:val="Heading2"/>
        <w:spacing w:before="200" w:after="140"/>
      </w:pPr>
      <w:r>
        <w:rPr>
          <w:rFonts w:ascii="Calibri" w:hAnsi="Calibri"/>
          <w:b/>
          <w:color w:val="4F81BD"/>
          <w:sz w:val="26"/>
        </w:rPr>
        <w:t>Steps</w:t>
      </w:r>
    </w:p>
    <w:p>
      <w:pPr>
        <w:pStyle w:val="ListNumber"/>
      </w:pPr>
      <w:r>
        <w:t>Use the remedial queue filters to find an account and select Open.</w:t>
      </w:r>
    </w:p>
    <w:p>
      <w:pPr>
        <w:pStyle w:val="ListNumber"/>
      </w:pPr>
      <w:r>
        <w:t>Review the account record and select Demand letter when it is offered.</w:t>
      </w:r>
    </w:p>
    <w:p>
      <w:pPr>
        <w:pStyle w:val="ListNumber"/>
      </w:pPr>
      <w:r>
        <w:t>Select Record payment to add a remedial payment.</w:t>
      </w:r>
    </w:p>
    <w:p>
      <w:pPr>
        <w:pStyle w:val="ListNumber"/>
      </w:pPr>
      <w:r>
        <w:t>Use the remedial DCRR page to start a report, add payments, and submit it.</w:t>
      </w:r>
    </w:p>
    <w:p>
      <w:pPr>
        <w:pStyle w:val="Heading2"/>
        <w:spacing w:before="200" w:after="140"/>
      </w:pPr>
      <w:r>
        <w:rPr>
          <w:rFonts w:ascii="Calibri" w:hAnsi="Calibri"/>
          <w:b/>
          <w:color w:val="4F81BD"/>
          <w:sz w:val="26"/>
        </w:rPr>
        <w:t>Tips and things to watch out for</w:t>
      </w:r>
    </w:p>
    <w:p>
      <w:pPr>
        <w:pStyle w:val="ListBullet"/>
      </w:pPr>
      <w:r>
        <w:t>The remedial account detail and payment pages are separate from the regular collector account pages.</w:t>
      </w:r>
    </w:p>
    <w:p>
      <w:pPr>
        <w:pStyle w:val="ListBullet"/>
      </w:pPr>
      <w:r>
        <w:t>Payment and DCRR actions remain subject to the account status and the permissions of the signed-in user.</w:t>
      </w:r>
    </w:p>
    <w:p>
      <w:pPr>
        <w:pStyle w:val="Heading1"/>
        <w:spacing w:before="480" w:after="140"/>
      </w:pPr>
      <w:r>
        <w:rPr>
          <w:rFonts w:ascii="Calibri" w:hAnsi="Calibri"/>
          <w:b/>
          <w:color w:val="365F91"/>
          <w:sz w:val="28"/>
        </w:rPr>
        <w:t>Administration users and roles</w:t>
      </w:r>
    </w:p>
    <w:p>
      <w:pPr>
        <w:pStyle w:val="Heading2"/>
        <w:spacing w:before="200" w:after="140"/>
      </w:pPr>
      <w:r>
        <w:rPr>
          <w:rFonts w:ascii="Calibri" w:hAnsi="Calibri"/>
          <w:b/>
          <w:color w:val="4F81BD"/>
          <w:sz w:val="26"/>
        </w:rPr>
        <w:t>What it is for</w:t>
      </w:r>
    </w:p>
    <w:p>
      <w:r>
        <w:t>Who uses this: Users with access to this work area. Lets administrators create staff accounts, activate or deactivate them, define roles, assign permissions, and set field rules.</w:t>
      </w:r>
    </w:p>
    <w:p>
      <w:pPr>
        <w:pStyle w:val="Heading2"/>
        <w:spacing w:before="200" w:after="140"/>
      </w:pPr>
      <w:r>
        <w:rPr>
          <w:rFonts w:ascii="Calibri" w:hAnsi="Calibri"/>
          <w:b/>
          <w:color w:val="4F81BD"/>
          <w:sz w:val="26"/>
        </w:rPr>
        <w:t>Where to find it</w:t>
      </w:r>
    </w:p>
    <w:p>
      <w:r>
        <w:t>Open Users or Roles in the Administration navigation.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Users or Roles in the Administration navigation.</w:t>
            </w:r>
          </w:p>
        </w:tc>
      </w:tr>
    </w:tbl>
    <w:p>
      <w:pPr>
        <w:pStyle w:val="Heading2"/>
        <w:spacing w:before="200" w:after="140"/>
      </w:pPr>
      <w:r>
        <w:rPr>
          <w:rFonts w:ascii="Calibri" w:hAnsi="Calibri"/>
          <w:b/>
          <w:color w:val="4F81BD"/>
          <w:sz w:val="26"/>
        </w:rPr>
        <w:t>Steps</w:t>
      </w:r>
    </w:p>
    <w:p>
      <w:pPr>
        <w:pStyle w:val="ListNumber"/>
      </w:pPr>
      <w:r>
        <w:t>In Users, select Create user and enter the requested staff information.</w:t>
      </w:r>
    </w:p>
    <w:p>
      <w:pPr>
        <w:pStyle w:val="ListNumber"/>
      </w:pPr>
      <w:r>
        <w:t>Use search, status, audience, and role filters to find a user.</w:t>
      </w:r>
    </w:p>
    <w:p>
      <w:pPr>
        <w:pStyle w:val="ListNumber"/>
      </w:pPr>
      <w:r>
        <w:t>Select Activate or Deactivate to change a user status.</w:t>
      </w:r>
    </w:p>
    <w:p>
      <w:pPr>
        <w:pStyle w:val="ListNumber"/>
      </w:pPr>
      <w:r>
        <w:t>In Roles, select Create role or open an existing role.</w:t>
      </w:r>
    </w:p>
    <w:p>
      <w:pPr>
        <w:pStyle w:val="ListNumber"/>
      </w:pPr>
      <w:r>
        <w:t>Save the role details, permissions, and field rules from the role page.</w:t>
      </w:r>
    </w:p>
    <w:p>
      <w:pPr>
        <w:pStyle w:val="Heading2"/>
        <w:spacing w:before="200" w:after="140"/>
      </w:pPr>
      <w:r>
        <w:rPr>
          <w:rFonts w:ascii="Calibri" w:hAnsi="Calibri"/>
          <w:b/>
          <w:color w:val="4F81BD"/>
          <w:sz w:val="26"/>
        </w:rPr>
        <w:t>Tips and things to watch out for</w:t>
      </w:r>
    </w:p>
    <w:p>
      <w:pPr>
        <w:pStyle w:val="ListBullet"/>
      </w:pPr>
      <w:r>
        <w:t>Available navigation and actions are driven by assigned permissions.</w:t>
      </w:r>
    </w:p>
    <w:p>
      <w:pPr>
        <w:pStyle w:val="ListBullet"/>
      </w:pPr>
      <w:r>
        <w:t>The account page shows a user’s roles but does not change them.</w:t>
      </w:r>
    </w:p>
    <w:p>
      <w:pPr>
        <w:pStyle w:val="Heading1"/>
        <w:spacing w:before="480" w:after="140"/>
      </w:pPr>
      <w:r>
        <w:rPr>
          <w:rFonts w:ascii="Calibri" w:hAnsi="Calibri"/>
          <w:b/>
          <w:color w:val="365F91"/>
          <w:sz w:val="28"/>
        </w:rPr>
        <w:t>Administration configuration and loan types</w:t>
      </w:r>
    </w:p>
    <w:p>
      <w:pPr>
        <w:pStyle w:val="Heading2"/>
        <w:spacing w:before="200" w:after="140"/>
      </w:pPr>
      <w:r>
        <w:rPr>
          <w:rFonts w:ascii="Calibri" w:hAnsi="Calibri"/>
          <w:b/>
          <w:color w:val="4F81BD"/>
          <w:sz w:val="26"/>
        </w:rPr>
        <w:t>What it is for</w:t>
      </w:r>
    </w:p>
    <w:p>
      <w:r>
        <w:t>Who uses this: Users with access to this work area. Lets administrators maintain system settings, test communications, and manage loan type definitions.</w:t>
      </w:r>
    </w:p>
    <w:p>
      <w:pPr>
        <w:pStyle w:val="Heading2"/>
        <w:spacing w:before="200" w:after="140"/>
      </w:pPr>
      <w:r>
        <w:rPr>
          <w:rFonts w:ascii="Calibri" w:hAnsi="Calibri"/>
          <w:b/>
          <w:color w:val="4F81BD"/>
          <w:sz w:val="26"/>
        </w:rPr>
        <w:t>Where to find it</w:t>
      </w:r>
    </w:p>
    <w:p>
      <w:r>
        <w:t>Open Config, Loan Types, Email Test, or Decision Emails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Config, Loan Types, Email Test, or Decision Emails in Administration.</w:t>
            </w:r>
          </w:p>
        </w:tc>
      </w:tr>
    </w:tbl>
    <w:p>
      <w:pPr>
        <w:pStyle w:val="Heading2"/>
        <w:spacing w:before="200" w:after="140"/>
      </w:pPr>
      <w:r>
        <w:rPr>
          <w:rFonts w:ascii="Calibri" w:hAnsi="Calibri"/>
          <w:b/>
          <w:color w:val="4F81BD"/>
          <w:sz w:val="26"/>
        </w:rPr>
        <w:t>Steps</w:t>
      </w:r>
    </w:p>
    <w:p>
      <w:pPr>
        <w:pStyle w:val="ListNumber"/>
      </w:pPr>
      <w:r>
        <w:t>Use Config to maintain supported settings and test the configured connection or communication channel.</w:t>
      </w:r>
    </w:p>
    <w:p>
      <w:pPr>
        <w:pStyle w:val="ListNumber"/>
      </w:pPr>
      <w:r>
        <w:t>Use Loan Types to add or edit loan type details and enrollment rate values.</w:t>
      </w:r>
    </w:p>
    <w:p>
      <w:pPr>
        <w:pStyle w:val="ListNumber"/>
      </w:pPr>
      <w:r>
        <w:t>Use Email Test to send a test email and verify delivery settings.</w:t>
      </w:r>
    </w:p>
    <w:p>
      <w:pPr>
        <w:pStyle w:val="ListNumber"/>
      </w:pPr>
      <w:r>
        <w:t>Use Decision Emails to edit and save the email templates used for decisions.</w:t>
      </w:r>
    </w:p>
    <w:p>
      <w:pPr>
        <w:pStyle w:val="Heading2"/>
        <w:spacing w:before="200" w:after="140"/>
      </w:pPr>
      <w:r>
        <w:rPr>
          <w:rFonts w:ascii="Calibri" w:hAnsi="Calibri"/>
          <w:b/>
          <w:color w:val="4F81BD"/>
          <w:sz w:val="26"/>
        </w:rPr>
        <w:t>Tips and things to watch out for</w:t>
      </w:r>
    </w:p>
    <w:p>
      <w:pPr>
        <w:pStyle w:val="ListBullet"/>
      </w:pPr>
      <w:r>
        <w:t>The configuration page also includes test SMS and email actions where settings are present.</w:t>
      </w:r>
    </w:p>
    <w:p>
      <w:pPr>
        <w:pStyle w:val="ListBullet"/>
      </w:pPr>
      <w:r>
        <w:t>Only users with the system configuration permission see these pages.</w:t>
      </w:r>
    </w:p>
    <w:p>
      <w:pPr>
        <w:pStyle w:val="Heading1"/>
        <w:spacing w:before="480" w:after="140"/>
      </w:pPr>
      <w:r>
        <w:rPr>
          <w:rFonts w:ascii="Calibri" w:hAnsi="Calibri"/>
          <w:b/>
          <w:color w:val="365F91"/>
          <w:sz w:val="28"/>
        </w:rPr>
        <w:t>Administration checklists and checks</w:t>
      </w:r>
    </w:p>
    <w:p>
      <w:pPr>
        <w:pStyle w:val="Heading2"/>
        <w:spacing w:before="200" w:after="140"/>
      </w:pPr>
      <w:r>
        <w:rPr>
          <w:rFonts w:ascii="Calibri" w:hAnsi="Calibri"/>
          <w:b/>
          <w:color w:val="4F81BD"/>
          <w:sz w:val="26"/>
        </w:rPr>
        <w:t>What it is for</w:t>
      </w:r>
    </w:p>
    <w:p>
      <w:r>
        <w:t>Who uses this: Users with access to this work area. Lets administrators control workflow checklists and view or manage the configured check items.</w:t>
      </w:r>
    </w:p>
    <w:p>
      <w:pPr>
        <w:pStyle w:val="Heading2"/>
        <w:spacing w:before="200" w:after="140"/>
      </w:pPr>
      <w:r>
        <w:rPr>
          <w:rFonts w:ascii="Calibri" w:hAnsi="Calibri"/>
          <w:b/>
          <w:color w:val="4F81BD"/>
          <w:sz w:val="26"/>
        </w:rPr>
        <w:t>Where to find it</w:t>
      </w:r>
    </w:p>
    <w:p>
      <w:r>
        <w:t>Open Checklists or Checks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Checklists or Checks in Administration.</w:t>
            </w:r>
          </w:p>
        </w:tc>
      </w:tr>
    </w:tbl>
    <w:p>
      <w:pPr>
        <w:pStyle w:val="Heading2"/>
        <w:spacing w:before="200" w:after="140"/>
      </w:pPr>
      <w:r>
        <w:rPr>
          <w:rFonts w:ascii="Calibri" w:hAnsi="Calibri"/>
          <w:b/>
          <w:color w:val="4F81BD"/>
          <w:sz w:val="26"/>
        </w:rPr>
        <w:t>Steps</w:t>
      </w:r>
    </w:p>
    <w:p>
      <w:pPr>
        <w:pStyle w:val="ListNumber"/>
      </w:pPr>
      <w:r>
        <w:t>Open Checklists to review items grouped by workflow stage.</w:t>
      </w:r>
    </w:p>
    <w:p>
      <w:pPr>
        <w:pStyle w:val="ListNumber"/>
      </w:pPr>
      <w:r>
        <w:t>Add an item where the page offers the add action.</w:t>
      </w:r>
    </w:p>
    <w:p>
      <w:pPr>
        <w:pStyle w:val="ListNumber"/>
      </w:pPr>
      <w:r>
        <w:t>Use Toggle req/opt to change whether a checklist item is required.</w:t>
      </w:r>
    </w:p>
    <w:p>
      <w:pPr>
        <w:pStyle w:val="ListNumber"/>
      </w:pPr>
      <w:r>
        <w:t>Use Remove to delete an item after confirming it is no longer needed.</w:t>
      </w:r>
    </w:p>
    <w:p>
      <w:pPr>
        <w:pStyle w:val="ListNumber"/>
      </w:pPr>
      <w:r>
        <w:t>Open Checks to review the configured application checks.</w:t>
      </w:r>
    </w:p>
    <w:p>
      <w:pPr>
        <w:pStyle w:val="Heading2"/>
        <w:spacing w:before="200" w:after="140"/>
      </w:pPr>
      <w:r>
        <w:rPr>
          <w:rFonts w:ascii="Calibri" w:hAnsi="Calibri"/>
          <w:b/>
          <w:color w:val="4F81BD"/>
          <w:sz w:val="26"/>
        </w:rPr>
        <w:t>Tips and things to watch out for</w:t>
      </w:r>
    </w:p>
    <w:p>
      <w:pPr>
        <w:pStyle w:val="ListBullet"/>
      </w:pPr>
      <w:r>
        <w:t>Changing checklist requirements affects what staff see at the related workflow stage.</w:t>
      </w:r>
    </w:p>
    <w:p>
      <w:pPr>
        <w:pStyle w:val="ListBullet"/>
      </w:pPr>
      <w:r>
        <w:t>Do not remove an item that is needed for an active compliance or release process.</w:t>
      </w:r>
    </w:p>
    <w:p>
      <w:pPr>
        <w:pStyle w:val="Heading1"/>
        <w:spacing w:before="480" w:after="140"/>
      </w:pPr>
      <w:r>
        <w:rPr>
          <w:rFonts w:ascii="Calibri" w:hAnsi="Calibri"/>
          <w:b/>
          <w:color w:val="365F91"/>
          <w:sz w:val="28"/>
        </w:rPr>
        <w:t>Administration document templates</w:t>
      </w:r>
    </w:p>
    <w:p>
      <w:pPr>
        <w:pStyle w:val="Heading2"/>
        <w:spacing w:before="200" w:after="140"/>
      </w:pPr>
      <w:r>
        <w:rPr>
          <w:rFonts w:ascii="Calibri" w:hAnsi="Calibri"/>
          <w:b/>
          <w:color w:val="4F81BD"/>
          <w:sz w:val="26"/>
        </w:rPr>
        <w:t>What it is for</w:t>
      </w:r>
    </w:p>
    <w:p>
      <w:r>
        <w:t>Who uses this: Users with access to this work area. Lets administrators create, edit, preview, publish, download, and manage the document templates used by LoanStar.</w:t>
      </w:r>
    </w:p>
    <w:p>
      <w:pPr>
        <w:pStyle w:val="Heading2"/>
        <w:spacing w:before="200" w:after="140"/>
      </w:pPr>
      <w:r>
        <w:rPr>
          <w:rFonts w:ascii="Calibri" w:hAnsi="Calibri"/>
          <w:b/>
          <w:color w:val="4F81BD"/>
          <w:sz w:val="26"/>
        </w:rPr>
        <w:t>Where to find it</w:t>
      </w:r>
    </w:p>
    <w:p>
      <w:r>
        <w:t>Open Doc Templates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Doc Templates in Administration.</w:t>
            </w:r>
          </w:p>
        </w:tc>
      </w:tr>
    </w:tbl>
    <w:p>
      <w:pPr>
        <w:pStyle w:val="Heading2"/>
        <w:spacing w:before="200" w:after="140"/>
      </w:pPr>
      <w:r>
        <w:rPr>
          <w:rFonts w:ascii="Calibri" w:hAnsi="Calibri"/>
          <w:b/>
          <w:color w:val="4F81BD"/>
          <w:sz w:val="26"/>
        </w:rPr>
        <w:t>Steps</w:t>
      </w:r>
    </w:p>
    <w:p>
      <w:pPr>
        <w:pStyle w:val="ListNumber"/>
      </w:pPr>
      <w:r>
        <w:t>Select New template and enter the template details.</w:t>
      </w:r>
    </w:p>
    <w:p>
      <w:pPr>
        <w:pStyle w:val="ListNumber"/>
      </w:pPr>
      <w:r>
        <w:t>Filter by category or search to find an existing template.</w:t>
      </w:r>
    </w:p>
    <w:p>
      <w:pPr>
        <w:pStyle w:val="ListNumber"/>
      </w:pPr>
      <w:r>
        <w:t>Open a template, edit its content, and use the field palette to insert the available merge fields.</w:t>
      </w:r>
    </w:p>
    <w:p>
      <w:pPr>
        <w:pStyle w:val="ListNumber"/>
      </w:pPr>
      <w:r>
        <w:t>Save draft, run Preview, or Download DOCX as needed.</w:t>
      </w:r>
    </w:p>
    <w:p>
      <w:pPr>
        <w:pStyle w:val="ListNumber"/>
      </w:pPr>
      <w:r>
        <w:t>Publish the draft version when it is ready for use.</w:t>
      </w:r>
    </w:p>
    <w:p>
      <w:pPr>
        <w:pStyle w:val="Heading2"/>
        <w:spacing w:before="200" w:after="140"/>
      </w:pPr>
      <w:r>
        <w:rPr>
          <w:rFonts w:ascii="Calibri" w:hAnsi="Calibri"/>
          <w:b/>
          <w:color w:val="4F81BD"/>
          <w:sz w:val="26"/>
        </w:rPr>
        <w:t>Tips and things to watch out for</w:t>
      </w:r>
    </w:p>
    <w:p>
      <w:pPr>
        <w:pStyle w:val="ListBullet"/>
      </w:pPr>
      <w:r>
        <w:t>Document templates support both draft and published versions.</w:t>
      </w:r>
    </w:p>
    <w:p>
      <w:pPr>
        <w:pStyle w:val="ListBullet"/>
      </w:pPr>
      <w:r>
        <w:t>The editor has separate content and DOCX template capabilities; preview before publishing.</w:t>
      </w:r>
    </w:p>
    <w:p>
      <w:pPr>
        <w:pStyle w:val="Heading1"/>
        <w:spacing w:before="480" w:after="140"/>
      </w:pPr>
      <w:r>
        <w:rPr>
          <w:rFonts w:ascii="Calibri" w:hAnsi="Calibri"/>
          <w:b/>
          <w:color w:val="365F91"/>
          <w:sz w:val="28"/>
        </w:rPr>
        <w:t>Administration audit and legacy import</w:t>
      </w:r>
    </w:p>
    <w:p>
      <w:pPr>
        <w:pStyle w:val="Heading2"/>
        <w:spacing w:before="200" w:after="140"/>
      </w:pPr>
      <w:r>
        <w:rPr>
          <w:rFonts w:ascii="Calibri" w:hAnsi="Calibri"/>
          <w:b/>
          <w:color w:val="4F81BD"/>
          <w:sz w:val="26"/>
        </w:rPr>
        <w:t>What it is for</w:t>
      </w:r>
    </w:p>
    <w:p>
      <w:r>
        <w:t>Who uses this: Users with access to this work area. Lets administrators review recorded system activity and, for super administrators, validate and run legacy-data import mappings.</w:t>
      </w:r>
    </w:p>
    <w:p>
      <w:pPr>
        <w:pStyle w:val="Heading2"/>
        <w:spacing w:before="200" w:after="140"/>
      </w:pPr>
      <w:r>
        <w:rPr>
          <w:rFonts w:ascii="Calibri" w:hAnsi="Calibri"/>
          <w:b/>
          <w:color w:val="4F81BD"/>
          <w:sz w:val="26"/>
        </w:rPr>
        <w:t>Where to find it</w:t>
      </w:r>
    </w:p>
    <w:p>
      <w:r>
        <w:t>Open Audit or Legacy Import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Audit or Legacy Import in Administration.</w:t>
            </w:r>
          </w:p>
        </w:tc>
      </w:tr>
    </w:tbl>
    <w:p>
      <w:pPr>
        <w:pStyle w:val="Heading2"/>
        <w:spacing w:before="200" w:after="140"/>
      </w:pPr>
      <w:r>
        <w:rPr>
          <w:rFonts w:ascii="Calibri" w:hAnsi="Calibri"/>
          <w:b/>
          <w:color w:val="4F81BD"/>
          <w:sz w:val="26"/>
        </w:rPr>
        <w:t>Steps</w:t>
      </w:r>
    </w:p>
    <w:p>
      <w:pPr>
        <w:pStyle w:val="ListNumber"/>
      </w:pPr>
      <w:r>
        <w:t>Use Audit filters and search to locate recorded activity.</w:t>
      </w:r>
    </w:p>
    <w:p>
      <w:pPr>
        <w:pStyle w:val="ListNumber"/>
      </w:pPr>
      <w:r>
        <w:t>Open Legacy Import when you have super-administrator access.</w:t>
      </w:r>
    </w:p>
    <w:p>
      <w:pPr>
        <w:pStyle w:val="ListNumber"/>
      </w:pPr>
      <w:r>
        <w:t>Load or save a mapping template, then run Validate dry run before importing.</w:t>
      </w:r>
    </w:p>
    <w:p>
      <w:pPr>
        <w:pStyle w:val="ListNumber"/>
      </w:pPr>
      <w:r>
        <w:t>Review validation results before continuing with an import run.</w:t>
      </w:r>
    </w:p>
    <w:p>
      <w:pPr>
        <w:pStyle w:val="Heading2"/>
        <w:spacing w:before="200" w:after="140"/>
      </w:pPr>
      <w:r>
        <w:rPr>
          <w:rFonts w:ascii="Calibri" w:hAnsi="Calibri"/>
          <w:b/>
          <w:color w:val="4F81BD"/>
          <w:sz w:val="26"/>
        </w:rPr>
        <w:t>Tips and things to watch out for</w:t>
      </w:r>
    </w:p>
    <w:p>
      <w:pPr>
        <w:pStyle w:val="ListBullet"/>
      </w:pPr>
      <w:r>
        <w:t>Legacy Import is intentionally limited to super administrators.</w:t>
      </w:r>
    </w:p>
    <w:p>
      <w:pPr>
        <w:pStyle w:val="ListBullet"/>
      </w:pPr>
      <w:r>
        <w:t>The mapping page allows named mappings to be saved, overwritten, loaded, or deleted.</w:t>
      </w:r>
    </w:p>
    <w:p>
      <w:pPr>
        <w:pStyle w:val="Heading1"/>
        <w:spacing w:before="480" w:after="140"/>
      </w:pPr>
      <w:r>
        <w:rPr>
          <w:rFonts w:ascii="Calibri" w:hAnsi="Calibri"/>
          <w:b/>
          <w:color w:val="365F91"/>
          <w:sz w:val="28"/>
        </w:rPr>
        <w:t>Reports and management insights</w:t>
      </w:r>
    </w:p>
    <w:p>
      <w:pPr>
        <w:pStyle w:val="Heading2"/>
        <w:spacing w:before="200" w:after="140"/>
      </w:pPr>
      <w:r>
        <w:rPr>
          <w:rFonts w:ascii="Calibri" w:hAnsi="Calibri"/>
          <w:b/>
          <w:color w:val="4F81BD"/>
          <w:sz w:val="26"/>
        </w:rPr>
        <w:t>What it is for</w:t>
      </w:r>
    </w:p>
    <w:p>
      <w:r>
        <w:t>Who uses this: Users with access to this work area. Lets authorized users view portfolio, pipeline, collections, past-due, account, and generated management insights.</w:t>
      </w:r>
    </w:p>
    <w:p>
      <w:pPr>
        <w:pStyle w:val="Heading2"/>
        <w:spacing w:before="200" w:after="140"/>
      </w:pPr>
      <w:r>
        <w:rPr>
          <w:rFonts w:ascii="Calibri" w:hAnsi="Calibri"/>
          <w:b/>
          <w:color w:val="4F81BD"/>
          <w:sz w:val="26"/>
        </w:rPr>
        <w:t>Where to find it</w:t>
      </w:r>
    </w:p>
    <w:p>
      <w:r>
        <w:t>Open Reports, then use the report navigation for the needed view.</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Reports, then use the report navigation for the needed view.</w:t>
            </w:r>
          </w:p>
        </w:tc>
      </w:tr>
    </w:tbl>
    <w:p>
      <w:pPr>
        <w:pStyle w:val="Heading2"/>
        <w:spacing w:before="200" w:after="140"/>
      </w:pPr>
      <w:r>
        <w:rPr>
          <w:rFonts w:ascii="Calibri" w:hAnsi="Calibri"/>
          <w:b/>
          <w:color w:val="4F81BD"/>
          <w:sz w:val="26"/>
        </w:rPr>
        <w:t>Steps</w:t>
      </w:r>
    </w:p>
    <w:p>
      <w:pPr>
        <w:pStyle w:val="ListNumber"/>
      </w:pPr>
      <w:r>
        <w:t>Open the main Reports dashboard to view the available report panels.</w:t>
      </w:r>
    </w:p>
    <w:p>
      <w:pPr>
        <w:pStyle w:val="ListNumber"/>
      </w:pPr>
      <w:r>
        <w:t>Open Pipeline, Collections, Past Due, or Accounts to focus on that subject.</w:t>
      </w:r>
    </w:p>
    <w:p>
      <w:pPr>
        <w:pStyle w:val="ListNumber"/>
      </w:pPr>
      <w:r>
        <w:t>Use date, segment, and other filters shown on the selected report.</w:t>
      </w:r>
    </w:p>
    <w:p>
      <w:pPr>
        <w:pStyle w:val="ListNumber"/>
      </w:pPr>
      <w:r>
        <w:t>Use Export CSV or Print Export PDF when the action is shown.</w:t>
      </w:r>
    </w:p>
    <w:p>
      <w:pPr>
        <w:pStyle w:val="ListNumber"/>
      </w:pPr>
      <w:r>
        <w:t>Open Insights to generate and review the management briefing, charts, recommendations, and supporting evidence.</w:t>
      </w:r>
    </w:p>
    <w:p>
      <w:pPr>
        <w:pStyle w:val="Heading2"/>
        <w:spacing w:before="200" w:after="140"/>
      </w:pPr>
      <w:r>
        <w:rPr>
          <w:rFonts w:ascii="Calibri" w:hAnsi="Calibri"/>
          <w:b/>
          <w:color w:val="4F81BD"/>
          <w:sz w:val="26"/>
        </w:rPr>
        <w:t>Tips and things to watch out for</w:t>
      </w:r>
    </w:p>
    <w:p>
      <w:pPr>
        <w:pStyle w:val="ListBullet"/>
      </w:pPr>
      <w:r>
        <w:t>The reports assistant is available from the report experience where enabled and stores its conversation threads separately.</w:t>
      </w:r>
    </w:p>
    <w:p>
      <w:pPr>
        <w:pStyle w:val="ListBullet"/>
      </w:pPr>
      <w:r>
        <w:t>Report results depend on the selected period and on the data available to your role.</w:t>
      </w:r>
    </w:p>
    <w:p>
      <w:r>
        <w:br w:type="page"/>
      </w:r>
    </w:p>
    <w:p>
      <w:pPr>
        <w:pStyle w:val="Heading1"/>
        <w:spacing w:before="480" w:after="140"/>
      </w:pPr>
      <w:r>
        <w:rPr>
          <w:rFonts w:ascii="Calibri" w:hAnsi="Calibri"/>
          <w:b/>
          <w:color w:val="365F91"/>
          <w:sz w:val="28"/>
        </w:rPr>
        <w:t>Appendix Items Needing Clarification</w:t>
      </w:r>
    </w:p>
    <w:p>
      <w:pPr>
        <w:pStyle w:val="ListBullet"/>
      </w:pPr>
      <w:r>
        <w:rPr>
          <w:rFonts w:ascii="Calibri" w:hAnsi="Calibri"/>
          <w:b/>
        </w:rPr>
        <w:t>Exact registration eligibility and approval process</w:t>
      </w:r>
    </w:p>
    <w:p>
      <w:r>
        <w:t>A registration page is implemented, but the code reviewed does not establish which people are allowed to self-register in a live deployment or how an administrator approves an account.</w:t>
      </w:r>
    </w:p>
    <w:p>
      <w:pPr>
        <w:pStyle w:val="ListBullet"/>
      </w:pPr>
      <w:r>
        <w:rPr>
          <w:rFonts w:ascii="Calibri" w:hAnsi="Calibri"/>
          <w:b/>
        </w:rPr>
        <w:t>Production use of the Design and computation breakdown pages</w:t>
      </w:r>
    </w:p>
    <w:p>
      <w:r>
        <w:t>Both pages are implemented, but their page content identifies them as design or development tools. Confirm whether they should be available to any production user before documenting them as operational features.</w:t>
      </w:r>
    </w:p>
    <w:p>
      <w:pPr>
        <w:pStyle w:val="ListBullet"/>
      </w:pPr>
      <w:r>
        <w:rPr>
          <w:rFonts w:ascii="Calibri" w:hAnsi="Calibri"/>
          <w:b/>
        </w:rPr>
        <w:t>Availability of each workflow action for every loan type and stage</w:t>
      </w:r>
    </w:p>
    <w:p>
      <w:r>
        <w:t>The code conditionally shows many actions according to status, role, configured checklist, and data. Confirm the business policy for every loan type before turning the general workflow descriptions into a mandatory operating procedure.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A5A5A"/>
        <w:sz w:val="18"/>
      </w:rPr>
      <w:t>LoanStar System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