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4"/>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360" w:after="140"/>
      </w:pPr>
      <w:r>
        <w:rPr>
          <w:rFonts w:ascii="Calibri" w:hAnsi="Calibri"/>
          <w:b/>
          <w:color w:val="1F3A5F"/>
          <w:sz w:val="36"/>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360" w:after="140"/>
      </w:pPr>
      <w:r>
        <w:rPr>
          <w:rFonts w:ascii="Calibri" w:hAnsi="Calibri"/>
          <w:b/>
          <w:color w:val="1F3A5F"/>
          <w:sz w:val="36"/>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360" w:after="140"/>
      </w:pPr>
      <w:r>
        <w:rPr>
          <w:rFonts w:ascii="Calibri" w:hAnsi="Calibri"/>
          <w:b/>
          <w:color w:val="1F3A5F"/>
          <w:sz w:val="36"/>
        </w:rPr>
        <w:t>Sign in and recover access</w:t>
      </w:r>
    </w:p>
    <w:p>
      <w:pPr>
        <w:pStyle w:val="Heading2"/>
        <w:spacing w:before="200" w:after="140"/>
      </w:pPr>
      <w:r>
        <w:rPr>
          <w:rFonts w:ascii="Calibri" w:hAnsi="Calibri"/>
          <w:b/>
          <w:color w:val="1F3A5F"/>
          <w:sz w:val="26"/>
        </w:rPr>
        <w:t>What it is for</w:t>
      </w:r>
    </w:p>
    <w:p>
      <w:r>
        <w:t>Lets you enter LoanStar, create an account where registration is enabled, or replace a forgotten password.</w:t>
      </w:r>
    </w:p>
    <w:p>
      <w:pPr>
        <w:pStyle w:val="Heading2"/>
        <w:spacing w:before="200" w:after="140"/>
      </w:pPr>
      <w:r>
        <w:rPr>
          <w:rFonts w:ascii="Calibri" w:hAnsi="Calibri"/>
          <w:b/>
          <w:color w:val="1F3A5F"/>
          <w:sz w:val="26"/>
        </w:rPr>
        <w:t>Where to find it</w:t>
      </w:r>
    </w:p>
    <w:p>
      <w:r>
        <w:t>Use the sign-in page. Choose Forgot password when you cannot remember your password.</w:t>
      </w:r>
    </w:p>
    <w:p>
      <w:pPr>
        <w:pStyle w:val="Heading2"/>
        <w:spacing w:before="200" w:after="140"/>
      </w:pPr>
      <w:r>
        <w:rPr>
          <w:rFonts w:ascii="Calibri" w:hAnsi="Calibri"/>
          <w:b/>
          <w:color w:val="1F3A5F"/>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1F3A5F"/>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360" w:after="140"/>
      </w:pPr>
      <w:r>
        <w:rPr>
          <w:rFonts w:ascii="Calibri" w:hAnsi="Calibri"/>
          <w:b/>
          <w:color w:val="1F3A5F"/>
          <w:sz w:val="36"/>
        </w:rPr>
        <w:t>Your account and notifications</w:t>
      </w:r>
    </w:p>
    <w:p>
      <w:pPr>
        <w:pStyle w:val="Heading2"/>
        <w:spacing w:before="200" w:after="140"/>
      </w:pPr>
      <w:r>
        <w:rPr>
          <w:rFonts w:ascii="Calibri" w:hAnsi="Calibri"/>
          <w:b/>
          <w:color w:val="1F3A5F"/>
          <w:sz w:val="26"/>
        </w:rPr>
        <w:t>What it is for</w:t>
      </w:r>
    </w:p>
    <w:p>
      <w:r>
        <w:t>Lets every signed-in user keep account contact details, preferences, profile photo, and notification settings current.</w:t>
      </w:r>
    </w:p>
    <w:p>
      <w:pPr>
        <w:pStyle w:val="Heading2"/>
        <w:spacing w:before="200" w:after="140"/>
      </w:pPr>
      <w:r>
        <w:rPr>
          <w:rFonts w:ascii="Calibri" w:hAnsi="Calibri"/>
          <w:b/>
          <w:color w:val="1F3A5F"/>
          <w:sz w:val="26"/>
        </w:rPr>
        <w:t>Where to find it</w:t>
      </w:r>
    </w:p>
    <w:p>
      <w:r>
        <w:t>Open Account from the application header or account menu.</w:t>
      </w:r>
    </w:p>
    <w:p>
      <w:pPr>
        <w:pStyle w:val="Heading2"/>
        <w:spacing w:before="200" w:after="140"/>
      </w:pPr>
      <w:r>
        <w:rPr>
          <w:rFonts w:ascii="Calibri" w:hAnsi="Calibri"/>
          <w:b/>
          <w:color w:val="1F3A5F"/>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1F3A5F"/>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360" w:after="140"/>
      </w:pPr>
      <w:r>
        <w:rPr>
          <w:rFonts w:ascii="Calibri" w:hAnsi="Calibri"/>
          <w:b/>
          <w:color w:val="1F3A5F"/>
          <w:sz w:val="36"/>
        </w:rPr>
        <w:t>Dashboard and role based navigation</w:t>
      </w:r>
    </w:p>
    <w:p>
      <w:pPr>
        <w:pStyle w:val="Heading2"/>
        <w:spacing w:before="200" w:after="140"/>
      </w:pPr>
      <w:r>
        <w:rPr>
          <w:rFonts w:ascii="Calibri" w:hAnsi="Calibri"/>
          <w:b/>
          <w:color w:val="1F3A5F"/>
          <w:sz w:val="26"/>
        </w:rPr>
        <w:t>What it is for</w:t>
      </w:r>
    </w:p>
    <w:p>
      <w:r>
        <w:t>Provides a starting view of available work and routes you only to areas allowed by your role.</w:t>
      </w:r>
    </w:p>
    <w:p>
      <w:pPr>
        <w:pStyle w:val="Heading2"/>
        <w:spacing w:before="200" w:after="140"/>
      </w:pPr>
      <w:r>
        <w:rPr>
          <w:rFonts w:ascii="Calibri" w:hAnsi="Calibri"/>
          <w:b/>
          <w:color w:val="1F3A5F"/>
          <w:sz w:val="26"/>
        </w:rPr>
        <w:t>Where to find it</w:t>
      </w:r>
    </w:p>
    <w:p>
      <w:r>
        <w:t>Select Dashboard in the left navigation.</w:t>
      </w:r>
    </w:p>
    <w:p>
      <w:pPr>
        <w:pStyle w:val="Heading2"/>
        <w:spacing w:before="200" w:after="140"/>
      </w:pPr>
      <w:r>
        <w:rPr>
          <w:rFonts w:ascii="Calibri" w:hAnsi="Calibri"/>
          <w:b/>
          <w:color w:val="1F3A5F"/>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1F3A5F"/>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360" w:after="140"/>
      </w:pPr>
      <w:r>
        <w:rPr>
          <w:rFonts w:ascii="Calibri" w:hAnsi="Calibri"/>
          <w:b/>
          <w:color w:val="1F3A5F"/>
          <w:sz w:val="36"/>
        </w:rPr>
        <w:t>Borrower portal and loan application</w:t>
      </w:r>
    </w:p>
    <w:p>
      <w:pPr>
        <w:pStyle w:val="Heading2"/>
        <w:spacing w:before="200" w:after="140"/>
      </w:pPr>
      <w:r>
        <w:rPr>
          <w:rFonts w:ascii="Calibri" w:hAnsi="Calibri"/>
          <w:b/>
          <w:color w:val="1F3A5F"/>
          <w:sz w:val="26"/>
        </w:rPr>
        <w:t>What it is for</w:t>
      </w:r>
    </w:p>
    <w:p>
      <w:r>
        <w:t>Lets a borrower register, start or resume an application, supply information and documents, accept offers, and follow an active loan.</w:t>
      </w:r>
    </w:p>
    <w:p>
      <w:pPr>
        <w:pStyle w:val="Heading2"/>
        <w:spacing w:before="200" w:after="140"/>
      </w:pPr>
      <w:r>
        <w:rPr>
          <w:rFonts w:ascii="Calibri" w:hAnsi="Calibri"/>
          <w:b/>
          <w:color w:val="1F3A5F"/>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1F3A5F"/>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1F3A5F"/>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360" w:after="140"/>
      </w:pPr>
      <w:r>
        <w:rPr>
          <w:rFonts w:ascii="Calibri" w:hAnsi="Calibri"/>
          <w:b/>
          <w:color w:val="1F3A5F"/>
          <w:sz w:val="36"/>
        </w:rPr>
        <w:t>Agent leads</w:t>
      </w:r>
    </w:p>
    <w:p>
      <w:pPr>
        <w:pStyle w:val="Heading2"/>
        <w:spacing w:before="200" w:after="140"/>
      </w:pPr>
      <w:r>
        <w:rPr>
          <w:rFonts w:ascii="Calibri" w:hAnsi="Calibri"/>
          <w:b/>
          <w:color w:val="1F3A5F"/>
          <w:sz w:val="26"/>
        </w:rPr>
        <w:t>What it is for</w:t>
      </w:r>
    </w:p>
    <w:p>
      <w:r>
        <w:t>Lets marketing or sales staff record leads, link a lead to an existing borrower, and monitor progress until closure.</w:t>
      </w:r>
    </w:p>
    <w:p>
      <w:pPr>
        <w:pStyle w:val="Heading2"/>
        <w:spacing w:before="200" w:after="140"/>
      </w:pPr>
      <w:r>
        <w:rPr>
          <w:rFonts w:ascii="Calibri" w:hAnsi="Calibri"/>
          <w:b/>
          <w:color w:val="1F3A5F"/>
          <w:sz w:val="26"/>
        </w:rPr>
        <w:t>Where to find it</w:t>
      </w:r>
    </w:p>
    <w:p>
      <w:r>
        <w:t>Open Leads, then choose Leads pipeline or Closed leads.</w:t>
      </w:r>
    </w:p>
    <w:p>
      <w:pPr>
        <w:pStyle w:val="Heading2"/>
        <w:spacing w:before="200" w:after="140"/>
      </w:pPr>
      <w:r>
        <w:rPr>
          <w:rFonts w:ascii="Calibri" w:hAnsi="Calibri"/>
          <w:b/>
          <w:color w:val="1F3A5F"/>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1F3A5F"/>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360" w:after="140"/>
      </w:pPr>
      <w:r>
        <w:rPr>
          <w:rFonts w:ascii="Calibri" w:hAnsi="Calibri"/>
          <w:b/>
          <w:color w:val="1F3A5F"/>
          <w:sz w:val="36"/>
        </w:rPr>
        <w:t>Intake and CSA application processing</w:t>
      </w:r>
    </w:p>
    <w:p>
      <w:pPr>
        <w:pStyle w:val="Heading2"/>
        <w:spacing w:before="200" w:after="140"/>
      </w:pPr>
      <w:r>
        <w:rPr>
          <w:rFonts w:ascii="Calibri" w:hAnsi="Calibri"/>
          <w:b/>
          <w:color w:val="1F3A5F"/>
          <w:sz w:val="26"/>
        </w:rPr>
        <w:t>What it is for</w:t>
      </w:r>
    </w:p>
    <w:p>
      <w:r>
        <w:t>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1F3A5F"/>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1F3A5F"/>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1F3A5F"/>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360" w:after="140"/>
      </w:pPr>
      <w:r>
        <w:rPr>
          <w:rFonts w:ascii="Calibri" w:hAnsi="Calibri"/>
          <w:b/>
          <w:color w:val="1F3A5F"/>
          <w:sz w:val="36"/>
        </w:rPr>
        <w:t>Verification and CIG review</w:t>
      </w:r>
    </w:p>
    <w:p>
      <w:pPr>
        <w:pStyle w:val="Heading2"/>
        <w:spacing w:before="200" w:after="140"/>
      </w:pPr>
      <w:r>
        <w:rPr>
          <w:rFonts w:ascii="Calibri" w:hAnsi="Calibri"/>
          <w:b/>
          <w:color w:val="1F3A5F"/>
          <w:sz w:val="26"/>
        </w:rPr>
        <w:t>What it is for</w:t>
      </w:r>
    </w:p>
    <w:p>
      <w:r>
        <w:t>Lets Credit Investigation Group staff verify an endorsed application, collect supporting findings, and forward or return the file.</w:t>
      </w:r>
    </w:p>
    <w:p>
      <w:pPr>
        <w:pStyle w:val="Heading2"/>
        <w:spacing w:before="200" w:after="140"/>
      </w:pPr>
      <w:r>
        <w:rPr>
          <w:rFonts w:ascii="Calibri" w:hAnsi="Calibri"/>
          <w:b/>
          <w:color w:val="1F3A5F"/>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1F3A5F"/>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1F3A5F"/>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360" w:after="140"/>
      </w:pPr>
      <w:r>
        <w:rPr>
          <w:rFonts w:ascii="Calibri" w:hAnsi="Calibri"/>
          <w:b/>
          <w:color w:val="1F3A5F"/>
          <w:sz w:val="36"/>
        </w:rPr>
        <w:t>Committee review and decisions</w:t>
      </w:r>
    </w:p>
    <w:p>
      <w:pPr>
        <w:pStyle w:val="Heading2"/>
        <w:spacing w:before="200" w:after="140"/>
      </w:pPr>
      <w:r>
        <w:rPr>
          <w:rFonts w:ascii="Calibri" w:hAnsi="Calibri"/>
          <w:b/>
          <w:color w:val="1F3A5F"/>
          <w:sz w:val="26"/>
        </w:rPr>
        <w:t>What it is for</w:t>
      </w:r>
    </w:p>
    <w:p>
      <w:r>
        <w:t>Lets authorized committee members review evidence, vote, negotiate an offer, place a file on hold, and record the final decision.</w:t>
      </w:r>
    </w:p>
    <w:p>
      <w:pPr>
        <w:pStyle w:val="Heading2"/>
        <w:spacing w:before="200" w:after="140"/>
      </w:pPr>
      <w:r>
        <w:rPr>
          <w:rFonts w:ascii="Calibri" w:hAnsi="Calibri"/>
          <w:b/>
          <w:color w:val="1F3A5F"/>
          <w:sz w:val="26"/>
        </w:rPr>
        <w:t>Where to find it</w:t>
      </w:r>
    </w:p>
    <w:p>
      <w:r>
        <w:t>Open Committee, then choose Voting queue or Decision history.</w:t>
      </w:r>
    </w:p>
    <w:p>
      <w:pPr>
        <w:pStyle w:val="Heading2"/>
        <w:spacing w:before="200" w:after="140"/>
      </w:pPr>
      <w:r>
        <w:rPr>
          <w:rFonts w:ascii="Calibri" w:hAnsi="Calibri"/>
          <w:b/>
          <w:color w:val="1F3A5F"/>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1F3A5F"/>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360" w:after="140"/>
      </w:pPr>
      <w:r>
        <w:rPr>
          <w:rFonts w:ascii="Calibri" w:hAnsi="Calibri"/>
          <w:b/>
          <w:color w:val="1F3A5F"/>
          <w:sz w:val="36"/>
        </w:rPr>
        <w:t>Release and LRA processing</w:t>
      </w:r>
    </w:p>
    <w:p>
      <w:pPr>
        <w:pStyle w:val="Heading2"/>
        <w:spacing w:before="200" w:after="140"/>
      </w:pPr>
      <w:r>
        <w:rPr>
          <w:rFonts w:ascii="Calibri" w:hAnsi="Calibri"/>
          <w:b/>
          <w:color w:val="1F3A5F"/>
          <w:sz w:val="26"/>
        </w:rPr>
        <w:t>What it is for</w:t>
      </w:r>
    </w:p>
    <w:p>
      <w:r>
        <w:t>Lets Loan Release Associates turn an approved file into a released and closed loan with generated documents, signatures, schedules, and release records.</w:t>
      </w:r>
    </w:p>
    <w:p>
      <w:pPr>
        <w:pStyle w:val="Heading2"/>
        <w:spacing w:before="200" w:after="140"/>
      </w:pPr>
      <w:r>
        <w:rPr>
          <w:rFonts w:ascii="Calibri" w:hAnsi="Calibri"/>
          <w:b/>
          <w:color w:val="1F3A5F"/>
          <w:sz w:val="26"/>
        </w:rPr>
        <w:t>Where to find it</w:t>
      </w:r>
    </w:p>
    <w:p>
      <w:r>
        <w:t>Open Release LRA. Use Release queue for active files and Released loans for history.</w:t>
      </w:r>
    </w:p>
    <w:p>
      <w:pPr>
        <w:pStyle w:val="Heading2"/>
        <w:spacing w:before="200" w:after="140"/>
      </w:pPr>
      <w:r>
        <w:rPr>
          <w:rFonts w:ascii="Calibri" w:hAnsi="Calibri"/>
          <w:b/>
          <w:color w:val="1F3A5F"/>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1F3A5F"/>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360" w:after="140"/>
      </w:pPr>
      <w:r>
        <w:rPr>
          <w:rFonts w:ascii="Calibri" w:hAnsi="Calibri"/>
          <w:b/>
          <w:color w:val="1F3A5F"/>
          <w:sz w:val="36"/>
        </w:rPr>
        <w:t>Collections accounts and borrower contact</w:t>
      </w:r>
    </w:p>
    <w:p>
      <w:pPr>
        <w:pStyle w:val="Heading2"/>
        <w:spacing w:before="200" w:after="140"/>
      </w:pPr>
      <w:r>
        <w:rPr>
          <w:rFonts w:ascii="Calibri" w:hAnsi="Calibri"/>
          <w:b/>
          <w:color w:val="1F3A5F"/>
          <w:sz w:val="26"/>
        </w:rPr>
        <w:t>What it is for</w:t>
      </w:r>
    </w:p>
    <w:p>
      <w:r>
        <w:t>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1F3A5F"/>
          <w:sz w:val="26"/>
        </w:rPr>
        <w:t>Where to find it</w:t>
      </w:r>
    </w:p>
    <w:p>
      <w:r>
        <w:t>Open Collection, then choose Accounts or a dashboard link.</w:t>
      </w:r>
    </w:p>
    <w:p>
      <w:pPr>
        <w:pStyle w:val="Heading2"/>
        <w:spacing w:before="200" w:after="140"/>
      </w:pPr>
      <w:r>
        <w:rPr>
          <w:rFonts w:ascii="Calibri" w:hAnsi="Calibri"/>
          <w:b/>
          <w:color w:val="1F3A5F"/>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1F3A5F"/>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360" w:after="140"/>
      </w:pPr>
      <w:r>
        <w:rPr>
          <w:rFonts w:ascii="Calibri" w:hAnsi="Calibri"/>
          <w:b/>
          <w:color w:val="1F3A5F"/>
          <w:sz w:val="36"/>
        </w:rPr>
        <w:t>Daily collection report register</w:t>
      </w:r>
    </w:p>
    <w:p>
      <w:pPr>
        <w:pStyle w:val="Heading2"/>
        <w:spacing w:before="200" w:after="140"/>
      </w:pPr>
      <w:r>
        <w:rPr>
          <w:rFonts w:ascii="Calibri" w:hAnsi="Calibri"/>
          <w:b/>
          <w:color w:val="1F3A5F"/>
          <w:sz w:val="26"/>
        </w:rPr>
        <w:t>What it is for</w:t>
      </w:r>
    </w:p>
    <w:p>
      <w:r>
        <w:t>Lets collectors prepare a Daily Collection Report Register from recorded payments and send it for accounting review.</w:t>
      </w:r>
    </w:p>
    <w:p>
      <w:pPr>
        <w:pStyle w:val="Heading2"/>
        <w:spacing w:before="200" w:after="140"/>
      </w:pPr>
      <w:r>
        <w:rPr>
          <w:rFonts w:ascii="Calibri" w:hAnsi="Calibri"/>
          <w:b/>
          <w:color w:val="1F3A5F"/>
          <w:sz w:val="26"/>
        </w:rPr>
        <w:t>Where to find it</w:t>
      </w:r>
    </w:p>
    <w:p>
      <w:r>
        <w:t>Open Collection, then DCRR builder. Use DCRR history to review prior reports.</w:t>
      </w:r>
    </w:p>
    <w:p>
      <w:pPr>
        <w:pStyle w:val="Heading2"/>
        <w:spacing w:before="200" w:after="140"/>
      </w:pPr>
      <w:r>
        <w:rPr>
          <w:rFonts w:ascii="Calibri" w:hAnsi="Calibri"/>
          <w:b/>
          <w:color w:val="1F3A5F"/>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1F3A5F"/>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360" w:after="140"/>
      </w:pPr>
      <w:r>
        <w:rPr>
          <w:rFonts w:ascii="Calibri" w:hAnsi="Calibri"/>
          <w:b/>
          <w:color w:val="1F3A5F"/>
          <w:sz w:val="36"/>
        </w:rPr>
        <w:t>Accounting masterlist and payment review</w:t>
      </w:r>
    </w:p>
    <w:p>
      <w:pPr>
        <w:pStyle w:val="Heading2"/>
        <w:spacing w:before="200" w:after="140"/>
      </w:pPr>
      <w:r>
        <w:rPr>
          <w:rFonts w:ascii="Calibri" w:hAnsi="Calibri"/>
          <w:b/>
          <w:color w:val="1F3A5F"/>
          <w:sz w:val="26"/>
        </w:rPr>
        <w:t>What it is for</w:t>
      </w:r>
    </w:p>
    <w:p>
      <w:r>
        <w:t>Lets Accounts Receivable staff manage the masterlist, inspect an account, review payment reports, and complete accounting actions.</w:t>
      </w:r>
    </w:p>
    <w:p>
      <w:pPr>
        <w:pStyle w:val="Heading2"/>
        <w:spacing w:before="200" w:after="140"/>
      </w:pPr>
      <w:r>
        <w:rPr>
          <w:rFonts w:ascii="Calibri" w:hAnsi="Calibri"/>
          <w:b/>
          <w:color w:val="1F3A5F"/>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1F3A5F"/>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1F3A5F"/>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360" w:after="140"/>
      </w:pPr>
      <w:r>
        <w:rPr>
          <w:rFonts w:ascii="Calibri" w:hAnsi="Calibri"/>
          <w:b/>
          <w:color w:val="1F3A5F"/>
          <w:sz w:val="36"/>
        </w:rPr>
        <w:t>Remedial accounts</w:t>
      </w:r>
    </w:p>
    <w:p>
      <w:pPr>
        <w:pStyle w:val="Heading2"/>
        <w:spacing w:before="200" w:after="140"/>
      </w:pPr>
      <w:r>
        <w:rPr>
          <w:rFonts w:ascii="Calibri" w:hAnsi="Calibri"/>
          <w:b/>
          <w:color w:val="1F3A5F"/>
          <w:sz w:val="26"/>
        </w:rPr>
        <w:t>What it is for</w:t>
      </w:r>
    </w:p>
    <w:p>
      <w:r>
        <w:t>Lets remedial staff work with accounts handed over for remedial collection, record payments, prepare DCRRs, and issue a demand letter when needed.</w:t>
      </w:r>
    </w:p>
    <w:p>
      <w:pPr>
        <w:pStyle w:val="Heading2"/>
        <w:spacing w:before="200" w:after="140"/>
      </w:pPr>
      <w:r>
        <w:rPr>
          <w:rFonts w:ascii="Calibri" w:hAnsi="Calibri"/>
          <w:b/>
          <w:color w:val="1F3A5F"/>
          <w:sz w:val="26"/>
        </w:rPr>
        <w:t>Where to find it</w:t>
      </w:r>
    </w:p>
    <w:p>
      <w:r>
        <w:t>Open Remedial, then open an account or select Remedial DCRR.</w:t>
      </w:r>
    </w:p>
    <w:p>
      <w:pPr>
        <w:pStyle w:val="Heading2"/>
        <w:spacing w:before="200" w:after="140"/>
      </w:pPr>
      <w:r>
        <w:rPr>
          <w:rFonts w:ascii="Calibri" w:hAnsi="Calibri"/>
          <w:b/>
          <w:color w:val="1F3A5F"/>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1F3A5F"/>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360" w:after="140"/>
      </w:pPr>
      <w:r>
        <w:rPr>
          <w:rFonts w:ascii="Calibri" w:hAnsi="Calibri"/>
          <w:b/>
          <w:color w:val="1F3A5F"/>
          <w:sz w:val="36"/>
        </w:rPr>
        <w:t>Administration users and roles</w:t>
      </w:r>
    </w:p>
    <w:p>
      <w:pPr>
        <w:pStyle w:val="Heading2"/>
        <w:spacing w:before="200" w:after="140"/>
      </w:pPr>
      <w:r>
        <w:rPr>
          <w:rFonts w:ascii="Calibri" w:hAnsi="Calibri"/>
          <w:b/>
          <w:color w:val="1F3A5F"/>
          <w:sz w:val="26"/>
        </w:rPr>
        <w:t>What it is for</w:t>
      </w:r>
    </w:p>
    <w:p>
      <w:r>
        <w:t>Lets administrators create staff accounts, activate or deactivate them, define roles, assign permissions, and set field rules.</w:t>
      </w:r>
    </w:p>
    <w:p>
      <w:pPr>
        <w:pStyle w:val="Heading2"/>
        <w:spacing w:before="200" w:after="140"/>
      </w:pPr>
      <w:r>
        <w:rPr>
          <w:rFonts w:ascii="Calibri" w:hAnsi="Calibri"/>
          <w:b/>
          <w:color w:val="1F3A5F"/>
          <w:sz w:val="26"/>
        </w:rPr>
        <w:t>Where to find it</w:t>
      </w:r>
    </w:p>
    <w:p>
      <w:r>
        <w:t>Open Users or Roles in the Administration navigation.</w:t>
      </w:r>
    </w:p>
    <w:p>
      <w:pPr>
        <w:pStyle w:val="Heading2"/>
        <w:spacing w:before="200" w:after="140"/>
      </w:pPr>
      <w:r>
        <w:rPr>
          <w:rFonts w:ascii="Calibri" w:hAnsi="Calibri"/>
          <w:b/>
          <w:color w:val="1F3A5F"/>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1F3A5F"/>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360" w:after="140"/>
      </w:pPr>
      <w:r>
        <w:rPr>
          <w:rFonts w:ascii="Calibri" w:hAnsi="Calibri"/>
          <w:b/>
          <w:color w:val="1F3A5F"/>
          <w:sz w:val="36"/>
        </w:rPr>
        <w:t>Administration configuration and loan types</w:t>
      </w:r>
    </w:p>
    <w:p>
      <w:pPr>
        <w:pStyle w:val="Heading2"/>
        <w:spacing w:before="200" w:after="140"/>
      </w:pPr>
      <w:r>
        <w:rPr>
          <w:rFonts w:ascii="Calibri" w:hAnsi="Calibri"/>
          <w:b/>
          <w:color w:val="1F3A5F"/>
          <w:sz w:val="26"/>
        </w:rPr>
        <w:t>What it is for</w:t>
      </w:r>
    </w:p>
    <w:p>
      <w:r>
        <w:t>Lets administrators maintain system settings, test communications, and manage loan type definitions.</w:t>
      </w:r>
    </w:p>
    <w:p>
      <w:pPr>
        <w:pStyle w:val="Heading2"/>
        <w:spacing w:before="200" w:after="140"/>
      </w:pPr>
      <w:r>
        <w:rPr>
          <w:rFonts w:ascii="Calibri" w:hAnsi="Calibri"/>
          <w:b/>
          <w:color w:val="1F3A5F"/>
          <w:sz w:val="26"/>
        </w:rPr>
        <w:t>Where to find it</w:t>
      </w:r>
    </w:p>
    <w:p>
      <w:r>
        <w:t>Open Config, Loan Types, Email Test, or Decision Emails in Administration.</w:t>
      </w:r>
    </w:p>
    <w:p>
      <w:pPr>
        <w:pStyle w:val="Heading2"/>
        <w:spacing w:before="200" w:after="140"/>
      </w:pPr>
      <w:r>
        <w:rPr>
          <w:rFonts w:ascii="Calibri" w:hAnsi="Calibri"/>
          <w:b/>
          <w:color w:val="1F3A5F"/>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1F3A5F"/>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360" w:after="140"/>
      </w:pPr>
      <w:r>
        <w:rPr>
          <w:rFonts w:ascii="Calibri" w:hAnsi="Calibri"/>
          <w:b/>
          <w:color w:val="1F3A5F"/>
          <w:sz w:val="36"/>
        </w:rPr>
        <w:t>Administration checklists and checks</w:t>
      </w:r>
    </w:p>
    <w:p>
      <w:pPr>
        <w:pStyle w:val="Heading2"/>
        <w:spacing w:before="200" w:after="140"/>
      </w:pPr>
      <w:r>
        <w:rPr>
          <w:rFonts w:ascii="Calibri" w:hAnsi="Calibri"/>
          <w:b/>
          <w:color w:val="1F3A5F"/>
          <w:sz w:val="26"/>
        </w:rPr>
        <w:t>What it is for</w:t>
      </w:r>
    </w:p>
    <w:p>
      <w:r>
        <w:t>Lets administrators control workflow checklists and view or manage the configured check items.</w:t>
      </w:r>
    </w:p>
    <w:p>
      <w:pPr>
        <w:pStyle w:val="Heading2"/>
        <w:spacing w:before="200" w:after="140"/>
      </w:pPr>
      <w:r>
        <w:rPr>
          <w:rFonts w:ascii="Calibri" w:hAnsi="Calibri"/>
          <w:b/>
          <w:color w:val="1F3A5F"/>
          <w:sz w:val="26"/>
        </w:rPr>
        <w:t>Where to find it</w:t>
      </w:r>
    </w:p>
    <w:p>
      <w:r>
        <w:t>Open Checklists or Checks in Administration.</w:t>
      </w:r>
    </w:p>
    <w:p>
      <w:pPr>
        <w:pStyle w:val="Heading2"/>
        <w:spacing w:before="200" w:after="140"/>
      </w:pPr>
      <w:r>
        <w:rPr>
          <w:rFonts w:ascii="Calibri" w:hAnsi="Calibri"/>
          <w:b/>
          <w:color w:val="1F3A5F"/>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1F3A5F"/>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360" w:after="140"/>
      </w:pPr>
      <w:r>
        <w:rPr>
          <w:rFonts w:ascii="Calibri" w:hAnsi="Calibri"/>
          <w:b/>
          <w:color w:val="1F3A5F"/>
          <w:sz w:val="36"/>
        </w:rPr>
        <w:t>Administration document templates</w:t>
      </w:r>
    </w:p>
    <w:p>
      <w:pPr>
        <w:pStyle w:val="Heading2"/>
        <w:spacing w:before="200" w:after="140"/>
      </w:pPr>
      <w:r>
        <w:rPr>
          <w:rFonts w:ascii="Calibri" w:hAnsi="Calibri"/>
          <w:b/>
          <w:color w:val="1F3A5F"/>
          <w:sz w:val="26"/>
        </w:rPr>
        <w:t>What it is for</w:t>
      </w:r>
    </w:p>
    <w:p>
      <w:r>
        <w:t>Lets administrators create, edit, preview, publish, download, and manage the document templates used by LoanStar.</w:t>
      </w:r>
    </w:p>
    <w:p>
      <w:pPr>
        <w:pStyle w:val="Heading2"/>
        <w:spacing w:before="200" w:after="140"/>
      </w:pPr>
      <w:r>
        <w:rPr>
          <w:rFonts w:ascii="Calibri" w:hAnsi="Calibri"/>
          <w:b/>
          <w:color w:val="1F3A5F"/>
          <w:sz w:val="26"/>
        </w:rPr>
        <w:t>Where to find it</w:t>
      </w:r>
    </w:p>
    <w:p>
      <w:r>
        <w:t>Open Doc Templates in Administration.</w:t>
      </w:r>
    </w:p>
    <w:p>
      <w:pPr>
        <w:pStyle w:val="Heading2"/>
        <w:spacing w:before="200" w:after="140"/>
      </w:pPr>
      <w:r>
        <w:rPr>
          <w:rFonts w:ascii="Calibri" w:hAnsi="Calibri"/>
          <w:b/>
          <w:color w:val="1F3A5F"/>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1F3A5F"/>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360" w:after="140"/>
      </w:pPr>
      <w:r>
        <w:rPr>
          <w:rFonts w:ascii="Calibri" w:hAnsi="Calibri"/>
          <w:b/>
          <w:color w:val="1F3A5F"/>
          <w:sz w:val="36"/>
        </w:rPr>
        <w:t>Administration audit and legacy import</w:t>
      </w:r>
    </w:p>
    <w:p>
      <w:pPr>
        <w:pStyle w:val="Heading2"/>
        <w:spacing w:before="200" w:after="140"/>
      </w:pPr>
      <w:r>
        <w:rPr>
          <w:rFonts w:ascii="Calibri" w:hAnsi="Calibri"/>
          <w:b/>
          <w:color w:val="1F3A5F"/>
          <w:sz w:val="26"/>
        </w:rPr>
        <w:t>What it is for</w:t>
      </w:r>
    </w:p>
    <w:p>
      <w:r>
        <w:t>Lets administrators review recorded system activity and, for super administrators, validate and run legacy-data import mappings.</w:t>
      </w:r>
    </w:p>
    <w:p>
      <w:pPr>
        <w:pStyle w:val="Heading2"/>
        <w:spacing w:before="200" w:after="140"/>
      </w:pPr>
      <w:r>
        <w:rPr>
          <w:rFonts w:ascii="Calibri" w:hAnsi="Calibri"/>
          <w:b/>
          <w:color w:val="1F3A5F"/>
          <w:sz w:val="26"/>
        </w:rPr>
        <w:t>Where to find it</w:t>
      </w:r>
    </w:p>
    <w:p>
      <w:r>
        <w:t>Open Audit or Legacy Import in Administration.</w:t>
      </w:r>
    </w:p>
    <w:p>
      <w:pPr>
        <w:pStyle w:val="Heading2"/>
        <w:spacing w:before="200" w:after="140"/>
      </w:pPr>
      <w:r>
        <w:rPr>
          <w:rFonts w:ascii="Calibri" w:hAnsi="Calibri"/>
          <w:b/>
          <w:color w:val="1F3A5F"/>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1F3A5F"/>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360" w:after="140"/>
      </w:pPr>
      <w:r>
        <w:rPr>
          <w:rFonts w:ascii="Calibri" w:hAnsi="Calibri"/>
          <w:b/>
          <w:color w:val="1F3A5F"/>
          <w:sz w:val="36"/>
        </w:rPr>
        <w:t>Reports and management insights</w:t>
      </w:r>
    </w:p>
    <w:p>
      <w:pPr>
        <w:pStyle w:val="Heading2"/>
        <w:spacing w:before="200" w:after="140"/>
      </w:pPr>
      <w:r>
        <w:rPr>
          <w:rFonts w:ascii="Calibri" w:hAnsi="Calibri"/>
          <w:b/>
          <w:color w:val="1F3A5F"/>
          <w:sz w:val="26"/>
        </w:rPr>
        <w:t>What it is for</w:t>
      </w:r>
    </w:p>
    <w:p>
      <w:r>
        <w:t>Lets authorized users view portfolio, pipeline, collections, past-due, account, and generated management insights.</w:t>
      </w:r>
    </w:p>
    <w:p>
      <w:pPr>
        <w:pStyle w:val="Heading2"/>
        <w:spacing w:before="200" w:after="140"/>
      </w:pPr>
      <w:r>
        <w:rPr>
          <w:rFonts w:ascii="Calibri" w:hAnsi="Calibri"/>
          <w:b/>
          <w:color w:val="1F3A5F"/>
          <w:sz w:val="26"/>
        </w:rPr>
        <w:t>Where to find it</w:t>
      </w:r>
    </w:p>
    <w:p>
      <w:r>
        <w:t>Open Reports, then use the report navigation for the needed view.</w:t>
      </w:r>
    </w:p>
    <w:p>
      <w:pPr>
        <w:pStyle w:val="Heading2"/>
        <w:spacing w:before="200" w:after="140"/>
      </w:pPr>
      <w:r>
        <w:rPr>
          <w:rFonts w:ascii="Calibri" w:hAnsi="Calibri"/>
          <w:b/>
          <w:color w:val="1F3A5F"/>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1F3A5F"/>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360" w:after="140"/>
      </w:pPr>
      <w:r>
        <w:rPr>
          <w:rFonts w:ascii="Calibri" w:hAnsi="Calibri"/>
          <w:b/>
          <w:color w:val="1F3A5F"/>
          <w:sz w:val="36"/>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