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2"/>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480" w:after="140"/>
      </w:pPr>
      <w:r>
        <w:rPr>
          <w:rFonts w:ascii="Calibri" w:hAnsi="Calibri"/>
          <w:b/>
          <w:color w:val="365F91"/>
          <w:sz w:val="28"/>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480" w:after="140"/>
      </w:pPr>
      <w:r>
        <w:rPr>
          <w:rFonts w:ascii="Calibri" w:hAnsi="Calibri"/>
          <w:b/>
          <w:color w:val="365F91"/>
          <w:sz w:val="28"/>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480" w:after="140"/>
      </w:pPr>
      <w:r>
        <w:rPr>
          <w:rFonts w:ascii="Calibri" w:hAnsi="Calibri"/>
          <w:b/>
          <w:color w:val="365F91"/>
          <w:sz w:val="28"/>
        </w:rPr>
        <w:t>Sign in and recover access</w:t>
      </w:r>
    </w:p>
    <w:p>
      <w:pPr>
        <w:pStyle w:val="Heading2"/>
        <w:spacing w:before="200" w:after="140"/>
      </w:pPr>
      <w:r>
        <w:rPr>
          <w:rFonts w:ascii="Calibri" w:hAnsi="Calibri"/>
          <w:b/>
          <w:color w:val="4F81BD"/>
          <w:sz w:val="26"/>
        </w:rPr>
        <w:t>What it is for</w:t>
      </w:r>
    </w:p>
    <w:p>
      <w:r>
        <w:t>Who uses this: Users with access to this work area. Lets you enter LoanStar, create an account where registration is enabled, or replace a forgotten password.</w:t>
      </w:r>
    </w:p>
    <w:p>
      <w:pPr>
        <w:pStyle w:val="Heading2"/>
        <w:spacing w:before="200" w:after="140"/>
      </w:pPr>
      <w:r>
        <w:rPr>
          <w:rFonts w:ascii="Calibri" w:hAnsi="Calibri"/>
          <w:b/>
          <w:color w:val="4F81BD"/>
          <w:sz w:val="26"/>
        </w:rPr>
        <w:t>Where to find it</w:t>
      </w:r>
    </w:p>
    <w:p>
      <w:r>
        <w:t>Use the sign-in page. Choose Forgot password when you cannot remember your password.</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Use the sign-in page. Choose Forgot password when you cannot remember your password.</w:t>
            </w:r>
          </w:p>
        </w:tc>
      </w:tr>
    </w:tbl>
    <w:p>
      <w:pPr>
        <w:pStyle w:val="Heading2"/>
        <w:spacing w:before="200" w:after="140"/>
      </w:pPr>
      <w:r>
        <w:rPr>
          <w:rFonts w:ascii="Calibri" w:hAnsi="Calibri"/>
          <w:b/>
          <w:color w:val="4F81BD"/>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4F81BD"/>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480" w:after="140"/>
      </w:pPr>
      <w:r>
        <w:rPr>
          <w:rFonts w:ascii="Calibri" w:hAnsi="Calibri"/>
          <w:b/>
          <w:color w:val="365F91"/>
          <w:sz w:val="28"/>
        </w:rPr>
        <w:t>Your account and notifications</w:t>
      </w:r>
    </w:p>
    <w:p>
      <w:pPr>
        <w:pStyle w:val="Heading2"/>
        <w:spacing w:before="200" w:after="140"/>
      </w:pPr>
      <w:r>
        <w:rPr>
          <w:rFonts w:ascii="Calibri" w:hAnsi="Calibri"/>
          <w:b/>
          <w:color w:val="4F81BD"/>
          <w:sz w:val="26"/>
        </w:rPr>
        <w:t>What it is for</w:t>
      </w:r>
    </w:p>
    <w:p>
      <w:r>
        <w:t>Who uses this: Users with access to this work area. Lets every signed-in user keep account contact details, preferences, profile photo, and notification settings current.</w:t>
      </w:r>
    </w:p>
    <w:p>
      <w:pPr>
        <w:pStyle w:val="Heading2"/>
        <w:spacing w:before="200" w:after="140"/>
      </w:pPr>
      <w:r>
        <w:rPr>
          <w:rFonts w:ascii="Calibri" w:hAnsi="Calibri"/>
          <w:b/>
          <w:color w:val="4F81BD"/>
          <w:sz w:val="26"/>
        </w:rPr>
        <w:t>Where to find it</w:t>
      </w:r>
    </w:p>
    <w:p>
      <w:r>
        <w:t>Open Account from the application header or account menu.</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 from the application header or account menu.</w:t>
            </w:r>
          </w:p>
        </w:tc>
      </w:tr>
    </w:tbl>
    <w:p>
      <w:pPr>
        <w:pStyle w:val="Heading2"/>
        <w:spacing w:before="200" w:after="140"/>
      </w:pPr>
      <w:r>
        <w:rPr>
          <w:rFonts w:ascii="Calibri" w:hAnsi="Calibri"/>
          <w:b/>
          <w:color w:val="4F81BD"/>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4F81BD"/>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480" w:after="140"/>
      </w:pPr>
      <w:r>
        <w:rPr>
          <w:rFonts w:ascii="Calibri" w:hAnsi="Calibri"/>
          <w:b/>
          <w:color w:val="365F91"/>
          <w:sz w:val="28"/>
        </w:rPr>
        <w:t>Dashboard and role based navigation</w:t>
      </w:r>
    </w:p>
    <w:p>
      <w:pPr>
        <w:pStyle w:val="Heading2"/>
        <w:spacing w:before="200" w:after="140"/>
      </w:pPr>
      <w:r>
        <w:rPr>
          <w:rFonts w:ascii="Calibri" w:hAnsi="Calibri"/>
          <w:b/>
          <w:color w:val="4F81BD"/>
          <w:sz w:val="26"/>
        </w:rPr>
        <w:t>What it is for</w:t>
      </w:r>
    </w:p>
    <w:p>
      <w:r>
        <w:t>Who uses this: Users with access to this work area. Provides a starting view of available work and routes you only to areas allowed by your role.</w:t>
      </w:r>
    </w:p>
    <w:p>
      <w:pPr>
        <w:pStyle w:val="Heading2"/>
        <w:spacing w:before="200" w:after="140"/>
      </w:pPr>
      <w:r>
        <w:rPr>
          <w:rFonts w:ascii="Calibri" w:hAnsi="Calibri"/>
          <w:b/>
          <w:color w:val="4F81BD"/>
          <w:sz w:val="26"/>
        </w:rPr>
        <w:t>Where to find it</w:t>
      </w:r>
    </w:p>
    <w:p>
      <w:r>
        <w:t>Select Dashboard in the left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Select Dashboard in the left navigation.</w:t>
            </w:r>
          </w:p>
        </w:tc>
      </w:tr>
    </w:tbl>
    <w:p>
      <w:pPr>
        <w:pStyle w:val="Heading2"/>
        <w:spacing w:before="200" w:after="140"/>
      </w:pPr>
      <w:r>
        <w:rPr>
          <w:rFonts w:ascii="Calibri" w:hAnsi="Calibri"/>
          <w:b/>
          <w:color w:val="4F81BD"/>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4F81BD"/>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480" w:after="140"/>
      </w:pPr>
      <w:r>
        <w:rPr>
          <w:rFonts w:ascii="Calibri" w:hAnsi="Calibri"/>
          <w:b/>
          <w:color w:val="365F91"/>
          <w:sz w:val="28"/>
        </w:rPr>
        <w:t>Borrower portal and loan application</w:t>
      </w:r>
    </w:p>
    <w:p>
      <w:pPr>
        <w:pStyle w:val="Heading2"/>
        <w:spacing w:before="200" w:after="140"/>
      </w:pPr>
      <w:r>
        <w:rPr>
          <w:rFonts w:ascii="Calibri" w:hAnsi="Calibri"/>
          <w:b/>
          <w:color w:val="4F81BD"/>
          <w:sz w:val="26"/>
        </w:rPr>
        <w:t>What it is for</w:t>
      </w:r>
    </w:p>
    <w:p>
      <w:r>
        <w:t>Who uses this: Users with access to this work area. Lets a borrower register, start or resume an application, supply information and documents, accept offers, and follow an active loan.</w:t>
      </w:r>
    </w:p>
    <w:p>
      <w:pPr>
        <w:pStyle w:val="Heading2"/>
        <w:spacing w:before="200" w:after="140"/>
      </w:pPr>
      <w:r>
        <w:rPr>
          <w:rFonts w:ascii="Calibri" w:hAnsi="Calibri"/>
          <w:b/>
          <w:color w:val="4F81BD"/>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borrower-portal.png"/>
                    <pic:cNvPicPr/>
                  </pic:nvPicPr>
                  <pic:blipFill>
                    <a:blip r:embed="rId10"/>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Borrower Portal workspace. The Start application button is in the upper-right area.</w:t>
      </w:r>
    </w:p>
    <w:p>
      <w:pPr>
        <w:pStyle w:val="Heading2"/>
        <w:spacing w:before="200" w:after="140"/>
      </w:pPr>
      <w:r>
        <w:rPr>
          <w:rFonts w:ascii="Calibri" w:hAnsi="Calibri"/>
          <w:b/>
          <w:color w:val="4F81BD"/>
          <w:sz w:val="26"/>
        </w:rPr>
        <w:t>What you should see</w:t>
      </w:r>
    </w:p>
    <w:p>
      <w:pPr>
        <w:pStyle w:val="ListNumber"/>
      </w:pPr>
      <w:r>
        <w:t>You should see the Borrower Portal heading, your application status cards, and a Start application button at the upper right.</w:t>
      </w:r>
    </w:p>
    <w:p>
      <w:pPr>
        <w:pStyle w:val="ListNumber"/>
      </w:pPr>
      <w:r>
        <w:t>Select Start application to open the application flow; after saving, the new or existing application appears in this same portal.</w:t>
      </w:r>
    </w:p>
    <w:p>
      <w:pPr>
        <w:pStyle w:val="ListNumber"/>
      </w:pPr>
      <w:r>
        <w:t>Use the portal cards to return to an application, documents, or loan status when those options appear for its current stage.</w:t>
      </w:r>
    </w:p>
    <w:p>
      <w:pPr>
        <w:pStyle w:val="Heading2"/>
        <w:spacing w:before="200" w:after="140"/>
      </w:pPr>
      <w:r>
        <w:rPr>
          <w:rFonts w:ascii="Calibri" w:hAnsi="Calibri"/>
          <w:b/>
          <w:color w:val="4F81BD"/>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4F81BD"/>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480" w:after="140"/>
      </w:pPr>
      <w:r>
        <w:rPr>
          <w:rFonts w:ascii="Calibri" w:hAnsi="Calibri"/>
          <w:b/>
          <w:color w:val="365F91"/>
          <w:sz w:val="28"/>
        </w:rPr>
        <w:t>Agent leads</w:t>
      </w:r>
    </w:p>
    <w:p>
      <w:pPr>
        <w:pStyle w:val="Heading2"/>
        <w:spacing w:before="200" w:after="140"/>
      </w:pPr>
      <w:r>
        <w:rPr>
          <w:rFonts w:ascii="Calibri" w:hAnsi="Calibri"/>
          <w:b/>
          <w:color w:val="4F81BD"/>
          <w:sz w:val="26"/>
        </w:rPr>
        <w:t>What it is for</w:t>
      </w:r>
    </w:p>
    <w:p>
      <w:r>
        <w:t>Who uses this: Users with access to this work area. Lets marketing or sales staff record leads, link a lead to an existing borrower, and monitor progress until closure.</w:t>
      </w:r>
    </w:p>
    <w:p>
      <w:pPr>
        <w:pStyle w:val="Heading2"/>
        <w:spacing w:before="200" w:after="140"/>
      </w:pPr>
      <w:r>
        <w:rPr>
          <w:rFonts w:ascii="Calibri" w:hAnsi="Calibri"/>
          <w:b/>
          <w:color w:val="4F81BD"/>
          <w:sz w:val="26"/>
        </w:rPr>
        <w:t>Where to find it</w:t>
      </w:r>
    </w:p>
    <w:p>
      <w:r>
        <w:t>Open Leads, then choose Leads pipeline or Closed leads.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gent-leads.png"/>
                    <pic:cNvPicPr/>
                  </pic:nvPicPr>
                  <pic:blipFill>
                    <a:blip r:embed="rId11"/>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Agent Leads pipeline. The New lead button is at the upper-right.</w:t>
      </w:r>
    </w:p>
    <w:p>
      <w:pPr>
        <w:pStyle w:val="Heading2"/>
        <w:spacing w:before="200" w:after="140"/>
      </w:pPr>
      <w:r>
        <w:rPr>
          <w:rFonts w:ascii="Calibri" w:hAnsi="Calibri"/>
          <w:b/>
          <w:color w:val="4F81BD"/>
          <w:sz w:val="26"/>
        </w:rPr>
        <w:t>What you should see</w:t>
      </w:r>
    </w:p>
    <w:p>
      <w:pPr>
        <w:pStyle w:val="ListNumber"/>
      </w:pPr>
      <w:r>
        <w:t>You should see the Lead pipeline heading, stage counters, a search field, and filter controls.</w:t>
      </w:r>
    </w:p>
    <w:p>
      <w:pPr>
        <w:pStyle w:val="ListNumber"/>
      </w:pPr>
      <w:r>
        <w:t>Select New lead at the upper right to begin a lead record.</w:t>
      </w:r>
    </w:p>
    <w:p>
      <w:pPr>
        <w:pStyle w:val="ListNumber"/>
      </w:pPr>
      <w:r>
        <w:t>Use the search and filters before opening a row so you are working on the intended lead.</w:t>
      </w:r>
    </w:p>
    <w:p>
      <w:pPr>
        <w:pStyle w:val="Heading2"/>
        <w:spacing w:before="200" w:after="140"/>
      </w:pPr>
      <w:r>
        <w:rPr>
          <w:rFonts w:ascii="Calibri" w:hAnsi="Calibri"/>
          <w:b/>
          <w:color w:val="4F81BD"/>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4F81BD"/>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480" w:after="140"/>
      </w:pPr>
      <w:r>
        <w:rPr>
          <w:rFonts w:ascii="Calibri" w:hAnsi="Calibri"/>
          <w:b/>
          <w:color w:val="365F91"/>
          <w:sz w:val="28"/>
        </w:rPr>
        <w:t>Intake and CSA application processing</w:t>
      </w:r>
    </w:p>
    <w:p>
      <w:pPr>
        <w:pStyle w:val="Heading2"/>
        <w:spacing w:before="200" w:after="140"/>
      </w:pPr>
      <w:r>
        <w:rPr>
          <w:rFonts w:ascii="Calibri" w:hAnsi="Calibri"/>
          <w:b/>
          <w:color w:val="4F81BD"/>
          <w:sz w:val="26"/>
        </w:rPr>
        <w:t>What it is for</w:t>
      </w:r>
    </w:p>
    <w:p>
      <w:r>
        <w:t>Who uses this: Users with access to this work area. 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4F81BD"/>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csa-intake.png"/>
                    <pic:cNvPicPr/>
                  </pic:nvPicPr>
                  <pic:blipFill>
                    <a:blip r:embed="rId12"/>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CSA Intake queue. Use the navigation and queue controls shown to open intake work.</w:t>
      </w:r>
    </w:p>
    <w:p>
      <w:pPr>
        <w:pStyle w:val="Heading2"/>
        <w:spacing w:before="200" w:after="140"/>
      </w:pPr>
      <w:r>
        <w:rPr>
          <w:rFonts w:ascii="Calibri" w:hAnsi="Calibri"/>
          <w:b/>
          <w:color w:val="4F81BD"/>
          <w:sz w:val="26"/>
        </w:rPr>
        <w:t>What you should see</w:t>
      </w:r>
    </w:p>
    <w:p>
      <w:pPr>
        <w:pStyle w:val="ListNumber"/>
      </w:pPr>
      <w:r>
        <w:t>You should see CSA intake queue, stage counters, a search field, and the New application button at the upper right.</w:t>
      </w:r>
    </w:p>
    <w:p>
      <w:pPr>
        <w:pStyle w:val="ListNumber"/>
      </w:pPr>
      <w:r>
        <w:t>Use the Intake submenu to switch between Intake list, Leads list, and Application history.</w:t>
      </w:r>
    </w:p>
    <w:p>
      <w:pPr>
        <w:pStyle w:val="ListNumber"/>
      </w:pPr>
      <w:r>
        <w:t>Find the intended application with search or filters, then open its row to continue intake work.</w:t>
      </w:r>
    </w:p>
    <w:p>
      <w:pPr>
        <w:pStyle w:val="Heading2"/>
        <w:spacing w:before="200" w:after="140"/>
      </w:pPr>
      <w:r>
        <w:rPr>
          <w:rFonts w:ascii="Calibri" w:hAnsi="Calibri"/>
          <w:b/>
          <w:color w:val="4F81BD"/>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4F81BD"/>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480" w:after="140"/>
      </w:pPr>
      <w:r>
        <w:rPr>
          <w:rFonts w:ascii="Calibri" w:hAnsi="Calibri"/>
          <w:b/>
          <w:color w:val="365F91"/>
          <w:sz w:val="28"/>
        </w:rPr>
        <w:t>CSA computation calculator and origination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build the application computation, test eligible schedules, show the borrower the breakdown, and apply an origination interest discount before endorsement.</w:t>
      </w:r>
    </w:p>
    <w:p>
      <w:pPr>
        <w:pStyle w:val="Heading2"/>
        <w:spacing w:before="200" w:after="140"/>
      </w:pPr>
      <w:r>
        <w:rPr>
          <w:rFonts w:ascii="Calibri" w:hAnsi="Calibri"/>
          <w:b/>
          <w:color w:val="4F81BD"/>
          <w:sz w:val="26"/>
        </w:rPr>
        <w:t>Where to find it</w:t>
      </w:r>
    </w:p>
    <w:p>
      <w:r>
        <w:t>Open an application from Intake list and scroll to Computation.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application from Intake list and scroll to Computation.</w:t>
            </w:r>
          </w:p>
        </w:tc>
      </w:tr>
    </w:tbl>
    <w:p>
      <w:pPr>
        <w:pStyle w:val="Heading2"/>
        <w:spacing w:before="200" w:after="140"/>
      </w:pPr>
      <w:r>
        <w:rPr>
          <w:rFonts w:ascii="Calibri" w:hAnsi="Calibri"/>
          <w:b/>
          <w:color w:val="4F81BD"/>
          <w:sz w:val="26"/>
        </w:rPr>
        <w:t>Steps</w:t>
      </w:r>
    </w:p>
    <w:p>
      <w:pPr>
        <w:pStyle w:val="ListNumber"/>
      </w:pPr>
      <w:r>
        <w:t>Select the loan type and confirm the visible interest, processing fee, admin fee, and chattel mortgage fee fields.</w:t>
      </w:r>
    </w:p>
    <w:p>
      <w:pPr>
        <w:pStyle w:val="ListNumber"/>
      </w:pPr>
      <w:r>
        <w:t>Choose the input mode, loan schedule, amount, terms, and add-on months, then select Compute or Recalculate.</w:t>
      </w:r>
    </w:p>
    <w:p>
      <w:pPr>
        <w:pStyle w:val="ListNumber"/>
      </w:pPr>
      <w:r>
        <w:t>Review the calculation breakdown for principal, fees, deductions, net released amount, total interest, total loan, and scheduled amortization.</w:t>
      </w:r>
    </w:p>
    <w:p>
      <w:pPr>
        <w:pStyle w:val="ListNumber"/>
      </w:pPr>
      <w:r>
        <w:t>Select Select discount or Edit discount under Origination discount.</w:t>
      </w:r>
    </w:p>
    <w:p>
      <w:pPr>
        <w:pStyle w:val="ListNumber"/>
      </w:pPr>
      <w:r>
        <w:t>Tick eligible installments, enter the permitted percentage for each selected installment, review the total interest discount, and apply it.</w:t>
      </w:r>
    </w:p>
    <w:p>
      <w:pPr>
        <w:pStyle w:val="ListNumber"/>
      </w:pPr>
      <w:r>
        <w:t>Use Full breakdown only as a supporting view; complete the normal computation review before sending the file forward.</w:t>
      </w:r>
    </w:p>
    <w:p>
      <w:pPr>
        <w:pStyle w:val="Heading2"/>
        <w:spacing w:before="200" w:after="140"/>
      </w:pPr>
      <w:r>
        <w:rPr>
          <w:rFonts w:ascii="Calibri" w:hAnsi="Calibri"/>
          <w:b/>
          <w:color w:val="4F81BD"/>
          <w:sz w:val="26"/>
        </w:rPr>
        <w:t>Tips and things to watch out for</w:t>
      </w:r>
    </w:p>
    <w:p>
      <w:pPr>
        <w:pStyle w:val="ListBullet"/>
      </w:pPr>
      <w:r>
        <w:t>A computation cannot be prepared until the initial interview is recorded.</w:t>
      </w:r>
    </w:p>
    <w:p>
      <w:pPr>
        <w:pStyle w:val="ListBullet"/>
      </w:pPr>
      <w:r>
        <w:t>The schedule message explains special schedule constraints, including terms that must be divisible by the schedule interval.</w:t>
      </w:r>
    </w:p>
    <w:p>
      <w:pPr>
        <w:pStyle w:val="ListBullet"/>
      </w:pPr>
      <w:r>
        <w:t>The computation becomes locked after the file is endorsed.</w:t>
      </w:r>
    </w:p>
    <w:p>
      <w:pPr>
        <w:pStyle w:val="ListBullet"/>
      </w:pPr>
      <w:r>
        <w:t>The borrower must sign the required computation before normal endorsement; use the visible exception flow only when policy permits.</w:t>
      </w:r>
    </w:p>
    <w:p>
      <w:pPr>
        <w:pStyle w:val="Heading1"/>
        <w:spacing w:before="480" w:after="140"/>
      </w:pPr>
      <w:r>
        <w:rPr>
          <w:rFonts w:ascii="Calibri" w:hAnsi="Calibri"/>
          <w:b/>
          <w:color w:val="365F91"/>
          <w:sz w:val="28"/>
        </w:rPr>
        <w:t>CSA settlement deductions and early settlement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include a full settlement of another active loan in a new computation and apply the allowed early settlement interest discount.</w:t>
      </w:r>
    </w:p>
    <w:p>
      <w:pPr>
        <w:pStyle w:val="Heading2"/>
        <w:spacing w:before="200" w:after="140"/>
      </w:pPr>
      <w:r>
        <w:rPr>
          <w:rFonts w:ascii="Calibri" w:hAnsi="Calibri"/>
          <w:b/>
          <w:color w:val="4F81BD"/>
          <w:sz w:val="26"/>
        </w:rPr>
        <w:t>Where to find it</w:t>
      </w:r>
    </w:p>
    <w:p>
      <w:r>
        <w:t>In Computation, open Other deductions and use Offset full settlement.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In Computation, open Other deductions and use Offset full settlement.</w:t>
            </w:r>
          </w:p>
        </w:tc>
      </w:tr>
    </w:tbl>
    <w:p>
      <w:pPr>
        <w:pStyle w:val="Heading2"/>
        <w:spacing w:before="200" w:after="140"/>
      </w:pPr>
      <w:r>
        <w:rPr>
          <w:rFonts w:ascii="Calibri" w:hAnsi="Calibri"/>
          <w:b/>
          <w:color w:val="4F81BD"/>
          <w:sz w:val="26"/>
        </w:rPr>
        <w:t>Steps</w:t>
      </w:r>
    </w:p>
    <w:p>
      <w:pPr>
        <w:pStyle w:val="ListNumber"/>
      </w:pPr>
      <w:r>
        <w:t>Select the target active loan for Offset full settlement.</w:t>
      </w:r>
    </w:p>
    <w:p>
      <w:pPr>
        <w:pStyle w:val="ListNumber"/>
      </w:pPr>
      <w:r>
        <w:t>Review the auto-filled remaining balance and change it only when the application allows it.</w:t>
      </w:r>
    </w:p>
    <w:p>
      <w:pPr>
        <w:pStyle w:val="ListNumber"/>
      </w:pPr>
      <w:r>
        <w:t>Select Apply early settlement discount.</w:t>
      </w:r>
    </w:p>
    <w:p>
      <w:pPr>
        <w:pStyle w:val="ListNumber"/>
      </w:pPr>
      <w:r>
        <w:t>Tick future installments only, set the permitted percentage for each, and review the gross interest, termination fee, and net discount.</w:t>
      </w:r>
    </w:p>
    <w:p>
      <w:pPr>
        <w:pStyle w:val="ListNumber"/>
      </w:pPr>
      <w:r>
        <w:t>Apply the discount, then recalculate and review the revised deduction and net release figures.</w:t>
      </w:r>
    </w:p>
    <w:p>
      <w:pPr>
        <w:pStyle w:val="Heading2"/>
        <w:spacing w:before="200" w:after="140"/>
      </w:pPr>
      <w:r>
        <w:rPr>
          <w:rFonts w:ascii="Calibri" w:hAnsi="Calibri"/>
          <w:b/>
          <w:color w:val="4F81BD"/>
          <w:sz w:val="26"/>
        </w:rPr>
        <w:t>Tips and things to watch out for</w:t>
      </w:r>
    </w:p>
    <w:p>
      <w:pPr>
        <w:pStyle w:val="ListBullet"/>
      </w:pPr>
      <w:r>
        <w:t>Due and past installments are not eligible for the early settlement discount.</w:t>
      </w:r>
    </w:p>
    <w:p>
      <w:pPr>
        <w:pStyle w:val="ListBullet"/>
      </w:pPr>
      <w:r>
        <w:t>The displayed net discount is the selected future interest less one month of interest shown as the termination fee.</w:t>
      </w:r>
    </w:p>
    <w:p>
      <w:pPr>
        <w:pStyle w:val="ListBullet"/>
      </w:pPr>
      <w:r>
        <w:t>The partial-payment tool does not close the other loan and does not apply a discount.</w:t>
      </w:r>
    </w:p>
    <w:p>
      <w:pPr>
        <w:pStyle w:val="Heading1"/>
        <w:spacing w:before="480" w:after="140"/>
      </w:pPr>
      <w:r>
        <w:rPr>
          <w:rFonts w:ascii="Calibri" w:hAnsi="Calibri"/>
          <w:b/>
          <w:color w:val="365F91"/>
          <w:sz w:val="28"/>
        </w:rPr>
        <w:t>Verification and CIG review</w:t>
      </w:r>
    </w:p>
    <w:p>
      <w:pPr>
        <w:pStyle w:val="Heading2"/>
        <w:spacing w:before="200" w:after="140"/>
      </w:pPr>
      <w:r>
        <w:rPr>
          <w:rFonts w:ascii="Calibri" w:hAnsi="Calibri"/>
          <w:b/>
          <w:color w:val="4F81BD"/>
          <w:sz w:val="26"/>
        </w:rPr>
        <w:t>What it is for</w:t>
      </w:r>
    </w:p>
    <w:p>
      <w:r>
        <w:t>Who uses this: Users with access to this work area. Lets Credit Investigation Group staff verify an endorsed application, collect supporting findings, and forward or return the file.</w:t>
      </w:r>
    </w:p>
    <w:p>
      <w:pPr>
        <w:pStyle w:val="Heading2"/>
        <w:spacing w:before="200" w:after="140"/>
      </w:pPr>
      <w:r>
        <w:rPr>
          <w:rFonts w:ascii="Calibri" w:hAnsi="Calibri"/>
          <w:b/>
          <w:color w:val="4F81BD"/>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ig-verification.png"/>
                    <pic:cNvPicPr/>
                  </pic:nvPicPr>
                  <pic:blipFill>
                    <a:blip r:embed="rId13"/>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CIG Verification queue. Open a queued application from this module.</w:t>
      </w:r>
    </w:p>
    <w:p>
      <w:pPr>
        <w:pStyle w:val="Heading2"/>
        <w:spacing w:before="200" w:after="140"/>
      </w:pPr>
      <w:r>
        <w:rPr>
          <w:rFonts w:ascii="Calibri" w:hAnsi="Calibri"/>
          <w:b/>
          <w:color w:val="4F81BD"/>
          <w:sz w:val="26"/>
        </w:rPr>
        <w:t>What you should see</w:t>
      </w:r>
    </w:p>
    <w:p>
      <w:pPr>
        <w:pStyle w:val="ListNumber"/>
      </w:pPr>
      <w:r>
        <w:t>You should see CIG verification queue, the active work counters, a borrower-or-application search field, and a Filters button.</w:t>
      </w:r>
    </w:p>
    <w:p>
      <w:pPr>
        <w:pStyle w:val="ListNumber"/>
      </w:pPr>
      <w:r>
        <w:t>Use the CIG submenu to reach denial calls, scheduled callbacks, and history when those are the task you need to complete.</w:t>
      </w:r>
    </w:p>
    <w:p>
      <w:pPr>
        <w:pStyle w:val="ListNumber"/>
      </w:pPr>
      <w:r>
        <w:t>Open the intended queue item before recording findings or sending a file back for revision.</w:t>
      </w:r>
    </w:p>
    <w:p>
      <w:pPr>
        <w:pStyle w:val="Heading2"/>
        <w:spacing w:before="200" w:after="140"/>
      </w:pPr>
      <w:r>
        <w:rPr>
          <w:rFonts w:ascii="Calibri" w:hAnsi="Calibri"/>
          <w:b/>
          <w:color w:val="4F81BD"/>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4F81BD"/>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480" w:after="140"/>
      </w:pPr>
      <w:r>
        <w:rPr>
          <w:rFonts w:ascii="Calibri" w:hAnsi="Calibri"/>
          <w:b/>
          <w:color w:val="365F91"/>
          <w:sz w:val="28"/>
        </w:rPr>
        <w:t>Committee review and decisions</w:t>
      </w:r>
    </w:p>
    <w:p>
      <w:pPr>
        <w:pStyle w:val="Heading2"/>
        <w:spacing w:before="200" w:after="140"/>
      </w:pPr>
      <w:r>
        <w:rPr>
          <w:rFonts w:ascii="Calibri" w:hAnsi="Calibri"/>
          <w:b/>
          <w:color w:val="4F81BD"/>
          <w:sz w:val="26"/>
        </w:rPr>
        <w:t>What it is for</w:t>
      </w:r>
    </w:p>
    <w:p>
      <w:r>
        <w:t>Who uses this: Users with access to this work area. Lets authorized committee members review evidence, vote, negotiate an offer, place a file on hold, and record the final decision.</w:t>
      </w:r>
    </w:p>
    <w:p>
      <w:pPr>
        <w:pStyle w:val="Heading2"/>
        <w:spacing w:before="200" w:after="140"/>
      </w:pPr>
      <w:r>
        <w:rPr>
          <w:rFonts w:ascii="Calibri" w:hAnsi="Calibri"/>
          <w:b/>
          <w:color w:val="4F81BD"/>
          <w:sz w:val="26"/>
        </w:rPr>
        <w:t>Where to find it</w:t>
      </w:r>
    </w:p>
    <w:p>
      <w:r>
        <w:t>Open Committee, then choose Voting queue or Decision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committee-review.png"/>
                    <pic:cNvPicPr/>
                  </pic:nvPicPr>
                  <pic:blipFill>
                    <a:blip r:embed="rId14"/>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Committee queue. Use this module to open a file for review and voting.</w:t>
      </w:r>
    </w:p>
    <w:p>
      <w:pPr>
        <w:pStyle w:val="Heading2"/>
        <w:spacing w:before="200" w:after="140"/>
      </w:pPr>
      <w:r>
        <w:rPr>
          <w:rFonts w:ascii="Calibri" w:hAnsi="Calibri"/>
          <w:b/>
          <w:color w:val="4F81BD"/>
          <w:sz w:val="26"/>
        </w:rPr>
        <w:t>What you should see</w:t>
      </w:r>
    </w:p>
    <w:p>
      <w:pPr>
        <w:pStyle w:val="ListNumber"/>
      </w:pPr>
      <w:r>
        <w:t>You should see Committee queue, counters for in-queue and decision states, a search field, and a Filters button.</w:t>
      </w:r>
    </w:p>
    <w:p>
      <w:pPr>
        <w:pStyle w:val="ListNumber"/>
      </w:pPr>
      <w:r>
        <w:t>Use the Committee submenu to switch between Voting queue and Decision history.</w:t>
      </w:r>
    </w:p>
    <w:p>
      <w:pPr>
        <w:pStyle w:val="ListNumber"/>
      </w:pPr>
      <w:r>
        <w:t>Search for the application, then open its row before reviewing evidence or recording a vote.</w:t>
      </w:r>
    </w:p>
    <w:p>
      <w:pPr>
        <w:pStyle w:val="Heading2"/>
        <w:spacing w:before="200" w:after="140"/>
      </w:pPr>
      <w:r>
        <w:rPr>
          <w:rFonts w:ascii="Calibri" w:hAnsi="Calibri"/>
          <w:b/>
          <w:color w:val="4F81BD"/>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4F81BD"/>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480" w:after="140"/>
      </w:pPr>
      <w:r>
        <w:rPr>
          <w:rFonts w:ascii="Calibri" w:hAnsi="Calibri"/>
          <w:b/>
          <w:color w:val="365F91"/>
          <w:sz w:val="28"/>
        </w:rPr>
        <w:t>Committee offers counteroffers and approved computation</w:t>
      </w:r>
    </w:p>
    <w:p>
      <w:pPr>
        <w:pStyle w:val="Heading2"/>
        <w:spacing w:before="200" w:after="140"/>
      </w:pPr>
      <w:r>
        <w:rPr>
          <w:rFonts w:ascii="Calibri" w:hAnsi="Calibri"/>
          <w:b/>
          <w:color w:val="4F81BD"/>
          <w:sz w:val="26"/>
        </w:rPr>
        <w:t>What it is for</w:t>
      </w:r>
    </w:p>
    <w:p>
      <w:r>
        <w:t>Who uses this: Users with access to this work area. Lets committee members use the calculation and borrower negotiation information when deciding whether to approve, deny, hold, or accept a counteroffer.</w:t>
      </w:r>
    </w:p>
    <w:p>
      <w:pPr>
        <w:pStyle w:val="Heading2"/>
        <w:spacing w:before="200" w:after="140"/>
      </w:pPr>
      <w:r>
        <w:rPr>
          <w:rFonts w:ascii="Calibri" w:hAnsi="Calibri"/>
          <w:b/>
          <w:color w:val="4F81BD"/>
          <w:sz w:val="26"/>
        </w:rPr>
        <w:t>Where to find it</w:t>
      </w:r>
    </w:p>
    <w:p>
      <w:r>
        <w:t>Open an item from Committee Voting queue and review the application detail.</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item from Committee Voting queue and review the application detail.</w:t>
            </w:r>
          </w:p>
        </w:tc>
      </w:tr>
    </w:tbl>
    <w:p>
      <w:pPr>
        <w:pStyle w:val="Heading2"/>
        <w:spacing w:before="200" w:after="140"/>
      </w:pPr>
      <w:r>
        <w:rPr>
          <w:rFonts w:ascii="Calibri" w:hAnsi="Calibri"/>
          <w:b/>
          <w:color w:val="4F81BD"/>
          <w:sz w:val="26"/>
        </w:rPr>
        <w:t>Steps</w:t>
      </w:r>
    </w:p>
    <w:p>
      <w:pPr>
        <w:pStyle w:val="ListNumber"/>
      </w:pPr>
      <w:r>
        <w:t>Review the visible computation, application evidence, and verification forms before voting.</w:t>
      </w:r>
    </w:p>
    <w:p>
      <w:pPr>
        <w:pStyle w:val="ListNumber"/>
      </w:pPr>
      <w:r>
        <w:t>Record Vote Approve or Vote Deny as your committee vote.</w:t>
      </w:r>
    </w:p>
    <w:p>
      <w:pPr>
        <w:pStyle w:val="ListNumber"/>
      </w:pPr>
      <w:r>
        <w:t>When a borrower counteroffer is displayed, compare the shown amount with the approved terms.</w:t>
      </w:r>
    </w:p>
    <w:p>
      <w:pPr>
        <w:pStyle w:val="ListNumber"/>
      </w:pPr>
      <w:r>
        <w:t>Select Accept followed by the displayed counteroffer amount only when the committee accepts it.</w:t>
      </w:r>
    </w:p>
    <w:p>
      <w:pPr>
        <w:pStyle w:val="ListNumber"/>
      </w:pPr>
      <w:r>
        <w:t>When the application permits an override, use the full calculator shown in the Committee file, add an optional note to the borrower, and save the override.</w:t>
      </w:r>
    </w:p>
    <w:p>
      <w:pPr>
        <w:pStyle w:val="ListNumber"/>
      </w:pPr>
      <w:r>
        <w:t>Use Approve loan, Deny loan, Hold, or Clear hold according to the decision state shown by the file.</w:t>
      </w:r>
    </w:p>
    <w:p>
      <w:pPr>
        <w:pStyle w:val="Heading2"/>
        <w:spacing w:before="200" w:after="140"/>
      </w:pPr>
      <w:r>
        <w:rPr>
          <w:rFonts w:ascii="Calibri" w:hAnsi="Calibri"/>
          <w:b/>
          <w:color w:val="4F81BD"/>
          <w:sz w:val="26"/>
        </w:rPr>
        <w:t>Tips and things to watch out for</w:t>
      </w:r>
    </w:p>
    <w:p>
      <w:pPr>
        <w:pStyle w:val="ListBullet"/>
      </w:pPr>
      <w:r>
        <w:t>The full calculator is controlled by the application override state; it is not always available.</w:t>
      </w:r>
    </w:p>
    <w:p>
      <w:pPr>
        <w:pStyle w:val="ListBullet"/>
      </w:pPr>
      <w:r>
        <w:t>A saved Committee override requires the borrower to re-sign the computation.</w:t>
      </w:r>
    </w:p>
    <w:p>
      <w:pPr>
        <w:pStyle w:val="ListBullet"/>
      </w:pPr>
      <w:r>
        <w:t>A borrower may have to confirm or sign the resulting computation depending on the application state.</w:t>
      </w:r>
    </w:p>
    <w:p>
      <w:pPr>
        <w:pStyle w:val="Heading1"/>
        <w:spacing w:before="480" w:after="140"/>
      </w:pPr>
      <w:r>
        <w:rPr>
          <w:rFonts w:ascii="Calibri" w:hAnsi="Calibri"/>
          <w:b/>
          <w:color w:val="365F91"/>
          <w:sz w:val="28"/>
        </w:rPr>
        <w:t>Release and LRA processing</w:t>
      </w:r>
    </w:p>
    <w:p>
      <w:pPr>
        <w:pStyle w:val="Heading2"/>
        <w:spacing w:before="200" w:after="140"/>
      </w:pPr>
      <w:r>
        <w:rPr>
          <w:rFonts w:ascii="Calibri" w:hAnsi="Calibri"/>
          <w:b/>
          <w:color w:val="4F81BD"/>
          <w:sz w:val="26"/>
        </w:rPr>
        <w:t>What it is for</w:t>
      </w:r>
    </w:p>
    <w:p>
      <w:r>
        <w:t>Who uses this: Users with access to this work area. Lets Loan Release Associates turn an approved file into a released and closed loan with generated documents, signatures, schedules, and release records.</w:t>
      </w:r>
    </w:p>
    <w:p>
      <w:pPr>
        <w:pStyle w:val="Heading2"/>
        <w:spacing w:before="200" w:after="140"/>
      </w:pPr>
      <w:r>
        <w:rPr>
          <w:rFonts w:ascii="Calibri" w:hAnsi="Calibri"/>
          <w:b/>
          <w:color w:val="4F81BD"/>
          <w:sz w:val="26"/>
        </w:rPr>
        <w:t>Where to find it</w:t>
      </w:r>
    </w:p>
    <w:p>
      <w:r>
        <w:t>Open Release LRA. Use Release queue for active files and Released loans for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lra-release.png"/>
                    <pic:cNvPicPr/>
                  </pic:nvPicPr>
                  <pic:blipFill>
                    <a:blip r:embed="rId15"/>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LRA Release queue. Open a queued file to begin release processing.</w:t>
      </w:r>
    </w:p>
    <w:p>
      <w:pPr>
        <w:pStyle w:val="Heading2"/>
        <w:spacing w:before="200" w:after="140"/>
      </w:pPr>
      <w:r>
        <w:rPr>
          <w:rFonts w:ascii="Calibri" w:hAnsi="Calibri"/>
          <w:b/>
          <w:color w:val="4F81BD"/>
          <w:sz w:val="26"/>
        </w:rPr>
        <w:t>What you should see</w:t>
      </w:r>
    </w:p>
    <w:p>
      <w:pPr>
        <w:pStyle w:val="ListNumber"/>
      </w:pPr>
      <w:r>
        <w:t>You should see LRA release queue, release-stage counters, a search field, and a Filters button.</w:t>
      </w:r>
    </w:p>
    <w:p>
      <w:pPr>
        <w:pStyle w:val="ListNumber"/>
      </w:pPr>
      <w:r>
        <w:t>Use the Release LRA submenu to switch between Release queue and Released loans.</w:t>
      </w:r>
    </w:p>
    <w:p>
      <w:pPr>
        <w:pStyle w:val="ListNumber"/>
      </w:pPr>
      <w:r>
        <w:t>Open a queued file before generating documents, recording signatures, or recording release.</w:t>
      </w:r>
    </w:p>
    <w:p>
      <w:pPr>
        <w:pStyle w:val="Heading2"/>
        <w:spacing w:before="200" w:after="140"/>
      </w:pPr>
      <w:r>
        <w:rPr>
          <w:rFonts w:ascii="Calibri" w:hAnsi="Calibri"/>
          <w:b/>
          <w:color w:val="4F81BD"/>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4F81BD"/>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480" w:after="140"/>
      </w:pPr>
      <w:r>
        <w:rPr>
          <w:rFonts w:ascii="Calibri" w:hAnsi="Calibri"/>
          <w:b/>
          <w:color w:val="365F91"/>
          <w:sz w:val="28"/>
        </w:rPr>
        <w:t>Collections accounts and borrower contact</w:t>
      </w:r>
    </w:p>
    <w:p>
      <w:pPr>
        <w:pStyle w:val="Heading2"/>
        <w:spacing w:before="200" w:after="140"/>
      </w:pPr>
      <w:r>
        <w:rPr>
          <w:rFonts w:ascii="Calibri" w:hAnsi="Calibri"/>
          <w:b/>
          <w:color w:val="4F81BD"/>
          <w:sz w:val="26"/>
        </w:rPr>
        <w:t>What it is for</w:t>
      </w:r>
    </w:p>
    <w:p>
      <w:r>
        <w:t>Who uses this: Users with access to this work area. 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4F81BD"/>
          <w:sz w:val="26"/>
        </w:rPr>
        <w:t>Where to find it</w:t>
      </w:r>
    </w:p>
    <w:p>
      <w:r>
        <w:t>Open Collection, then choose Accounts or a dashboard link.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collector-accounts.png"/>
                    <pic:cNvPicPr/>
                  </pic:nvPicPr>
                  <pic:blipFill>
                    <a:blip r:embed="rId16"/>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Collector Assigned accounts module. Open an account from this queue to access its loan and case files.</w:t>
      </w:r>
    </w:p>
    <w:p>
      <w:pPr>
        <w:pStyle w:val="Heading2"/>
        <w:spacing w:before="200" w:after="140"/>
      </w:pPr>
      <w:r>
        <w:rPr>
          <w:rFonts w:ascii="Calibri" w:hAnsi="Calibri"/>
          <w:b/>
          <w:color w:val="4F81BD"/>
          <w:sz w:val="26"/>
        </w:rPr>
        <w:t>What you should see</w:t>
      </w:r>
    </w:p>
    <w:p>
      <w:pPr>
        <w:pStyle w:val="ListNumber"/>
      </w:pPr>
      <w:r>
        <w:t>You should see Assigned accounts, collection counters, a borrower-or-account search field, and aging or segment filters.</w:t>
      </w:r>
    </w:p>
    <w:p>
      <w:pPr>
        <w:pStyle w:val="ListNumber"/>
      </w:pPr>
      <w:r>
        <w:t>Use the Collection submenu to reach Accounts, DCRR, DCRR history, Collector history, and Closed accounts.</w:t>
      </w:r>
    </w:p>
    <w:p>
      <w:pPr>
        <w:pStyle w:val="ListNumber"/>
      </w:pPr>
      <w:r>
        <w:t>Find and open the correct account before entering contact activity, a payment, or a move-of-payment offer.</w:t>
      </w:r>
    </w:p>
    <w:p>
      <w:pPr>
        <w:pStyle w:val="Heading2"/>
        <w:spacing w:before="200" w:after="140"/>
      </w:pPr>
      <w:r>
        <w:rPr>
          <w:rFonts w:ascii="Calibri" w:hAnsi="Calibri"/>
          <w:b/>
          <w:color w:val="4F81BD"/>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4F81BD"/>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480" w:after="140"/>
      </w:pPr>
      <w:r>
        <w:rPr>
          <w:rFonts w:ascii="Calibri" w:hAnsi="Calibri"/>
          <w:b/>
          <w:color w:val="365F91"/>
          <w:sz w:val="28"/>
        </w:rPr>
        <w:t>Collector payment review and move of payment calculator</w:t>
      </w:r>
    </w:p>
    <w:p>
      <w:pPr>
        <w:pStyle w:val="Heading2"/>
        <w:spacing w:before="200" w:after="140"/>
      </w:pPr>
      <w:r>
        <w:rPr>
          <w:rFonts w:ascii="Calibri" w:hAnsi="Calibri"/>
          <w:b/>
          <w:color w:val="4F81BD"/>
          <w:sz w:val="26"/>
        </w:rPr>
        <w:t>What it is for</w:t>
      </w:r>
    </w:p>
    <w:p>
      <w:r>
        <w:t>Who uses this: Users with access to this work area. Lets collection staff record payments, review existing ledger discounts, and calculate a permitted move of payment with its surcharge and replacement-check actions.</w:t>
      </w:r>
    </w:p>
    <w:p>
      <w:pPr>
        <w:pStyle w:val="Heading2"/>
        <w:spacing w:before="200" w:after="140"/>
      </w:pPr>
      <w:r>
        <w:rPr>
          <w:rFonts w:ascii="Calibri" w:hAnsi="Calibri"/>
          <w:b/>
          <w:color w:val="4F81BD"/>
          <w:sz w:val="26"/>
        </w:rPr>
        <w:t>Where to find it</w:t>
      </w:r>
    </w:p>
    <w:p>
      <w:r>
        <w:t>Open Collection Accounts, choose an account, then select Record payment or Move of payment.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Accounts, choose an account, then select Record payment or Move of payment.</w:t>
            </w:r>
          </w:p>
        </w:tc>
      </w:tr>
    </w:tbl>
    <w:p>
      <w:pPr>
        <w:pStyle w:val="Heading2"/>
        <w:spacing w:before="200" w:after="140"/>
      </w:pPr>
      <w:r>
        <w:rPr>
          <w:rFonts w:ascii="Calibri" w:hAnsi="Calibri"/>
          <w:b/>
          <w:color w:val="4F81BD"/>
          <w:sz w:val="26"/>
        </w:rPr>
        <w:t>Steps</w:t>
      </w:r>
    </w:p>
    <w:p>
      <w:pPr>
        <w:pStyle w:val="ListNumber"/>
      </w:pPr>
      <w:r>
        <w:t>Open the loan file first and review the account ledger, including any existing discount amount, and the current amount due.</w:t>
      </w:r>
    </w:p>
    <w:p>
      <w:pPr>
        <w:pStyle w:val="ListNumber"/>
      </w:pPr>
      <w:r>
        <w:t>Select Record payment to enter the received amount and the payment details required by the form.</w:t>
      </w:r>
    </w:p>
    <w:p>
      <w:pPr>
        <w:pStyle w:val="ListNumber"/>
      </w:pPr>
      <w:r>
        <w:t>For a schedule change, select Move of payment and choose an eligible open installment.</w:t>
      </w:r>
    </w:p>
    <w:p>
      <w:pPr>
        <w:pStyle w:val="ListNumber"/>
      </w:pPr>
      <w:r>
        <w:t>Review the one-month-interest surcharge shown for the selected installment, then offer the move only after the form permits it.</w:t>
      </w:r>
    </w:p>
    <w:p>
      <w:pPr>
        <w:pStyle w:val="ListNumber"/>
      </w:pPr>
      <w:r>
        <w:t>After a move is applied, record the surcharge payment. Record a replacement check only when the screen shows that the moved payment's check is on hold.</w:t>
      </w:r>
    </w:p>
    <w:p>
      <w:pPr>
        <w:pStyle w:val="Heading2"/>
        <w:spacing w:before="200" w:after="140"/>
      </w:pPr>
      <w:r>
        <w:rPr>
          <w:rFonts w:ascii="Calibri" w:hAnsi="Calibri"/>
          <w:b/>
          <w:color w:val="4F81BD"/>
          <w:sz w:val="26"/>
        </w:rPr>
        <w:t>Tips and things to watch out for</w:t>
      </w:r>
    </w:p>
    <w:p>
      <w:pPr>
        <w:pStyle w:val="ListBullet"/>
      </w:pPr>
      <w:r>
        <w:t>The record-payment screen displays existing origination or early-settlement discounts but the reviewed UI does not provide a Collector-entered discount or penalty-waiver field.</w:t>
      </w:r>
    </w:p>
    <w:p>
      <w:pPr>
        <w:pStyle w:val="ListBullet"/>
      </w:pPr>
      <w:r>
        <w:t>A move of payment can be used only once per loan.</w:t>
      </w:r>
    </w:p>
    <w:p>
      <w:pPr>
        <w:pStyle w:val="ListBullet"/>
      </w:pPr>
      <w:r>
        <w:t>Offering the move does not record the surcharge payment; it is a separate ledger action.</w:t>
      </w:r>
    </w:p>
    <w:p>
      <w:pPr>
        <w:pStyle w:val="Heading1"/>
        <w:spacing w:before="480" w:after="140"/>
      </w:pPr>
      <w:r>
        <w:rPr>
          <w:rFonts w:ascii="Calibri" w:hAnsi="Calibri"/>
          <w:b/>
          <w:color w:val="365F91"/>
          <w:sz w:val="28"/>
        </w:rPr>
        <w:t>Daily collection report register</w:t>
      </w:r>
    </w:p>
    <w:p>
      <w:pPr>
        <w:pStyle w:val="Heading2"/>
        <w:spacing w:before="200" w:after="140"/>
      </w:pPr>
      <w:r>
        <w:rPr>
          <w:rFonts w:ascii="Calibri" w:hAnsi="Calibri"/>
          <w:b/>
          <w:color w:val="4F81BD"/>
          <w:sz w:val="26"/>
        </w:rPr>
        <w:t>What it is for</w:t>
      </w:r>
    </w:p>
    <w:p>
      <w:r>
        <w:t>Who uses this: Users with access to this work area. Lets collectors prepare a Daily Collection Report Register from recorded payments and send it for accounting review.</w:t>
      </w:r>
    </w:p>
    <w:p>
      <w:pPr>
        <w:pStyle w:val="Heading2"/>
        <w:spacing w:before="200" w:after="140"/>
      </w:pPr>
      <w:r>
        <w:rPr>
          <w:rFonts w:ascii="Calibri" w:hAnsi="Calibri"/>
          <w:b/>
          <w:color w:val="4F81BD"/>
          <w:sz w:val="26"/>
        </w:rPr>
        <w:t>Where to find it</w:t>
      </w:r>
    </w:p>
    <w:p>
      <w:r>
        <w:t>Open Collection, then DCRR builder. Use DCRR history to review prior reports.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DCRR builder. Use DCRR history to review prior reports.</w:t>
            </w:r>
          </w:p>
        </w:tc>
      </w:tr>
    </w:tbl>
    <w:p>
      <w:pPr>
        <w:pStyle w:val="Heading2"/>
        <w:spacing w:before="200" w:after="140"/>
      </w:pPr>
      <w:r>
        <w:rPr>
          <w:rFonts w:ascii="Calibri" w:hAnsi="Calibri"/>
          <w:b/>
          <w:color w:val="4F81BD"/>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4F81BD"/>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480" w:after="140"/>
      </w:pPr>
      <w:r>
        <w:rPr>
          <w:rFonts w:ascii="Calibri" w:hAnsi="Calibri"/>
          <w:b/>
          <w:color w:val="365F91"/>
          <w:sz w:val="28"/>
        </w:rPr>
        <w:t>Accounting masterlist and payment review</w:t>
      </w:r>
    </w:p>
    <w:p>
      <w:pPr>
        <w:pStyle w:val="Heading2"/>
        <w:spacing w:before="200" w:after="140"/>
      </w:pPr>
      <w:r>
        <w:rPr>
          <w:rFonts w:ascii="Calibri" w:hAnsi="Calibri"/>
          <w:b/>
          <w:color w:val="4F81BD"/>
          <w:sz w:val="26"/>
        </w:rPr>
        <w:t>What it is for</w:t>
      </w:r>
    </w:p>
    <w:p>
      <w:r>
        <w:t>Who uses this: Users with access to this work area. Lets Accounts Receivable staff manage the masterlist, inspect an account, review payment reports, and complete accounting actions.</w:t>
      </w:r>
    </w:p>
    <w:p>
      <w:pPr>
        <w:pStyle w:val="Heading2"/>
        <w:spacing w:before="200" w:after="140"/>
      </w:pPr>
      <w:r>
        <w:rPr>
          <w:rFonts w:ascii="Calibri" w:hAnsi="Calibri"/>
          <w:b/>
          <w:color w:val="4F81BD"/>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ar-masterlist.png"/>
                    <pic:cNvPicPr/>
                  </pic:nvPicPr>
                  <pic:blipFill>
                    <a:blip r:embed="rId17"/>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AR Masterlist. Use its search and filters to find an account.</w:t>
      </w:r>
    </w:p>
    <w:p>
      <w:pPr>
        <w:pStyle w:val="Heading2"/>
        <w:spacing w:before="200" w:after="140"/>
      </w:pPr>
      <w:r>
        <w:rPr>
          <w:rFonts w:ascii="Calibri" w:hAnsi="Calibri"/>
          <w:b/>
          <w:color w:val="4F81BD"/>
          <w:sz w:val="26"/>
        </w:rPr>
        <w:t>What you should see</w:t>
      </w:r>
    </w:p>
    <w:p>
      <w:pPr>
        <w:pStyle w:val="ListNumber"/>
      </w:pPr>
      <w:r>
        <w:t>You should see AR masterlist, portfolio counters, a search field, and the list of accounts.</w:t>
      </w:r>
    </w:p>
    <w:p>
      <w:pPr>
        <w:pStyle w:val="ListNumber"/>
      </w:pPr>
      <w:r>
        <w:t>Use the Accounting AR submenu to switch between Masterlist, DCRR queue, Internal transfers, History, and Rounding writeoffs.</w:t>
      </w:r>
    </w:p>
    <w:p>
      <w:pPr>
        <w:pStyle w:val="ListNumber"/>
      </w:pPr>
      <w:r>
        <w:t>Use search and filters first, then open the intended account or queue item for the action you need.</w:t>
      </w:r>
    </w:p>
    <w:p>
      <w:pPr>
        <w:pStyle w:val="Heading2"/>
        <w:spacing w:before="200" w:after="140"/>
      </w:pPr>
      <w:r>
        <w:rPr>
          <w:rFonts w:ascii="Calibri" w:hAnsi="Calibri"/>
          <w:b/>
          <w:color w:val="4F81BD"/>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4F81BD"/>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480" w:after="140"/>
      </w:pPr>
      <w:r>
        <w:rPr>
          <w:rFonts w:ascii="Calibri" w:hAnsi="Calibri"/>
          <w:b/>
          <w:color w:val="365F91"/>
          <w:sz w:val="28"/>
        </w:rPr>
        <w:t>Remedial accounts</w:t>
      </w:r>
    </w:p>
    <w:p>
      <w:pPr>
        <w:pStyle w:val="Heading2"/>
        <w:spacing w:before="200" w:after="140"/>
      </w:pPr>
      <w:r>
        <w:rPr>
          <w:rFonts w:ascii="Calibri" w:hAnsi="Calibri"/>
          <w:b/>
          <w:color w:val="4F81BD"/>
          <w:sz w:val="26"/>
        </w:rPr>
        <w:t>What it is for</w:t>
      </w:r>
    </w:p>
    <w:p>
      <w:r>
        <w:t>Who uses this: Users with access to this work area. Lets remedial staff work with accounts handed over for remedial collection, record payments, prepare DCRRs, and issue a demand letter when needed.</w:t>
      </w:r>
    </w:p>
    <w:p>
      <w:pPr>
        <w:pStyle w:val="Heading2"/>
        <w:spacing w:before="200" w:after="140"/>
      </w:pPr>
      <w:r>
        <w:rPr>
          <w:rFonts w:ascii="Calibri" w:hAnsi="Calibri"/>
          <w:b/>
          <w:color w:val="4F81BD"/>
          <w:sz w:val="26"/>
        </w:rPr>
        <w:t>Where to find it</w:t>
      </w:r>
    </w:p>
    <w:p>
      <w:r>
        <w:t>Open Remedial, then open an account or select Remedial DCRR.</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remedial-accounts.png"/>
                    <pic:cNvPicPr/>
                  </pic:nvPicPr>
                  <pic:blipFill>
                    <a:blip r:embed="rId18"/>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Remedial recovery queue. Open an account to review remedial actions.</w:t>
      </w:r>
    </w:p>
    <w:p>
      <w:pPr>
        <w:pStyle w:val="Heading2"/>
        <w:spacing w:before="200" w:after="140"/>
      </w:pPr>
      <w:r>
        <w:rPr>
          <w:rFonts w:ascii="Calibri" w:hAnsi="Calibri"/>
          <w:b/>
          <w:color w:val="4F81BD"/>
          <w:sz w:val="26"/>
        </w:rPr>
        <w:t>What you should see</w:t>
      </w:r>
    </w:p>
    <w:p>
      <w:pPr>
        <w:pStyle w:val="ListNumber"/>
      </w:pPr>
      <w:r>
        <w:t>You should see Remedial recovery, counters for assigned and delinquent work, a search field, and filters.</w:t>
      </w:r>
    </w:p>
    <w:p>
      <w:pPr>
        <w:pStyle w:val="ListNumber"/>
      </w:pPr>
      <w:r>
        <w:t>Use the Remedial submenu to move between Remedial recovery and DCRR.</w:t>
      </w:r>
    </w:p>
    <w:p>
      <w:pPr>
        <w:pStyle w:val="ListNumber"/>
      </w:pPr>
      <w:r>
        <w:t>Open the account from the recovery list before recording a payment, sending a demand letter, or preparing DCRR work.</w:t>
      </w:r>
    </w:p>
    <w:p>
      <w:pPr>
        <w:pStyle w:val="Heading2"/>
        <w:spacing w:before="200" w:after="140"/>
      </w:pPr>
      <w:r>
        <w:rPr>
          <w:rFonts w:ascii="Calibri" w:hAnsi="Calibri"/>
          <w:b/>
          <w:color w:val="4F81BD"/>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4F81BD"/>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480" w:after="140"/>
      </w:pPr>
      <w:r>
        <w:rPr>
          <w:rFonts w:ascii="Calibri" w:hAnsi="Calibri"/>
          <w:b/>
          <w:color w:val="365F91"/>
          <w:sz w:val="28"/>
        </w:rPr>
        <w:t>Administration users and roles</w:t>
      </w:r>
    </w:p>
    <w:p>
      <w:pPr>
        <w:pStyle w:val="Heading2"/>
        <w:spacing w:before="200" w:after="140"/>
      </w:pPr>
      <w:r>
        <w:rPr>
          <w:rFonts w:ascii="Calibri" w:hAnsi="Calibri"/>
          <w:b/>
          <w:color w:val="4F81BD"/>
          <w:sz w:val="26"/>
        </w:rPr>
        <w:t>What it is for</w:t>
      </w:r>
    </w:p>
    <w:p>
      <w:r>
        <w:t>Who uses this: Users with access to this work area. Lets administrators create staff accounts, activate or deactivate them, define roles, assign permissions, and set field rules.</w:t>
      </w:r>
    </w:p>
    <w:p>
      <w:pPr>
        <w:pStyle w:val="Heading2"/>
        <w:spacing w:before="200" w:after="140"/>
      </w:pPr>
      <w:r>
        <w:rPr>
          <w:rFonts w:ascii="Calibri" w:hAnsi="Calibri"/>
          <w:b/>
          <w:color w:val="4F81BD"/>
          <w:sz w:val="26"/>
        </w:rPr>
        <w:t>Where to find it</w:t>
      </w:r>
    </w:p>
    <w:p>
      <w:r>
        <w:t>Open Users or Roles in the Administration navigation.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admin.png"/>
                    <pic:cNvPicPr/>
                  </pic:nvPicPr>
                  <pic:blipFill>
                    <a:blip r:embed="rId19"/>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Administration workspace. Use the Administration navigation to reach Users and Roles.</w:t>
      </w:r>
    </w:p>
    <w:p>
      <w:pPr>
        <w:pStyle w:val="Heading2"/>
        <w:spacing w:before="200" w:after="140"/>
      </w:pPr>
      <w:r>
        <w:rPr>
          <w:rFonts w:ascii="Calibri" w:hAnsi="Calibri"/>
          <w:b/>
          <w:color w:val="4F81BD"/>
          <w:sz w:val="26"/>
        </w:rPr>
        <w:t>What you should see</w:t>
      </w:r>
    </w:p>
    <w:p>
      <w:pPr>
        <w:pStyle w:val="ListNumber"/>
      </w:pPr>
      <w:r>
        <w:t>You should see the Administration dashboard and its navigation for Users, Roles, Config, Loan Types, Checks, document templates, and audit work.</w:t>
      </w:r>
    </w:p>
    <w:p>
      <w:pPr>
        <w:pStyle w:val="ListNumber"/>
      </w:pPr>
      <w:r>
        <w:t>Select Users or Roles in the Administration navigation rather than working from the dashboard summary.</w:t>
      </w:r>
    </w:p>
    <w:p>
      <w:pPr>
        <w:pStyle w:val="ListNumber"/>
      </w:pPr>
      <w:r>
        <w:t>Use search and filters on the destination page before opening or changing a record.</w:t>
      </w:r>
    </w:p>
    <w:p>
      <w:pPr>
        <w:pStyle w:val="Heading2"/>
        <w:spacing w:before="200" w:after="140"/>
      </w:pPr>
      <w:r>
        <w:rPr>
          <w:rFonts w:ascii="Calibri" w:hAnsi="Calibri"/>
          <w:b/>
          <w:color w:val="4F81BD"/>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4F81BD"/>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480" w:after="140"/>
      </w:pPr>
      <w:r>
        <w:rPr>
          <w:rFonts w:ascii="Calibri" w:hAnsi="Calibri"/>
          <w:b/>
          <w:color w:val="365F91"/>
          <w:sz w:val="28"/>
        </w:rPr>
        <w:t>Administration configuration and loan types</w:t>
      </w:r>
    </w:p>
    <w:p>
      <w:pPr>
        <w:pStyle w:val="Heading2"/>
        <w:spacing w:before="200" w:after="140"/>
      </w:pPr>
      <w:r>
        <w:rPr>
          <w:rFonts w:ascii="Calibri" w:hAnsi="Calibri"/>
          <w:b/>
          <w:color w:val="4F81BD"/>
          <w:sz w:val="26"/>
        </w:rPr>
        <w:t>What it is for</w:t>
      </w:r>
    </w:p>
    <w:p>
      <w:r>
        <w:t>Who uses this: Users with access to this work area. Lets administrators maintain system settings, test communications, and manage loan type definitions.</w:t>
      </w:r>
    </w:p>
    <w:p>
      <w:pPr>
        <w:pStyle w:val="Heading2"/>
        <w:spacing w:before="200" w:after="140"/>
      </w:pPr>
      <w:r>
        <w:rPr>
          <w:rFonts w:ascii="Calibri" w:hAnsi="Calibri"/>
          <w:b/>
          <w:color w:val="4F81BD"/>
          <w:sz w:val="26"/>
        </w:rPr>
        <w:t>Where to find it</w:t>
      </w:r>
    </w:p>
    <w:p>
      <w:r>
        <w:t>Open Config, Loan Types, Email Test, or Decision Emails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Config, Loan Types, Email Test, or Decision Emails in Administration.</w:t>
            </w:r>
          </w:p>
        </w:tc>
      </w:tr>
    </w:tbl>
    <w:p>
      <w:pPr>
        <w:pStyle w:val="Heading2"/>
        <w:spacing w:before="200" w:after="140"/>
      </w:pPr>
      <w:r>
        <w:rPr>
          <w:rFonts w:ascii="Calibri" w:hAnsi="Calibri"/>
          <w:b/>
          <w:color w:val="4F81BD"/>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4F81BD"/>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480" w:after="140"/>
      </w:pPr>
      <w:r>
        <w:rPr>
          <w:rFonts w:ascii="Calibri" w:hAnsi="Calibri"/>
          <w:b/>
          <w:color w:val="365F91"/>
          <w:sz w:val="28"/>
        </w:rPr>
        <w:t>Administration checklists and checks</w:t>
      </w:r>
    </w:p>
    <w:p>
      <w:pPr>
        <w:pStyle w:val="Heading2"/>
        <w:spacing w:before="200" w:after="140"/>
      </w:pPr>
      <w:r>
        <w:rPr>
          <w:rFonts w:ascii="Calibri" w:hAnsi="Calibri"/>
          <w:b/>
          <w:color w:val="4F81BD"/>
          <w:sz w:val="26"/>
        </w:rPr>
        <w:t>What it is for</w:t>
      </w:r>
    </w:p>
    <w:p>
      <w:r>
        <w:t>Who uses this: Users with access to this work area. Lets administrators control workflow checklists and view or manage the configured check items.</w:t>
      </w:r>
    </w:p>
    <w:p>
      <w:pPr>
        <w:pStyle w:val="Heading2"/>
        <w:spacing w:before="200" w:after="140"/>
      </w:pPr>
      <w:r>
        <w:rPr>
          <w:rFonts w:ascii="Calibri" w:hAnsi="Calibri"/>
          <w:b/>
          <w:color w:val="4F81BD"/>
          <w:sz w:val="26"/>
        </w:rPr>
        <w:t>Where to find it</w:t>
      </w:r>
    </w:p>
    <w:p>
      <w:r>
        <w:t>Open Checklists or Checks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Checklists or Checks in Administration.</w:t>
            </w:r>
          </w:p>
        </w:tc>
      </w:tr>
    </w:tbl>
    <w:p>
      <w:pPr>
        <w:pStyle w:val="Heading2"/>
        <w:spacing w:before="200" w:after="140"/>
      </w:pPr>
      <w:r>
        <w:rPr>
          <w:rFonts w:ascii="Calibri" w:hAnsi="Calibri"/>
          <w:b/>
          <w:color w:val="4F81BD"/>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4F81BD"/>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480" w:after="140"/>
      </w:pPr>
      <w:r>
        <w:rPr>
          <w:rFonts w:ascii="Calibri" w:hAnsi="Calibri"/>
          <w:b/>
          <w:color w:val="365F91"/>
          <w:sz w:val="28"/>
        </w:rPr>
        <w:t>Administration document templates</w:t>
      </w:r>
    </w:p>
    <w:p>
      <w:pPr>
        <w:pStyle w:val="Heading2"/>
        <w:spacing w:before="200" w:after="140"/>
      </w:pPr>
      <w:r>
        <w:rPr>
          <w:rFonts w:ascii="Calibri" w:hAnsi="Calibri"/>
          <w:b/>
          <w:color w:val="4F81BD"/>
          <w:sz w:val="26"/>
        </w:rPr>
        <w:t>What it is for</w:t>
      </w:r>
    </w:p>
    <w:p>
      <w:r>
        <w:t>Who uses this: Users with access to this work area. Lets administrators create, edit, preview, publish, download, and manage the document templates used by LoanStar.</w:t>
      </w:r>
    </w:p>
    <w:p>
      <w:pPr>
        <w:pStyle w:val="Heading2"/>
        <w:spacing w:before="200" w:after="140"/>
      </w:pPr>
      <w:r>
        <w:rPr>
          <w:rFonts w:ascii="Calibri" w:hAnsi="Calibri"/>
          <w:b/>
          <w:color w:val="4F81BD"/>
          <w:sz w:val="26"/>
        </w:rPr>
        <w:t>Where to find it</w:t>
      </w:r>
    </w:p>
    <w:p>
      <w:r>
        <w:t>Open Doc Templates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Doc Templates in Administration.</w:t>
            </w:r>
          </w:p>
        </w:tc>
      </w:tr>
    </w:tbl>
    <w:p>
      <w:pPr>
        <w:pStyle w:val="Heading2"/>
        <w:spacing w:before="200" w:after="140"/>
      </w:pPr>
      <w:r>
        <w:rPr>
          <w:rFonts w:ascii="Calibri" w:hAnsi="Calibri"/>
          <w:b/>
          <w:color w:val="4F81BD"/>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4F81BD"/>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480" w:after="140"/>
      </w:pPr>
      <w:r>
        <w:rPr>
          <w:rFonts w:ascii="Calibri" w:hAnsi="Calibri"/>
          <w:b/>
          <w:color w:val="365F91"/>
          <w:sz w:val="28"/>
        </w:rPr>
        <w:t>Administration audit and legacy import</w:t>
      </w:r>
    </w:p>
    <w:p>
      <w:pPr>
        <w:pStyle w:val="Heading2"/>
        <w:spacing w:before="200" w:after="140"/>
      </w:pPr>
      <w:r>
        <w:rPr>
          <w:rFonts w:ascii="Calibri" w:hAnsi="Calibri"/>
          <w:b/>
          <w:color w:val="4F81BD"/>
          <w:sz w:val="26"/>
        </w:rPr>
        <w:t>What it is for</w:t>
      </w:r>
    </w:p>
    <w:p>
      <w:r>
        <w:t>Who uses this: Users with access to this work area. Lets administrators review recorded system activity and, for super administrators, validate and run legacy-data import mappings.</w:t>
      </w:r>
    </w:p>
    <w:p>
      <w:pPr>
        <w:pStyle w:val="Heading2"/>
        <w:spacing w:before="200" w:after="140"/>
      </w:pPr>
      <w:r>
        <w:rPr>
          <w:rFonts w:ascii="Calibri" w:hAnsi="Calibri"/>
          <w:b/>
          <w:color w:val="4F81BD"/>
          <w:sz w:val="26"/>
        </w:rPr>
        <w:t>Where to find it</w:t>
      </w:r>
    </w:p>
    <w:p>
      <w:r>
        <w:t>Open Audit or Legacy Import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Audit or Legacy Import in Administration.</w:t>
            </w:r>
          </w:p>
        </w:tc>
      </w:tr>
    </w:tbl>
    <w:p>
      <w:pPr>
        <w:pStyle w:val="Heading2"/>
        <w:spacing w:before="200" w:after="140"/>
      </w:pPr>
      <w:r>
        <w:rPr>
          <w:rFonts w:ascii="Calibri" w:hAnsi="Calibri"/>
          <w:b/>
          <w:color w:val="4F81BD"/>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4F81BD"/>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480" w:after="140"/>
      </w:pPr>
      <w:r>
        <w:rPr>
          <w:rFonts w:ascii="Calibri" w:hAnsi="Calibri"/>
          <w:b/>
          <w:color w:val="365F91"/>
          <w:sz w:val="28"/>
        </w:rPr>
        <w:t>Reports and management insights</w:t>
      </w:r>
    </w:p>
    <w:p>
      <w:pPr>
        <w:pStyle w:val="Heading2"/>
        <w:spacing w:before="200" w:after="140"/>
      </w:pPr>
      <w:r>
        <w:rPr>
          <w:rFonts w:ascii="Calibri" w:hAnsi="Calibri"/>
          <w:b/>
          <w:color w:val="4F81BD"/>
          <w:sz w:val="26"/>
        </w:rPr>
        <w:t>What it is for</w:t>
      </w:r>
    </w:p>
    <w:p>
      <w:r>
        <w:t>Who uses this: Users with access to this work area. Lets authorized users view portfolio, pipeline, collections, past-due, account, and generated management insights.</w:t>
      </w:r>
    </w:p>
    <w:p>
      <w:pPr>
        <w:pStyle w:val="Heading2"/>
        <w:spacing w:before="200" w:after="140"/>
      </w:pPr>
      <w:r>
        <w:rPr>
          <w:rFonts w:ascii="Calibri" w:hAnsi="Calibri"/>
          <w:b/>
          <w:color w:val="4F81BD"/>
          <w:sz w:val="26"/>
        </w:rPr>
        <w:t>Where to find it</w:t>
      </w:r>
    </w:p>
    <w:p>
      <w:r>
        <w:t>Open Reports, then use the report navigation for the needed view.</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Reports, then use the report navigation for the needed view.</w:t>
            </w:r>
          </w:p>
        </w:tc>
      </w:tr>
    </w:tbl>
    <w:p>
      <w:pPr>
        <w:pStyle w:val="Heading2"/>
        <w:spacing w:before="200" w:after="140"/>
      </w:pPr>
      <w:r>
        <w:rPr>
          <w:rFonts w:ascii="Calibri" w:hAnsi="Calibri"/>
          <w:b/>
          <w:color w:val="4F81BD"/>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4F81BD"/>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480" w:after="140"/>
      </w:pPr>
      <w:r>
        <w:rPr>
          <w:rFonts w:ascii="Calibri" w:hAnsi="Calibri"/>
          <w:b/>
          <w:color w:val="365F91"/>
          <w:sz w:val="28"/>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headerReference w:type="default" r:id="rId9"/>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LoanStar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