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A25A6" w14:textId="3D881B09" w:rsidR="002F373D" w:rsidRPr="007B048B" w:rsidRDefault="002F373D" w:rsidP="007B048B">
      <w:pPr>
        <w:adjustRightInd w:val="0"/>
        <w:snapToGrid w:val="0"/>
        <w:spacing w:before="120" w:after="240" w:line="264" w:lineRule="auto"/>
        <w:rPr>
          <w:rFonts w:ascii="Times New Roman" w:eastAsia="宋体" w:hAnsi="Times New Roman"/>
        </w:rPr>
      </w:pPr>
    </w:p>
    <w:p w14:paraId="69CF6F6F" w14:textId="3E8B9EC4" w:rsidR="00103AE2" w:rsidRPr="007B048B" w:rsidRDefault="00B55DC2" w:rsidP="007B048B">
      <w:pPr>
        <w:adjustRightInd w:val="0"/>
        <w:snapToGrid w:val="0"/>
        <w:spacing w:before="120" w:after="240" w:line="264" w:lineRule="auto"/>
        <w:jc w:val="center"/>
        <w:rPr>
          <w:rFonts w:ascii="Times New Roman" w:eastAsia="宋体" w:hAnsi="Times New Roman"/>
          <w:b/>
        </w:rPr>
      </w:pPr>
      <w:r w:rsidRPr="007B048B">
        <w:rPr>
          <w:rFonts w:ascii="Times New Roman" w:eastAsia="宋体" w:hAnsi="Times New Roman" w:hint="eastAsia"/>
          <w:b/>
        </w:rPr>
        <w:t>投资</w:t>
      </w:r>
      <w:r w:rsidR="00103AE2" w:rsidRPr="007B048B">
        <w:rPr>
          <w:rFonts w:ascii="Times New Roman" w:eastAsia="宋体" w:hAnsi="Times New Roman" w:hint="eastAsia"/>
          <w:b/>
        </w:rPr>
        <w:t>条款书</w:t>
      </w:r>
      <w:r w:rsidRPr="007B048B">
        <w:rPr>
          <w:rFonts w:ascii="Times New Roman" w:eastAsia="宋体" w:hAnsi="Times New Roman" w:hint="eastAsia"/>
          <w:b/>
        </w:rPr>
        <w:t>（</w:t>
      </w:r>
      <w:r w:rsidRPr="007B048B">
        <w:rPr>
          <w:rFonts w:ascii="Times New Roman" w:eastAsia="宋体" w:hAnsi="Times New Roman" w:hint="eastAsia"/>
          <w:b/>
        </w:rPr>
        <w:t>TS</w:t>
      </w:r>
      <w:r w:rsidRPr="007B048B">
        <w:rPr>
          <w:rFonts w:ascii="Times New Roman" w:eastAsia="宋体" w:hAnsi="Times New Roman" w:hint="eastAsia"/>
          <w:b/>
        </w:rPr>
        <w:t>）简介</w:t>
      </w:r>
    </w:p>
    <w:p w14:paraId="63CAD8D6" w14:textId="124610A8" w:rsidR="00103AE2" w:rsidRPr="007B048B" w:rsidRDefault="00B55DC2" w:rsidP="00BB08CC">
      <w:pPr>
        <w:adjustRightInd w:val="0"/>
        <w:snapToGrid w:val="0"/>
        <w:spacing w:before="120" w:after="240" w:line="264" w:lineRule="auto"/>
        <w:jc w:val="both"/>
        <w:rPr>
          <w:rFonts w:ascii="Times New Roman" w:eastAsia="宋体" w:hAnsi="Times New Roman"/>
          <w:b/>
        </w:rPr>
      </w:pPr>
      <w:r w:rsidRPr="007B048B">
        <w:rPr>
          <w:rFonts w:ascii="Times New Roman" w:eastAsia="宋体" w:hAnsi="Times New Roman" w:hint="eastAsia"/>
          <w:b/>
        </w:rPr>
        <w:t>TS</w:t>
      </w:r>
      <w:r w:rsidR="00103AE2" w:rsidRPr="007B048B">
        <w:rPr>
          <w:rFonts w:ascii="Times New Roman" w:eastAsia="宋体" w:hAnsi="Times New Roman" w:hint="eastAsia"/>
          <w:b/>
        </w:rPr>
        <w:t>的功能</w:t>
      </w:r>
    </w:p>
    <w:p w14:paraId="59BA5708" w14:textId="47C48E5C" w:rsidR="00C12626" w:rsidRPr="007B048B" w:rsidRDefault="00B55DC2"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TS</w:t>
      </w:r>
      <w:r w:rsidR="005208DD" w:rsidRPr="007B048B">
        <w:rPr>
          <w:rFonts w:ascii="Times New Roman" w:eastAsia="宋体" w:hAnsi="Times New Roman" w:hint="eastAsia"/>
        </w:rPr>
        <w:t>记录了双方对投资项目主要条款的共识，包括估值、投资金额与主要投资人权利。</w:t>
      </w:r>
      <w:r w:rsidRPr="007B048B">
        <w:rPr>
          <w:rFonts w:ascii="Times New Roman" w:eastAsia="宋体" w:hAnsi="Times New Roman" w:hint="eastAsia"/>
        </w:rPr>
        <w:t>TS</w:t>
      </w:r>
      <w:r w:rsidR="005208DD" w:rsidRPr="007B048B">
        <w:rPr>
          <w:rFonts w:ascii="Times New Roman" w:eastAsia="宋体" w:hAnsi="Times New Roman" w:hint="eastAsia"/>
        </w:rPr>
        <w:t>也提供了起草投资文件的路线图。</w:t>
      </w:r>
      <w:r w:rsidRPr="007B048B">
        <w:rPr>
          <w:rFonts w:ascii="Times New Roman" w:eastAsia="宋体" w:hAnsi="Times New Roman" w:hint="eastAsia"/>
        </w:rPr>
        <w:t>TS</w:t>
      </w:r>
      <w:r w:rsidR="005208DD" w:rsidRPr="007B048B">
        <w:rPr>
          <w:rFonts w:ascii="Times New Roman" w:eastAsia="宋体" w:hAnsi="Times New Roman" w:hint="eastAsia"/>
        </w:rPr>
        <w:t>对投资条款的描述</w:t>
      </w:r>
      <w:r w:rsidR="005F56C9" w:rsidRPr="007B048B">
        <w:rPr>
          <w:rFonts w:ascii="Times New Roman" w:eastAsia="宋体" w:hAnsi="Times New Roman" w:hint="eastAsia"/>
        </w:rPr>
        <w:t>还</w:t>
      </w:r>
      <w:r w:rsidR="005208DD" w:rsidRPr="007B048B">
        <w:rPr>
          <w:rFonts w:ascii="Times New Roman" w:eastAsia="宋体" w:hAnsi="Times New Roman" w:hint="eastAsia"/>
        </w:rPr>
        <w:t>没有转化为</w:t>
      </w:r>
      <w:r w:rsidR="005F56C9" w:rsidRPr="007B048B">
        <w:rPr>
          <w:rFonts w:ascii="Times New Roman" w:eastAsia="宋体" w:hAnsi="Times New Roman" w:hint="eastAsia"/>
        </w:rPr>
        <w:t>可执行的</w:t>
      </w:r>
      <w:r w:rsidRPr="007B048B">
        <w:rPr>
          <w:rFonts w:ascii="Times New Roman" w:eastAsia="宋体" w:hAnsi="Times New Roman" w:hint="eastAsia"/>
        </w:rPr>
        <w:t>最终投资文件文本</w:t>
      </w:r>
      <w:r w:rsidR="005F56C9" w:rsidRPr="007B048B">
        <w:rPr>
          <w:rFonts w:ascii="Times New Roman" w:eastAsia="宋体" w:hAnsi="Times New Roman" w:hint="eastAsia"/>
        </w:rPr>
        <w:t>，故而无法律约束力。</w:t>
      </w:r>
      <w:r w:rsidR="00C12626" w:rsidRPr="007B048B">
        <w:rPr>
          <w:rFonts w:ascii="Times New Roman" w:eastAsia="宋体" w:hAnsi="Times New Roman" w:hint="eastAsia"/>
        </w:rPr>
        <w:t>尽管</w:t>
      </w:r>
      <w:r w:rsidRPr="007B048B">
        <w:rPr>
          <w:rFonts w:ascii="Times New Roman" w:eastAsia="宋体" w:hAnsi="Times New Roman" w:hint="eastAsia"/>
        </w:rPr>
        <w:t>TS</w:t>
      </w:r>
      <w:r w:rsidR="00374E16" w:rsidRPr="007B048B">
        <w:rPr>
          <w:rFonts w:ascii="Times New Roman" w:eastAsia="宋体" w:hAnsi="Times New Roman" w:hint="eastAsia"/>
        </w:rPr>
        <w:t>记录</w:t>
      </w:r>
      <w:r w:rsidR="00C12626" w:rsidRPr="007B048B">
        <w:rPr>
          <w:rFonts w:ascii="Times New Roman" w:eastAsia="宋体" w:hAnsi="Times New Roman" w:hint="eastAsia"/>
        </w:rPr>
        <w:t>的投资条款没有法律效力，</w:t>
      </w:r>
      <w:r w:rsidR="00877112">
        <w:rPr>
          <w:rFonts w:ascii="Times New Roman" w:eastAsia="宋体" w:hAnsi="Times New Roman" w:hint="eastAsia"/>
        </w:rPr>
        <w:t>且</w:t>
      </w:r>
      <w:r w:rsidR="00E64B0E" w:rsidRPr="007B048B">
        <w:rPr>
          <w:rFonts w:ascii="Times New Roman" w:eastAsia="宋体" w:hAnsi="Times New Roman" w:hint="eastAsia"/>
        </w:rPr>
        <w:t>双方也可能在最终的投资文件中基于尽职调查发现等因素而改变</w:t>
      </w:r>
      <w:r w:rsidR="00374E16" w:rsidRPr="007B048B">
        <w:rPr>
          <w:rFonts w:ascii="Times New Roman" w:eastAsia="宋体" w:hAnsi="Times New Roman" w:hint="eastAsia"/>
        </w:rPr>
        <w:t>TS</w:t>
      </w:r>
      <w:r w:rsidR="00E64B0E" w:rsidRPr="007B048B">
        <w:rPr>
          <w:rFonts w:ascii="Times New Roman" w:eastAsia="宋体" w:hAnsi="Times New Roman" w:hint="eastAsia"/>
        </w:rPr>
        <w:t>原有条款，</w:t>
      </w:r>
      <w:r w:rsidR="00C12626" w:rsidRPr="007B048B">
        <w:rPr>
          <w:rFonts w:ascii="Times New Roman" w:eastAsia="宋体" w:hAnsi="Times New Roman" w:hint="eastAsia"/>
        </w:rPr>
        <w:t>双方仍应严肃对待</w:t>
      </w:r>
      <w:r w:rsidR="00374E16" w:rsidRPr="007B048B">
        <w:rPr>
          <w:rFonts w:ascii="Times New Roman" w:eastAsia="宋体" w:hAnsi="Times New Roman" w:hint="eastAsia"/>
        </w:rPr>
        <w:t>TS</w:t>
      </w:r>
      <w:r w:rsidR="00C12626" w:rsidRPr="007B048B">
        <w:rPr>
          <w:rFonts w:ascii="Times New Roman" w:eastAsia="宋体" w:hAnsi="Times New Roman" w:hint="eastAsia"/>
        </w:rPr>
        <w:t>，因为</w:t>
      </w:r>
      <w:r w:rsidR="00A8692F" w:rsidRPr="007B048B">
        <w:rPr>
          <w:rFonts w:ascii="Times New Roman" w:eastAsia="宋体" w:hAnsi="Times New Roman" w:hint="eastAsia"/>
        </w:rPr>
        <w:t>在</w:t>
      </w:r>
      <w:r w:rsidR="00C12626" w:rsidRPr="007B048B">
        <w:rPr>
          <w:rFonts w:ascii="Times New Roman" w:eastAsia="宋体" w:hAnsi="Times New Roman" w:hint="eastAsia"/>
        </w:rPr>
        <w:t>没有合理理由的情况下，单方面寻求改变</w:t>
      </w:r>
      <w:r w:rsidR="00374E16" w:rsidRPr="007B048B">
        <w:rPr>
          <w:rFonts w:ascii="Times New Roman" w:eastAsia="宋体" w:hAnsi="Times New Roman" w:hint="eastAsia"/>
        </w:rPr>
        <w:t>TS</w:t>
      </w:r>
      <w:r w:rsidR="00E64B0E" w:rsidRPr="007B048B">
        <w:rPr>
          <w:rFonts w:ascii="Times New Roman" w:eastAsia="宋体" w:hAnsi="Times New Roman" w:hint="eastAsia"/>
        </w:rPr>
        <w:t>所</w:t>
      </w:r>
      <w:r w:rsidR="00C12626" w:rsidRPr="007B048B">
        <w:rPr>
          <w:rFonts w:ascii="Times New Roman" w:eastAsia="宋体" w:hAnsi="Times New Roman" w:hint="eastAsia"/>
        </w:rPr>
        <w:t>记录的投资条款会被视为有损商业诚信</w:t>
      </w:r>
      <w:r w:rsidR="00A8692F" w:rsidRPr="007B048B">
        <w:rPr>
          <w:rFonts w:ascii="Times New Roman" w:eastAsia="宋体" w:hAnsi="Times New Roman" w:hint="eastAsia"/>
        </w:rPr>
        <w:t>的行为</w:t>
      </w:r>
      <w:r w:rsidR="00C12626" w:rsidRPr="007B048B">
        <w:rPr>
          <w:rFonts w:ascii="Times New Roman" w:eastAsia="宋体" w:hAnsi="Times New Roman" w:hint="eastAsia"/>
        </w:rPr>
        <w:t>，影响声誉。</w:t>
      </w:r>
    </w:p>
    <w:p w14:paraId="4D2C18C1" w14:textId="5075CD22" w:rsidR="00E64B0E" w:rsidRPr="007B048B" w:rsidRDefault="005F56C9"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由于需要一定时间来谈判投资文件并完成交割，双方往往会约定一个有法律约束力的排他</w:t>
      </w:r>
      <w:r w:rsidR="00C12626" w:rsidRPr="007B048B">
        <w:rPr>
          <w:rFonts w:ascii="Times New Roman" w:eastAsia="宋体" w:hAnsi="Times New Roman" w:hint="eastAsia"/>
        </w:rPr>
        <w:t>条款，给予投资人在一定期限内的独家谈判权。</w:t>
      </w:r>
    </w:p>
    <w:p w14:paraId="5C72F79F" w14:textId="504805C2" w:rsidR="00103AE2" w:rsidRPr="007B048B" w:rsidRDefault="00374E16" w:rsidP="00BB08CC">
      <w:pPr>
        <w:adjustRightInd w:val="0"/>
        <w:snapToGrid w:val="0"/>
        <w:spacing w:before="120" w:after="240" w:line="264" w:lineRule="auto"/>
        <w:jc w:val="both"/>
        <w:rPr>
          <w:rFonts w:ascii="Times New Roman" w:eastAsia="宋体" w:hAnsi="Times New Roman"/>
          <w:b/>
        </w:rPr>
      </w:pPr>
      <w:r w:rsidRPr="007B048B">
        <w:rPr>
          <w:rFonts w:ascii="Times New Roman" w:eastAsia="宋体" w:hAnsi="Times New Roman" w:hint="eastAsia"/>
          <w:b/>
        </w:rPr>
        <w:t>TS</w:t>
      </w:r>
      <w:r w:rsidR="00103AE2" w:rsidRPr="007B048B">
        <w:rPr>
          <w:rFonts w:ascii="Times New Roman" w:eastAsia="宋体" w:hAnsi="Times New Roman" w:hint="eastAsia"/>
          <w:b/>
        </w:rPr>
        <w:t>的结构</w:t>
      </w:r>
    </w:p>
    <w:p w14:paraId="39352ADA" w14:textId="28BFD6F1" w:rsidR="00E64B0E" w:rsidRPr="007B048B" w:rsidRDefault="00A8692F" w:rsidP="00BB08CC">
      <w:pPr>
        <w:adjustRightInd w:val="0"/>
        <w:snapToGrid w:val="0"/>
        <w:spacing w:before="120" w:after="240" w:line="264" w:lineRule="auto"/>
        <w:ind w:left="720"/>
        <w:jc w:val="both"/>
        <w:rPr>
          <w:rFonts w:ascii="Times New Roman" w:eastAsia="宋体" w:hAnsi="Times New Roman"/>
        </w:rPr>
      </w:pPr>
      <w:r w:rsidRPr="007B048B">
        <w:rPr>
          <w:rFonts w:ascii="Times New Roman" w:eastAsia="宋体" w:hAnsi="Times New Roman" w:hint="eastAsia"/>
        </w:rPr>
        <w:t>开源模板的</w:t>
      </w:r>
      <w:r w:rsidR="00374E16" w:rsidRPr="007B048B">
        <w:rPr>
          <w:rFonts w:ascii="Times New Roman" w:eastAsia="宋体" w:hAnsi="Times New Roman" w:hint="eastAsia"/>
        </w:rPr>
        <w:t>TS</w:t>
      </w:r>
      <w:r w:rsidR="000959F4" w:rsidRPr="007B048B">
        <w:rPr>
          <w:rFonts w:ascii="Times New Roman" w:eastAsia="宋体" w:hAnsi="Times New Roman" w:hint="eastAsia"/>
        </w:rPr>
        <w:t>分为</w:t>
      </w:r>
      <w:r w:rsidR="000959F4" w:rsidRPr="007B048B">
        <w:rPr>
          <w:rFonts w:ascii="Times New Roman" w:eastAsia="宋体" w:hAnsi="Times New Roman" w:hint="eastAsia"/>
        </w:rPr>
        <w:t>4</w:t>
      </w:r>
      <w:r w:rsidR="000959F4" w:rsidRPr="007B048B">
        <w:rPr>
          <w:rFonts w:ascii="Times New Roman" w:eastAsia="宋体" w:hAnsi="Times New Roman" w:hint="eastAsia"/>
        </w:rPr>
        <w:t>个</w:t>
      </w:r>
      <w:r w:rsidR="00374E16" w:rsidRPr="007B048B">
        <w:rPr>
          <w:rFonts w:ascii="Times New Roman" w:eastAsia="宋体" w:hAnsi="Times New Roman" w:hint="eastAsia"/>
        </w:rPr>
        <w:t>组成</w:t>
      </w:r>
      <w:r w:rsidR="000959F4" w:rsidRPr="007B048B">
        <w:rPr>
          <w:rFonts w:ascii="Times New Roman" w:eastAsia="宋体" w:hAnsi="Times New Roman" w:hint="eastAsia"/>
        </w:rPr>
        <w:t>部分：</w:t>
      </w:r>
    </w:p>
    <w:p w14:paraId="1F983053" w14:textId="2D753B69" w:rsidR="000959F4" w:rsidRPr="007B048B" w:rsidRDefault="005D57C0" w:rsidP="00BB08CC">
      <w:pPr>
        <w:pStyle w:val="ListParagraph"/>
        <w:numPr>
          <w:ilvl w:val="0"/>
          <w:numId w:val="3"/>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TS</w:t>
      </w:r>
      <w:r w:rsidR="000959F4" w:rsidRPr="007B048B">
        <w:rPr>
          <w:rFonts w:ascii="Times New Roman" w:eastAsia="宋体" w:hAnsi="Times New Roman" w:hint="eastAsia"/>
        </w:rPr>
        <w:t>第一部分描述了拟议的投资所涉及的各方</w:t>
      </w:r>
      <w:r>
        <w:rPr>
          <w:rFonts w:ascii="Times New Roman" w:eastAsia="宋体" w:hAnsi="Times New Roman" w:hint="eastAsia"/>
        </w:rPr>
        <w:t>、</w:t>
      </w:r>
      <w:r w:rsidR="000959F4" w:rsidRPr="007B048B">
        <w:rPr>
          <w:rFonts w:ascii="Times New Roman" w:eastAsia="宋体" w:hAnsi="Times New Roman" w:hint="eastAsia"/>
        </w:rPr>
        <w:t>投资金额，投前估值，和据此计算的投后占比，以及认购的投资工具的类型等</w:t>
      </w:r>
      <w:r>
        <w:rPr>
          <w:rFonts w:ascii="Times New Roman" w:eastAsia="宋体" w:hAnsi="Times New Roman" w:hint="eastAsia"/>
        </w:rPr>
        <w:t>项目</w:t>
      </w:r>
      <w:r w:rsidR="000959F4" w:rsidRPr="007B048B">
        <w:rPr>
          <w:rFonts w:ascii="Times New Roman" w:eastAsia="宋体" w:hAnsi="Times New Roman" w:hint="eastAsia"/>
        </w:rPr>
        <w:t>信息。这部分记录的条款主要在股权购买协议（</w:t>
      </w:r>
      <w:r w:rsidR="000959F4" w:rsidRPr="007B048B">
        <w:rPr>
          <w:rFonts w:ascii="Times New Roman" w:eastAsia="宋体" w:hAnsi="Times New Roman" w:hint="eastAsia"/>
        </w:rPr>
        <w:t>SPA</w:t>
      </w:r>
      <w:r w:rsidR="000959F4" w:rsidRPr="007B048B">
        <w:rPr>
          <w:rFonts w:ascii="Times New Roman" w:eastAsia="宋体" w:hAnsi="Times New Roman" w:hint="eastAsia"/>
        </w:rPr>
        <w:t>）中体现。</w:t>
      </w:r>
    </w:p>
    <w:p w14:paraId="022894A2" w14:textId="1494F693" w:rsidR="00726871" w:rsidRPr="007B048B" w:rsidRDefault="005D57C0" w:rsidP="00BB08CC">
      <w:pPr>
        <w:pStyle w:val="ListParagraph"/>
        <w:numPr>
          <w:ilvl w:val="0"/>
          <w:numId w:val="3"/>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TS</w:t>
      </w:r>
      <w:r w:rsidR="000959F4" w:rsidRPr="007B048B">
        <w:rPr>
          <w:rFonts w:ascii="Times New Roman" w:eastAsia="宋体" w:hAnsi="Times New Roman" w:hint="eastAsia"/>
        </w:rPr>
        <w:t>第二部分描述了</w:t>
      </w:r>
      <w:r w:rsidR="00833E95" w:rsidRPr="007B048B">
        <w:rPr>
          <w:rFonts w:ascii="Times New Roman" w:eastAsia="宋体" w:hAnsi="Times New Roman" w:hint="eastAsia"/>
        </w:rPr>
        <w:t>投资人在投资完成的</w:t>
      </w:r>
      <w:r>
        <w:rPr>
          <w:rFonts w:ascii="Times New Roman" w:eastAsia="宋体" w:hAnsi="Times New Roman" w:hint="eastAsia"/>
        </w:rPr>
        <w:t>所能得到的</w:t>
      </w:r>
      <w:r w:rsidR="00833E95" w:rsidRPr="007B048B">
        <w:rPr>
          <w:rFonts w:ascii="Times New Roman" w:eastAsia="宋体" w:hAnsi="Times New Roman" w:hint="eastAsia"/>
        </w:rPr>
        <w:t>权利，</w:t>
      </w:r>
      <w:r w:rsidR="00362204" w:rsidRPr="007B048B">
        <w:rPr>
          <w:rFonts w:ascii="Times New Roman" w:eastAsia="宋体" w:hAnsi="Times New Roman" w:hint="eastAsia"/>
        </w:rPr>
        <w:t>主要</w:t>
      </w:r>
      <w:r w:rsidR="00833E95" w:rsidRPr="007B048B">
        <w:rPr>
          <w:rFonts w:ascii="Times New Roman" w:eastAsia="宋体" w:hAnsi="Times New Roman" w:hint="eastAsia"/>
        </w:rPr>
        <w:t>包括关于公司企业治理的董事任命权，特定重大事项的同意权，信息权</w:t>
      </w:r>
      <w:r w:rsidR="00362204" w:rsidRPr="007B048B">
        <w:rPr>
          <w:rFonts w:ascii="Times New Roman" w:eastAsia="宋体" w:hAnsi="Times New Roman" w:hint="eastAsia"/>
        </w:rPr>
        <w:t>等</w:t>
      </w:r>
      <w:r w:rsidR="00833E95" w:rsidRPr="007B048B">
        <w:rPr>
          <w:rFonts w:ascii="Times New Roman" w:eastAsia="宋体" w:hAnsi="Times New Roman" w:hint="eastAsia"/>
        </w:rPr>
        <w:t>；关于公司股权结构</w:t>
      </w:r>
      <w:r w:rsidR="00362204" w:rsidRPr="007B048B">
        <w:rPr>
          <w:rFonts w:ascii="Times New Roman" w:eastAsia="宋体" w:hAnsi="Times New Roman" w:hint="eastAsia"/>
        </w:rPr>
        <w:t>的对新股的优先认购权，对老股的优先受让权和共同出售权等。</w:t>
      </w:r>
      <w:r w:rsidR="00726871" w:rsidRPr="007B048B">
        <w:rPr>
          <w:rFonts w:ascii="Times New Roman" w:eastAsia="宋体" w:hAnsi="Times New Roman" w:hint="eastAsia"/>
        </w:rPr>
        <w:t xml:space="preserve"> </w:t>
      </w:r>
      <w:r w:rsidR="00726871" w:rsidRPr="007B048B">
        <w:rPr>
          <w:rFonts w:ascii="Times New Roman" w:eastAsia="宋体" w:hAnsi="Times New Roman" w:hint="eastAsia"/>
        </w:rPr>
        <w:t>这部分描述的条款主要在股东协议（</w:t>
      </w:r>
      <w:r w:rsidR="00726871" w:rsidRPr="007B048B">
        <w:rPr>
          <w:rFonts w:ascii="Times New Roman" w:eastAsia="宋体" w:hAnsi="Times New Roman" w:hint="eastAsia"/>
        </w:rPr>
        <w:t>SHA</w:t>
      </w:r>
      <w:r w:rsidR="00726871" w:rsidRPr="007B048B">
        <w:rPr>
          <w:rFonts w:ascii="Times New Roman" w:eastAsia="宋体" w:hAnsi="Times New Roman" w:hint="eastAsia"/>
        </w:rPr>
        <w:t>）中体现。</w:t>
      </w:r>
    </w:p>
    <w:p w14:paraId="0FF74BED" w14:textId="36C7E3A6" w:rsidR="00726871" w:rsidRPr="007B048B" w:rsidRDefault="005D57C0" w:rsidP="00BB08CC">
      <w:pPr>
        <w:pStyle w:val="ListParagraph"/>
        <w:numPr>
          <w:ilvl w:val="0"/>
          <w:numId w:val="3"/>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TS</w:t>
      </w:r>
      <w:r w:rsidR="00726871" w:rsidRPr="007B048B">
        <w:rPr>
          <w:rFonts w:ascii="Times New Roman" w:eastAsia="宋体" w:hAnsi="Times New Roman" w:hint="eastAsia"/>
        </w:rPr>
        <w:t>第三部分描述了投资人</w:t>
      </w:r>
      <w:r>
        <w:rPr>
          <w:rFonts w:ascii="Times New Roman" w:eastAsia="宋体" w:hAnsi="Times New Roman" w:hint="eastAsia"/>
        </w:rPr>
        <w:t>认购的</w:t>
      </w:r>
      <w:r w:rsidR="00726871" w:rsidRPr="007B048B">
        <w:rPr>
          <w:rFonts w:ascii="Times New Roman" w:eastAsia="宋体" w:hAnsi="Times New Roman" w:hint="eastAsia"/>
        </w:rPr>
        <w:t>优先股的优先权利，主要包括优先</w:t>
      </w:r>
      <w:r w:rsidR="005357B4" w:rsidRPr="007B048B">
        <w:rPr>
          <w:rFonts w:ascii="Times New Roman" w:eastAsia="宋体" w:hAnsi="Times New Roman" w:hint="eastAsia"/>
        </w:rPr>
        <w:t>分红</w:t>
      </w:r>
      <w:r w:rsidR="00726871" w:rsidRPr="007B048B">
        <w:rPr>
          <w:rFonts w:ascii="Times New Roman" w:eastAsia="宋体" w:hAnsi="Times New Roman" w:hint="eastAsia"/>
        </w:rPr>
        <w:t>、清算优先分配</w:t>
      </w:r>
      <w:r w:rsidR="0018034A" w:rsidRPr="007B048B">
        <w:rPr>
          <w:rFonts w:ascii="Times New Roman" w:eastAsia="宋体" w:hAnsi="Times New Roman" w:hint="eastAsia"/>
        </w:rPr>
        <w:t>、优先股的转换机制（包括反稀释机制）、投票权。</w:t>
      </w:r>
      <w:r w:rsidR="0018034A" w:rsidRPr="007B048B">
        <w:rPr>
          <w:rFonts w:ascii="Times New Roman" w:eastAsia="宋体" w:hAnsi="Times New Roman" w:hint="eastAsia"/>
        </w:rPr>
        <w:t xml:space="preserve"> </w:t>
      </w:r>
      <w:r w:rsidR="0018034A" w:rsidRPr="007B048B">
        <w:rPr>
          <w:rFonts w:ascii="Times New Roman" w:eastAsia="宋体" w:hAnsi="Times New Roman" w:hint="eastAsia"/>
        </w:rPr>
        <w:t>优先股也往往有回购权，可在一定年限之后要求公司回购。这部分描述的条款主要在公司章程（</w:t>
      </w:r>
      <w:r w:rsidR="0018034A" w:rsidRPr="007B048B">
        <w:rPr>
          <w:rFonts w:ascii="Times New Roman" w:eastAsia="宋体" w:hAnsi="Times New Roman" w:hint="eastAsia"/>
        </w:rPr>
        <w:t>MAA</w:t>
      </w:r>
      <w:r w:rsidR="0018034A" w:rsidRPr="007B048B">
        <w:rPr>
          <w:rFonts w:ascii="Times New Roman" w:eastAsia="宋体" w:hAnsi="Times New Roman" w:hint="eastAsia"/>
        </w:rPr>
        <w:t>）中体现。</w:t>
      </w:r>
    </w:p>
    <w:p w14:paraId="33875B0F" w14:textId="31E72CB5" w:rsidR="00B55DC2" w:rsidRPr="007B048B" w:rsidRDefault="005D57C0" w:rsidP="00BB08CC">
      <w:pPr>
        <w:pStyle w:val="ListParagraph"/>
        <w:numPr>
          <w:ilvl w:val="0"/>
          <w:numId w:val="3"/>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TS</w:t>
      </w:r>
      <w:r w:rsidR="0018034A" w:rsidRPr="007B048B">
        <w:rPr>
          <w:rFonts w:ascii="Times New Roman" w:eastAsia="宋体" w:hAnsi="Times New Roman" w:hint="eastAsia"/>
        </w:rPr>
        <w:t>第四</w:t>
      </w:r>
      <w:r w:rsidR="00577436" w:rsidRPr="007B048B">
        <w:rPr>
          <w:rFonts w:ascii="Times New Roman" w:eastAsia="宋体" w:hAnsi="Times New Roman" w:hint="eastAsia"/>
        </w:rPr>
        <w:t>部分包含排他、保密、费用、管辖法律与争议解决等条款。与前三部分不同，</w:t>
      </w:r>
      <w:r w:rsidR="00B55DC2" w:rsidRPr="007B048B">
        <w:rPr>
          <w:rFonts w:ascii="Times New Roman" w:eastAsia="宋体" w:hAnsi="Times New Roman" w:hint="eastAsia"/>
        </w:rPr>
        <w:t>投资条款书</w:t>
      </w:r>
      <w:r w:rsidR="00577436" w:rsidRPr="007B048B">
        <w:rPr>
          <w:rFonts w:ascii="Times New Roman" w:eastAsia="宋体" w:hAnsi="Times New Roman" w:hint="eastAsia"/>
        </w:rPr>
        <w:t>第四部分的</w:t>
      </w:r>
      <w:r w:rsidR="00B55DC2" w:rsidRPr="007B048B">
        <w:rPr>
          <w:rFonts w:ascii="Times New Roman" w:eastAsia="宋体" w:hAnsi="Times New Roman" w:hint="eastAsia"/>
        </w:rPr>
        <w:t>内容</w:t>
      </w:r>
      <w:r w:rsidR="00577436" w:rsidRPr="007B048B">
        <w:rPr>
          <w:rFonts w:ascii="Times New Roman" w:eastAsia="宋体" w:hAnsi="Times New Roman" w:hint="eastAsia"/>
        </w:rPr>
        <w:t>是有法律约束力的条款。</w:t>
      </w:r>
    </w:p>
    <w:p w14:paraId="74ED99FE" w14:textId="6A04F6EF" w:rsidR="00B55DC2" w:rsidRPr="007B048B" w:rsidRDefault="00B55DC2"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（对</w:t>
      </w:r>
      <w:r w:rsidR="00C47200" w:rsidRPr="007B048B">
        <w:rPr>
          <w:rFonts w:ascii="Times New Roman" w:eastAsia="宋体" w:hAnsi="Times New Roman" w:hint="eastAsia"/>
        </w:rPr>
        <w:t>T</w:t>
      </w:r>
      <w:r w:rsidR="00C47200" w:rsidRPr="007B048B">
        <w:rPr>
          <w:rFonts w:ascii="Times New Roman" w:eastAsia="宋体" w:hAnsi="Times New Roman"/>
        </w:rPr>
        <w:t>S</w:t>
      </w:r>
      <w:r w:rsidRPr="007B048B">
        <w:rPr>
          <w:rFonts w:ascii="Times New Roman" w:eastAsia="宋体" w:hAnsi="Times New Roman" w:hint="eastAsia"/>
        </w:rPr>
        <w:t>具体内容的注释请见内</w:t>
      </w:r>
      <w:r w:rsidR="00F07303" w:rsidRPr="007B048B">
        <w:rPr>
          <w:rFonts w:ascii="Times New Roman" w:eastAsia="宋体" w:hAnsi="Times New Roman" w:hint="eastAsia"/>
        </w:rPr>
        <w:t>文</w:t>
      </w:r>
      <w:r w:rsidRPr="007B048B">
        <w:rPr>
          <w:rFonts w:ascii="Times New Roman" w:eastAsia="宋体" w:hAnsi="Times New Roman" w:hint="eastAsia"/>
        </w:rPr>
        <w:t>脚注）</w:t>
      </w:r>
    </w:p>
    <w:p w14:paraId="59261C08" w14:textId="77777777" w:rsidR="00C47200" w:rsidRPr="007B048B" w:rsidRDefault="00C47200" w:rsidP="007B048B">
      <w:pPr>
        <w:adjustRightInd w:val="0"/>
        <w:snapToGrid w:val="0"/>
        <w:spacing w:before="120" w:after="240" w:line="264" w:lineRule="auto"/>
        <w:rPr>
          <w:rFonts w:ascii="Times New Roman" w:eastAsia="宋体" w:hAnsi="Times New Roman"/>
          <w:bCs/>
        </w:rPr>
      </w:pPr>
    </w:p>
    <w:p w14:paraId="78B4FF14" w14:textId="77777777" w:rsidR="009407ED" w:rsidRPr="007B048B" w:rsidRDefault="009407ED" w:rsidP="007B048B">
      <w:pPr>
        <w:adjustRightInd w:val="0"/>
        <w:snapToGrid w:val="0"/>
        <w:spacing w:before="120" w:after="240" w:line="264" w:lineRule="auto"/>
        <w:rPr>
          <w:rFonts w:ascii="Times New Roman" w:eastAsia="宋体" w:hAnsi="Times New Roman"/>
          <w:bCs/>
        </w:rPr>
      </w:pPr>
      <w:r w:rsidRPr="007B048B">
        <w:rPr>
          <w:rFonts w:ascii="Times New Roman" w:eastAsia="宋体" w:hAnsi="Times New Roman"/>
          <w:bCs/>
        </w:rPr>
        <w:br w:type="page"/>
      </w:r>
    </w:p>
    <w:p w14:paraId="1B76C09F" w14:textId="2981EEDB" w:rsidR="00B55DC2" w:rsidRPr="007B048B" w:rsidRDefault="00B55DC2" w:rsidP="007B048B">
      <w:pPr>
        <w:adjustRightInd w:val="0"/>
        <w:snapToGrid w:val="0"/>
        <w:spacing w:before="120" w:after="240" w:line="264" w:lineRule="auto"/>
        <w:jc w:val="center"/>
        <w:rPr>
          <w:rFonts w:ascii="Times New Roman" w:eastAsia="宋体" w:hAnsi="Times New Roman"/>
          <w:b/>
        </w:rPr>
      </w:pPr>
      <w:r w:rsidRPr="007B048B">
        <w:rPr>
          <w:rFonts w:ascii="Times New Roman" w:eastAsia="宋体" w:hAnsi="Times New Roman" w:hint="eastAsia"/>
          <w:b/>
        </w:rPr>
        <w:lastRenderedPageBreak/>
        <w:t>股权购买协议（</w:t>
      </w:r>
      <w:r w:rsidRPr="007B048B">
        <w:rPr>
          <w:rFonts w:ascii="Times New Roman" w:eastAsia="宋体" w:hAnsi="Times New Roman" w:hint="eastAsia"/>
          <w:b/>
        </w:rPr>
        <w:t>SPA</w:t>
      </w:r>
      <w:r w:rsidRPr="007B048B">
        <w:rPr>
          <w:rFonts w:ascii="Times New Roman" w:eastAsia="宋体" w:hAnsi="Times New Roman" w:hint="eastAsia"/>
          <w:b/>
        </w:rPr>
        <w:t>）简介</w:t>
      </w:r>
    </w:p>
    <w:p w14:paraId="0C174570" w14:textId="77777777" w:rsidR="00374E16" w:rsidRPr="007B048B" w:rsidRDefault="00103AE2" w:rsidP="00BB08CC">
      <w:pPr>
        <w:adjustRightInd w:val="0"/>
        <w:snapToGrid w:val="0"/>
        <w:spacing w:before="120" w:after="240" w:line="264" w:lineRule="auto"/>
        <w:jc w:val="both"/>
        <w:rPr>
          <w:rFonts w:ascii="Times New Roman" w:eastAsia="宋体" w:hAnsi="Times New Roman"/>
          <w:b/>
        </w:rPr>
      </w:pPr>
      <w:r w:rsidRPr="007B048B">
        <w:rPr>
          <w:rFonts w:ascii="Times New Roman" w:eastAsia="宋体" w:hAnsi="Times New Roman" w:hint="eastAsia"/>
          <w:b/>
        </w:rPr>
        <w:t>SPA</w:t>
      </w:r>
      <w:r w:rsidRPr="007B048B">
        <w:rPr>
          <w:rFonts w:ascii="Times New Roman" w:eastAsia="宋体" w:hAnsi="Times New Roman" w:hint="eastAsia"/>
          <w:b/>
        </w:rPr>
        <w:t>的功能</w:t>
      </w:r>
    </w:p>
    <w:p w14:paraId="50015D47" w14:textId="2F305093" w:rsidR="00B12190" w:rsidRPr="007B048B" w:rsidRDefault="00374E16"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SPA</w:t>
      </w:r>
      <w:r w:rsidR="00BE1CAB" w:rsidRPr="007B048B">
        <w:rPr>
          <w:rFonts w:ascii="Times New Roman" w:eastAsia="宋体" w:hAnsi="Times New Roman" w:hint="eastAsia"/>
        </w:rPr>
        <w:t>的</w:t>
      </w:r>
      <w:r w:rsidR="00926EB9" w:rsidRPr="007B048B">
        <w:rPr>
          <w:rFonts w:ascii="Times New Roman" w:eastAsia="宋体" w:hAnsi="Times New Roman" w:hint="eastAsia"/>
        </w:rPr>
        <w:t>关键词</w:t>
      </w:r>
      <w:r w:rsidR="00BE1CAB" w:rsidRPr="007B048B">
        <w:rPr>
          <w:rFonts w:ascii="Times New Roman" w:eastAsia="宋体" w:hAnsi="Times New Roman" w:hint="eastAsia"/>
        </w:rPr>
        <w:t>是“风险”。</w:t>
      </w:r>
      <w:r w:rsidR="00383B4C" w:rsidRPr="007B048B">
        <w:rPr>
          <w:rFonts w:ascii="Times New Roman" w:eastAsia="宋体" w:hAnsi="Times New Roman" w:hint="eastAsia"/>
        </w:rPr>
        <w:t>VC/PE</w:t>
      </w:r>
      <w:r w:rsidR="00383B4C" w:rsidRPr="007B048B">
        <w:rPr>
          <w:rFonts w:ascii="Times New Roman" w:eastAsia="宋体" w:hAnsi="Times New Roman" w:hint="eastAsia"/>
        </w:rPr>
        <w:t>股权投资</w:t>
      </w:r>
      <w:r w:rsidR="00060891" w:rsidRPr="007B048B">
        <w:rPr>
          <w:rFonts w:ascii="Times New Roman" w:eastAsia="宋体" w:hAnsi="Times New Roman" w:hint="eastAsia"/>
        </w:rPr>
        <w:t>属</w:t>
      </w:r>
      <w:r w:rsidR="007F497E" w:rsidRPr="007B048B">
        <w:rPr>
          <w:rFonts w:ascii="Times New Roman" w:eastAsia="宋体" w:hAnsi="Times New Roman" w:hint="eastAsia"/>
        </w:rPr>
        <w:t>于“高风险、高回报”</w:t>
      </w:r>
      <w:r w:rsidR="004D138C" w:rsidRPr="007B048B">
        <w:rPr>
          <w:rFonts w:ascii="Times New Roman" w:eastAsia="宋体" w:hAnsi="Times New Roman" w:hint="eastAsia"/>
        </w:rPr>
        <w:t>的</w:t>
      </w:r>
      <w:r w:rsidR="00BE1CAB" w:rsidRPr="007B048B">
        <w:rPr>
          <w:rFonts w:ascii="Times New Roman" w:eastAsia="宋体" w:hAnsi="Times New Roman" w:hint="eastAsia"/>
        </w:rPr>
        <w:t>投资类型。除了约定投资交易的程序</w:t>
      </w:r>
      <w:r w:rsidR="005D57C0">
        <w:rPr>
          <w:rFonts w:ascii="Times New Roman" w:eastAsia="宋体" w:hAnsi="Times New Roman" w:hint="eastAsia"/>
        </w:rPr>
        <w:t>之</w:t>
      </w:r>
      <w:r w:rsidR="00BE1CAB" w:rsidRPr="007B048B">
        <w:rPr>
          <w:rFonts w:ascii="Times New Roman" w:eastAsia="宋体" w:hAnsi="Times New Roman" w:hint="eastAsia"/>
        </w:rPr>
        <w:t>外，</w:t>
      </w:r>
      <w:r w:rsidR="005D57C0">
        <w:rPr>
          <w:rFonts w:ascii="Times New Roman" w:eastAsia="宋体" w:hAnsi="Times New Roman" w:hint="eastAsia"/>
        </w:rPr>
        <w:t>SPA</w:t>
      </w:r>
      <w:r w:rsidR="00BE1CAB" w:rsidRPr="007B048B">
        <w:rPr>
          <w:rFonts w:ascii="Times New Roman" w:eastAsia="宋体" w:hAnsi="Times New Roman" w:hint="eastAsia"/>
        </w:rPr>
        <w:t>也是一个重要的风险</w:t>
      </w:r>
      <w:r w:rsidR="002041D1" w:rsidRPr="007B048B">
        <w:rPr>
          <w:rFonts w:ascii="Times New Roman" w:eastAsia="宋体" w:hAnsi="Times New Roman" w:hint="eastAsia"/>
        </w:rPr>
        <w:t>（包括以知的</w:t>
      </w:r>
      <w:r w:rsidR="00611858" w:rsidRPr="007B048B">
        <w:rPr>
          <w:rFonts w:ascii="Times New Roman" w:eastAsia="宋体" w:hAnsi="Times New Roman" w:hint="eastAsia"/>
        </w:rPr>
        <w:t>和</w:t>
      </w:r>
      <w:r w:rsidR="002041D1" w:rsidRPr="007B048B">
        <w:rPr>
          <w:rFonts w:ascii="Times New Roman" w:eastAsia="宋体" w:hAnsi="Times New Roman" w:hint="eastAsia"/>
        </w:rPr>
        <w:t>未知的风险</w:t>
      </w:r>
      <w:r w:rsidR="00611858" w:rsidRPr="007B048B">
        <w:rPr>
          <w:rFonts w:ascii="Times New Roman" w:eastAsia="宋体" w:hAnsi="Times New Roman" w:hint="eastAsia"/>
        </w:rPr>
        <w:t>，可降低的和不可降低的风险</w:t>
      </w:r>
      <w:r w:rsidR="002041D1" w:rsidRPr="007B048B">
        <w:rPr>
          <w:rFonts w:ascii="Times New Roman" w:eastAsia="宋体" w:hAnsi="Times New Roman" w:hint="eastAsia"/>
        </w:rPr>
        <w:t>）</w:t>
      </w:r>
      <w:r w:rsidR="00926EB9" w:rsidRPr="007B048B">
        <w:rPr>
          <w:rFonts w:ascii="Times New Roman" w:eastAsia="宋体" w:hAnsi="Times New Roman" w:hint="eastAsia"/>
        </w:rPr>
        <w:t>管理</w:t>
      </w:r>
      <w:r w:rsidR="00BE1CAB" w:rsidRPr="007B048B">
        <w:rPr>
          <w:rFonts w:ascii="Times New Roman" w:eastAsia="宋体" w:hAnsi="Times New Roman" w:hint="eastAsia"/>
        </w:rPr>
        <w:t>工具，包括风险的发现、降低与分配。</w:t>
      </w:r>
      <w:r w:rsidR="00F07303" w:rsidRPr="007B048B">
        <w:rPr>
          <w:rFonts w:ascii="Times New Roman" w:eastAsia="宋体" w:hAnsi="Times New Roman" w:hint="eastAsia"/>
        </w:rPr>
        <w:t>例如，</w:t>
      </w:r>
      <w:r w:rsidR="003C147D" w:rsidRPr="007B048B">
        <w:rPr>
          <w:rFonts w:ascii="Times New Roman" w:eastAsia="宋体" w:hAnsi="Times New Roman" w:hint="eastAsia"/>
        </w:rPr>
        <w:t>SPA</w:t>
      </w:r>
      <w:r w:rsidR="003C147D" w:rsidRPr="007B048B">
        <w:rPr>
          <w:rFonts w:ascii="Times New Roman" w:eastAsia="宋体" w:hAnsi="Times New Roman" w:hint="eastAsia"/>
        </w:rPr>
        <w:t>的的陈述与保证</w:t>
      </w:r>
      <w:r w:rsidRPr="007B048B">
        <w:rPr>
          <w:rFonts w:ascii="Times New Roman" w:eastAsia="宋体" w:hAnsi="Times New Roman" w:hint="eastAsia"/>
        </w:rPr>
        <w:t>（</w:t>
      </w:r>
      <w:r w:rsidRPr="007B048B">
        <w:rPr>
          <w:rFonts w:ascii="Times New Roman" w:eastAsia="宋体" w:hAnsi="Times New Roman"/>
        </w:rPr>
        <w:t>Representations and Warranties</w:t>
      </w:r>
      <w:r w:rsidRPr="007B048B">
        <w:rPr>
          <w:rFonts w:ascii="Times New Roman" w:eastAsia="宋体" w:hAnsi="Times New Roman"/>
        </w:rPr>
        <w:t>）</w:t>
      </w:r>
      <w:r w:rsidR="00611858" w:rsidRPr="007B048B">
        <w:rPr>
          <w:rFonts w:ascii="Times New Roman" w:eastAsia="宋体" w:hAnsi="Times New Roman" w:hint="eastAsia"/>
        </w:rPr>
        <w:t>部分</w:t>
      </w:r>
      <w:r w:rsidR="003C147D" w:rsidRPr="007B048B">
        <w:rPr>
          <w:rFonts w:ascii="Times New Roman" w:eastAsia="宋体" w:hAnsi="Times New Roman" w:hint="eastAsia"/>
        </w:rPr>
        <w:t>固化了已知风险，并对未知风险做出了分配</w:t>
      </w:r>
      <w:r w:rsidR="002041D1" w:rsidRPr="007B048B">
        <w:rPr>
          <w:rFonts w:ascii="Times New Roman" w:eastAsia="宋体" w:hAnsi="Times New Roman" w:hint="eastAsia"/>
        </w:rPr>
        <w:t>。其次，</w:t>
      </w:r>
      <w:r w:rsidR="002041D1" w:rsidRPr="007B048B">
        <w:rPr>
          <w:rFonts w:ascii="Times New Roman" w:eastAsia="宋体" w:hAnsi="Times New Roman" w:hint="eastAsia"/>
        </w:rPr>
        <w:t>SPA</w:t>
      </w:r>
      <w:r w:rsidR="00611858" w:rsidRPr="007B048B">
        <w:rPr>
          <w:rFonts w:ascii="Times New Roman" w:eastAsia="宋体" w:hAnsi="Times New Roman" w:hint="eastAsia"/>
        </w:rPr>
        <w:t>的</w:t>
      </w:r>
      <w:r w:rsidR="002041D1" w:rsidRPr="007B048B">
        <w:rPr>
          <w:rFonts w:ascii="Times New Roman" w:eastAsia="宋体" w:hAnsi="Times New Roman" w:hint="eastAsia"/>
        </w:rPr>
        <w:t>承诺</w:t>
      </w:r>
      <w:r w:rsidRPr="007B048B">
        <w:rPr>
          <w:rFonts w:ascii="Times New Roman" w:eastAsia="宋体" w:hAnsi="Times New Roman" w:hint="eastAsia"/>
        </w:rPr>
        <w:t>(</w:t>
      </w:r>
      <w:r w:rsidRPr="007B048B">
        <w:rPr>
          <w:rFonts w:ascii="Times New Roman" w:eastAsia="宋体" w:hAnsi="Times New Roman"/>
        </w:rPr>
        <w:t>Covenants)</w:t>
      </w:r>
      <w:r w:rsidR="002041D1" w:rsidRPr="007B048B">
        <w:rPr>
          <w:rFonts w:ascii="Times New Roman" w:eastAsia="宋体" w:hAnsi="Times New Roman" w:hint="eastAsia"/>
        </w:rPr>
        <w:t>部分则对可有效降低的</w:t>
      </w:r>
      <w:r w:rsidR="00611858" w:rsidRPr="007B048B">
        <w:rPr>
          <w:rFonts w:ascii="Times New Roman" w:eastAsia="宋体" w:hAnsi="Times New Roman" w:hint="eastAsia"/>
        </w:rPr>
        <w:t>已</w:t>
      </w:r>
      <w:r w:rsidR="002041D1" w:rsidRPr="007B048B">
        <w:rPr>
          <w:rFonts w:ascii="Times New Roman" w:eastAsia="宋体" w:hAnsi="Times New Roman" w:hint="eastAsia"/>
        </w:rPr>
        <w:t>知风险作出</w:t>
      </w:r>
      <w:r w:rsidR="00926EB9" w:rsidRPr="007B048B">
        <w:rPr>
          <w:rFonts w:ascii="Times New Roman" w:eastAsia="宋体" w:hAnsi="Times New Roman" w:hint="eastAsia"/>
        </w:rPr>
        <w:t>约定</w:t>
      </w:r>
      <w:r w:rsidR="002041D1" w:rsidRPr="007B048B">
        <w:rPr>
          <w:rFonts w:ascii="Times New Roman" w:eastAsia="宋体" w:hAnsi="Times New Roman" w:hint="eastAsia"/>
        </w:rPr>
        <w:t>。最后，</w:t>
      </w:r>
      <w:r w:rsidR="002041D1" w:rsidRPr="007B048B">
        <w:rPr>
          <w:rFonts w:ascii="Times New Roman" w:eastAsia="宋体" w:hAnsi="Times New Roman" w:hint="eastAsia"/>
        </w:rPr>
        <w:t>SPA</w:t>
      </w:r>
      <w:r w:rsidR="00611858" w:rsidRPr="007B048B">
        <w:rPr>
          <w:rFonts w:ascii="Times New Roman" w:eastAsia="宋体" w:hAnsi="Times New Roman" w:hint="eastAsia"/>
        </w:rPr>
        <w:t>的</w:t>
      </w:r>
      <w:r w:rsidR="002041D1" w:rsidRPr="007B048B">
        <w:rPr>
          <w:rFonts w:ascii="Times New Roman" w:eastAsia="宋体" w:hAnsi="Times New Roman" w:hint="eastAsia"/>
        </w:rPr>
        <w:t>特定赔偿责任</w:t>
      </w:r>
      <w:r w:rsidRPr="007B048B">
        <w:rPr>
          <w:rFonts w:ascii="Times New Roman" w:eastAsia="宋体" w:hAnsi="Times New Roman" w:hint="eastAsia"/>
        </w:rPr>
        <w:t>(</w:t>
      </w:r>
      <w:r w:rsidRPr="007B048B">
        <w:rPr>
          <w:rFonts w:ascii="Times New Roman" w:eastAsia="宋体" w:hAnsi="Times New Roman"/>
        </w:rPr>
        <w:t>Specific Indemnity)</w:t>
      </w:r>
      <w:r w:rsidR="002041D1" w:rsidRPr="007B048B">
        <w:rPr>
          <w:rFonts w:ascii="Times New Roman" w:eastAsia="宋体" w:hAnsi="Times New Roman" w:hint="eastAsia"/>
        </w:rPr>
        <w:t>部分</w:t>
      </w:r>
      <w:r w:rsidR="00611858" w:rsidRPr="007B048B">
        <w:rPr>
          <w:rFonts w:ascii="Times New Roman" w:eastAsia="宋体" w:hAnsi="Times New Roman" w:hint="eastAsia"/>
        </w:rPr>
        <w:t>则</w:t>
      </w:r>
      <w:r w:rsidR="00926EB9" w:rsidRPr="007B048B">
        <w:rPr>
          <w:rFonts w:ascii="Times New Roman" w:eastAsia="宋体" w:hAnsi="Times New Roman" w:hint="eastAsia"/>
        </w:rPr>
        <w:t>分配</w:t>
      </w:r>
      <w:r w:rsidR="00611858" w:rsidRPr="007B048B">
        <w:rPr>
          <w:rFonts w:ascii="Times New Roman" w:eastAsia="宋体" w:hAnsi="Times New Roman" w:hint="eastAsia"/>
        </w:rPr>
        <w:t>了</w:t>
      </w:r>
      <w:r w:rsidR="002041D1" w:rsidRPr="007B048B">
        <w:rPr>
          <w:rFonts w:ascii="Times New Roman" w:eastAsia="宋体" w:hAnsi="Times New Roman" w:hint="eastAsia"/>
        </w:rPr>
        <w:t>不可降低的已知风险。</w:t>
      </w:r>
    </w:p>
    <w:p w14:paraId="3A6AE667" w14:textId="0C13005B" w:rsidR="008F0759" w:rsidRPr="007B048B" w:rsidRDefault="00103AE2" w:rsidP="00BB08CC">
      <w:pPr>
        <w:adjustRightInd w:val="0"/>
        <w:snapToGrid w:val="0"/>
        <w:spacing w:before="120" w:after="240" w:line="264" w:lineRule="auto"/>
        <w:jc w:val="both"/>
        <w:rPr>
          <w:rFonts w:ascii="Times New Roman" w:eastAsia="宋体" w:hAnsi="Times New Roman"/>
          <w:b/>
        </w:rPr>
      </w:pPr>
      <w:r w:rsidRPr="007B048B">
        <w:rPr>
          <w:rFonts w:ascii="Times New Roman" w:eastAsia="宋体" w:hAnsi="Times New Roman" w:hint="eastAsia"/>
          <w:b/>
        </w:rPr>
        <w:t>SPA</w:t>
      </w:r>
      <w:r w:rsidRPr="007B048B">
        <w:rPr>
          <w:rFonts w:ascii="Times New Roman" w:eastAsia="宋体" w:hAnsi="Times New Roman" w:hint="eastAsia"/>
          <w:b/>
        </w:rPr>
        <w:t>的结构</w:t>
      </w:r>
    </w:p>
    <w:p w14:paraId="7C6AB755" w14:textId="7B54779E" w:rsidR="00A61AFB" w:rsidRPr="007B048B" w:rsidRDefault="003C6DE8" w:rsidP="00BB08CC">
      <w:pPr>
        <w:adjustRightInd w:val="0"/>
        <w:snapToGrid w:val="0"/>
        <w:spacing w:before="120" w:after="240" w:line="264" w:lineRule="auto"/>
        <w:jc w:val="both"/>
        <w:rPr>
          <w:rFonts w:ascii="Times New Roman" w:eastAsia="宋体" w:hAnsi="Times New Roman"/>
          <w:u w:val="single"/>
        </w:rPr>
      </w:pPr>
      <w:r w:rsidRPr="007B048B">
        <w:rPr>
          <w:rFonts w:ascii="Times New Roman" w:eastAsia="宋体" w:hAnsi="Times New Roman" w:hint="eastAsia"/>
          <w:u w:val="single"/>
        </w:rPr>
        <w:t>SPA</w:t>
      </w:r>
      <w:r w:rsidR="00611858" w:rsidRPr="007B048B">
        <w:rPr>
          <w:rFonts w:ascii="Times New Roman" w:eastAsia="宋体" w:hAnsi="Times New Roman" w:hint="eastAsia"/>
          <w:u w:val="single"/>
        </w:rPr>
        <w:t>的主要</w:t>
      </w:r>
      <w:r w:rsidR="008F0759" w:rsidRPr="007B048B">
        <w:rPr>
          <w:rFonts w:ascii="Times New Roman" w:eastAsia="宋体" w:hAnsi="Times New Roman" w:hint="eastAsia"/>
          <w:u w:val="single"/>
        </w:rPr>
        <w:t>组</w:t>
      </w:r>
      <w:r w:rsidR="00674335" w:rsidRPr="007B048B">
        <w:rPr>
          <w:rFonts w:ascii="Times New Roman" w:eastAsia="宋体" w:hAnsi="Times New Roman" w:hint="eastAsia"/>
          <w:u w:val="single"/>
        </w:rPr>
        <w:t>成部分</w:t>
      </w:r>
    </w:p>
    <w:p w14:paraId="4990AD10" w14:textId="64282B2C" w:rsidR="008F0759" w:rsidRPr="007B048B" w:rsidRDefault="00A61AFB"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SPA</w:t>
      </w:r>
      <w:r w:rsidRPr="007B048B">
        <w:rPr>
          <w:rFonts w:ascii="Times New Roman" w:eastAsia="宋体" w:hAnsi="Times New Roman" w:hint="eastAsia"/>
        </w:rPr>
        <w:t>的主要组成部分</w:t>
      </w:r>
      <w:r w:rsidR="008F0759" w:rsidRPr="007B048B">
        <w:rPr>
          <w:rFonts w:ascii="Times New Roman" w:eastAsia="宋体" w:hAnsi="Times New Roman" w:hint="eastAsia"/>
        </w:rPr>
        <w:t>包括</w:t>
      </w:r>
      <w:r w:rsidR="00B914DA" w:rsidRPr="007B048B">
        <w:rPr>
          <w:rFonts w:ascii="Times New Roman" w:eastAsia="宋体" w:hAnsi="Times New Roman" w:hint="eastAsia"/>
        </w:rPr>
        <w:t>：</w:t>
      </w:r>
    </w:p>
    <w:p w14:paraId="54F2AF28" w14:textId="10AD402C" w:rsidR="008F0759" w:rsidRPr="007B048B" w:rsidRDefault="008F0759" w:rsidP="00BB08CC">
      <w:pPr>
        <w:pStyle w:val="ListParagraph"/>
        <w:numPr>
          <w:ilvl w:val="0"/>
          <w:numId w:val="7"/>
        </w:numPr>
        <w:adjustRightInd w:val="0"/>
        <w:snapToGrid w:val="0"/>
        <w:spacing w:before="120" w:after="240" w:line="264" w:lineRule="auto"/>
        <w:ind w:hanging="360"/>
        <w:contextualSpacing w:val="0"/>
        <w:jc w:val="both"/>
        <w:rPr>
          <w:rFonts w:ascii="Times New Roman" w:eastAsia="宋体" w:hAnsi="Times New Roman"/>
        </w:rPr>
      </w:pPr>
      <w:r w:rsidRPr="007B048B">
        <w:rPr>
          <w:rFonts w:ascii="Times New Roman" w:eastAsia="宋体" w:hAnsi="Times New Roman" w:hint="eastAsia"/>
          <w:b/>
        </w:rPr>
        <w:t>交易</w:t>
      </w:r>
      <w:r w:rsidRPr="007B048B">
        <w:rPr>
          <w:rFonts w:ascii="Times New Roman" w:eastAsia="宋体" w:hAnsi="Times New Roman" w:hint="eastAsia"/>
        </w:rPr>
        <w:t>（开源模板</w:t>
      </w:r>
      <w:r w:rsidRPr="007B048B">
        <w:rPr>
          <w:rFonts w:ascii="Times New Roman" w:eastAsia="宋体" w:hAnsi="Times New Roman" w:hint="eastAsia"/>
        </w:rPr>
        <w:t>SPA</w:t>
      </w:r>
      <w:r w:rsidRPr="007B048B">
        <w:rPr>
          <w:rFonts w:ascii="Times New Roman" w:eastAsia="宋体" w:hAnsi="Times New Roman" w:hint="eastAsia"/>
        </w:rPr>
        <w:t>第</w:t>
      </w:r>
      <w:r w:rsidRPr="007B048B">
        <w:rPr>
          <w:rFonts w:ascii="Times New Roman" w:eastAsia="宋体" w:hAnsi="Times New Roman" w:hint="eastAsia"/>
        </w:rPr>
        <w:t>2</w:t>
      </w:r>
      <w:r w:rsidRPr="007B048B">
        <w:rPr>
          <w:rFonts w:ascii="Times New Roman" w:eastAsia="宋体" w:hAnsi="Times New Roman" w:hint="eastAsia"/>
        </w:rPr>
        <w:t>条</w:t>
      </w:r>
      <w:r w:rsidR="00FC1908" w:rsidRPr="007B048B">
        <w:rPr>
          <w:rFonts w:ascii="Times New Roman" w:eastAsia="宋体" w:hAnsi="Times New Roman" w:hint="eastAsia"/>
        </w:rPr>
        <w:t xml:space="preserve"> Transaction</w:t>
      </w:r>
      <w:r w:rsidRPr="007B048B">
        <w:rPr>
          <w:rFonts w:ascii="Times New Roman" w:eastAsia="宋体" w:hAnsi="Times New Roman" w:hint="eastAsia"/>
        </w:rPr>
        <w:t>）</w:t>
      </w:r>
    </w:p>
    <w:p w14:paraId="0F2AF0A3" w14:textId="299B6D76" w:rsidR="00383B4C" w:rsidRPr="007B048B" w:rsidRDefault="003C6DE8"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交易部分描述了投资交易的全局，投资人的投资金额以及获得的投资工具的数量和种类（例如某系列优先股）</w:t>
      </w:r>
      <w:r w:rsidR="00383B4C" w:rsidRPr="007B048B">
        <w:rPr>
          <w:rFonts w:ascii="Times New Roman" w:eastAsia="宋体" w:hAnsi="Times New Roman" w:hint="eastAsia"/>
        </w:rPr>
        <w:t>，以及在投资后的持股比例。</w:t>
      </w:r>
      <w:r w:rsidR="008916CE" w:rsidRPr="007B048B">
        <w:rPr>
          <w:rFonts w:ascii="Times New Roman" w:eastAsia="宋体" w:hAnsi="Times New Roman" w:hint="eastAsia"/>
        </w:rPr>
        <w:t>如果存在除现金以外的投资金额支付方式（例如债转股）也会在此描述。</w:t>
      </w:r>
    </w:p>
    <w:p w14:paraId="705F3963" w14:textId="4AC31EEF" w:rsidR="008F0759" w:rsidRPr="007B048B" w:rsidRDefault="008F0759" w:rsidP="00BB08CC">
      <w:pPr>
        <w:pStyle w:val="ListParagraph"/>
        <w:numPr>
          <w:ilvl w:val="0"/>
          <w:numId w:val="7"/>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b/>
        </w:rPr>
        <w:t>交割</w:t>
      </w:r>
      <w:r w:rsidRPr="007B048B">
        <w:rPr>
          <w:rFonts w:ascii="Times New Roman" w:eastAsia="宋体" w:hAnsi="Times New Roman" w:hint="eastAsia"/>
        </w:rPr>
        <w:t>（开源模板</w:t>
      </w:r>
      <w:r w:rsidRPr="007B048B">
        <w:rPr>
          <w:rFonts w:ascii="Times New Roman" w:eastAsia="宋体" w:hAnsi="Times New Roman" w:hint="eastAsia"/>
        </w:rPr>
        <w:t>SPA</w:t>
      </w:r>
      <w:r w:rsidRPr="007B048B">
        <w:rPr>
          <w:rFonts w:ascii="Times New Roman" w:eastAsia="宋体" w:hAnsi="Times New Roman" w:hint="eastAsia"/>
        </w:rPr>
        <w:t>第</w:t>
      </w:r>
      <w:r w:rsidRPr="007B048B">
        <w:rPr>
          <w:rFonts w:ascii="Times New Roman" w:eastAsia="宋体" w:hAnsi="Times New Roman" w:hint="eastAsia"/>
        </w:rPr>
        <w:t>3</w:t>
      </w:r>
      <w:r w:rsidRPr="007B048B">
        <w:rPr>
          <w:rFonts w:ascii="Times New Roman" w:eastAsia="宋体" w:hAnsi="Times New Roman" w:hint="eastAsia"/>
        </w:rPr>
        <w:t>条</w:t>
      </w:r>
      <w:r w:rsidR="00FC1908" w:rsidRPr="007B048B">
        <w:rPr>
          <w:rFonts w:ascii="Times New Roman" w:eastAsia="宋体" w:hAnsi="Times New Roman" w:hint="eastAsia"/>
        </w:rPr>
        <w:t xml:space="preserve"> Closing</w:t>
      </w:r>
      <w:r w:rsidRPr="007B048B">
        <w:rPr>
          <w:rFonts w:ascii="Times New Roman" w:eastAsia="宋体" w:hAnsi="Times New Roman" w:hint="eastAsia"/>
        </w:rPr>
        <w:t>）</w:t>
      </w:r>
    </w:p>
    <w:p w14:paraId="3A869336" w14:textId="3AB72F06" w:rsidR="008916CE" w:rsidRPr="007B048B" w:rsidRDefault="008916CE"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交割部分规定了投资人支付投资金额和获得对应股权（即交割）的流程。</w:t>
      </w:r>
    </w:p>
    <w:p w14:paraId="512AC58A" w14:textId="4C61A9C2" w:rsidR="008F0759" w:rsidRPr="007B048B" w:rsidRDefault="008F0759" w:rsidP="00BB08CC">
      <w:pPr>
        <w:pStyle w:val="ListParagraph"/>
        <w:numPr>
          <w:ilvl w:val="0"/>
          <w:numId w:val="7"/>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b/>
        </w:rPr>
        <w:t>陈述与保证</w:t>
      </w:r>
      <w:r w:rsidRPr="007B048B">
        <w:rPr>
          <w:rFonts w:ascii="Times New Roman" w:eastAsia="宋体" w:hAnsi="Times New Roman" w:hint="eastAsia"/>
        </w:rPr>
        <w:t>（开源模板</w:t>
      </w:r>
      <w:r w:rsidR="005232FF">
        <w:rPr>
          <w:rFonts w:ascii="Times New Roman" w:eastAsia="宋体" w:hAnsi="Times New Roman" w:hint="eastAsia"/>
        </w:rPr>
        <w:t>SPA</w:t>
      </w:r>
      <w:r w:rsidRPr="007B048B">
        <w:rPr>
          <w:rFonts w:ascii="Times New Roman" w:eastAsia="宋体" w:hAnsi="Times New Roman" w:hint="eastAsia"/>
        </w:rPr>
        <w:t>第</w:t>
      </w:r>
      <w:r w:rsidRPr="007B048B">
        <w:rPr>
          <w:rFonts w:ascii="Times New Roman" w:eastAsia="宋体" w:hAnsi="Times New Roman" w:hint="eastAsia"/>
        </w:rPr>
        <w:t>4</w:t>
      </w:r>
      <w:r w:rsidRPr="007B048B">
        <w:rPr>
          <w:rFonts w:ascii="Times New Roman" w:eastAsia="宋体" w:hAnsi="Times New Roman" w:hint="eastAsia"/>
        </w:rPr>
        <w:t>条</w:t>
      </w:r>
      <w:r w:rsidR="00FC1908" w:rsidRPr="007B048B">
        <w:rPr>
          <w:rFonts w:ascii="Times New Roman" w:eastAsia="宋体" w:hAnsi="Times New Roman" w:hint="eastAsia"/>
        </w:rPr>
        <w:t xml:space="preserve"> Representation</w:t>
      </w:r>
      <w:r w:rsidR="008416C2" w:rsidRPr="007B048B">
        <w:rPr>
          <w:rFonts w:ascii="Times New Roman" w:eastAsia="宋体" w:hAnsi="Times New Roman" w:hint="eastAsia"/>
        </w:rPr>
        <w:t>s</w:t>
      </w:r>
      <w:r w:rsidR="00FC1908" w:rsidRPr="007B048B">
        <w:rPr>
          <w:rFonts w:ascii="Times New Roman" w:eastAsia="宋体" w:hAnsi="Times New Roman"/>
        </w:rPr>
        <w:t xml:space="preserve"> </w:t>
      </w:r>
      <w:r w:rsidR="00FC1908" w:rsidRPr="007B048B">
        <w:rPr>
          <w:rFonts w:ascii="Times New Roman" w:eastAsia="宋体" w:hAnsi="Times New Roman" w:hint="eastAsia"/>
        </w:rPr>
        <w:t>a</w:t>
      </w:r>
      <w:r w:rsidR="00FC1908" w:rsidRPr="007B048B">
        <w:rPr>
          <w:rFonts w:ascii="Times New Roman" w:eastAsia="宋体" w:hAnsi="Times New Roman"/>
        </w:rPr>
        <w:t>nd Warranties</w:t>
      </w:r>
      <w:r w:rsidRPr="007B048B">
        <w:rPr>
          <w:rFonts w:ascii="Times New Roman" w:eastAsia="宋体" w:hAnsi="Times New Roman" w:hint="eastAsia"/>
        </w:rPr>
        <w:t>）</w:t>
      </w:r>
    </w:p>
    <w:p w14:paraId="36C94C83" w14:textId="28963DF7" w:rsidR="008416C2" w:rsidRPr="007B048B" w:rsidRDefault="008416C2"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陈述与保证部分</w:t>
      </w:r>
      <w:r w:rsidR="003E1284" w:rsidRPr="007B048B">
        <w:rPr>
          <w:rFonts w:ascii="Times New Roman" w:eastAsia="宋体" w:hAnsi="Times New Roman" w:hint="eastAsia"/>
        </w:rPr>
        <w:t>陈述</w:t>
      </w:r>
      <w:r w:rsidRPr="007B048B">
        <w:rPr>
          <w:rFonts w:ascii="Times New Roman" w:eastAsia="宋体" w:hAnsi="Times New Roman" w:hint="eastAsia"/>
        </w:rPr>
        <w:t>了交割前公司的现状。</w:t>
      </w:r>
      <w:r w:rsidR="009E2265" w:rsidRPr="007B048B">
        <w:rPr>
          <w:rFonts w:ascii="Times New Roman" w:eastAsia="宋体" w:hAnsi="Times New Roman" w:hint="eastAsia"/>
        </w:rPr>
        <w:t>这部分由一个高度格式化的</w:t>
      </w:r>
      <w:r w:rsidRPr="007B048B">
        <w:rPr>
          <w:rFonts w:ascii="Times New Roman" w:eastAsia="宋体" w:hAnsi="Times New Roman" w:hint="eastAsia"/>
        </w:rPr>
        <w:t>陈述</w:t>
      </w:r>
      <w:r w:rsidR="009E2265" w:rsidRPr="007B048B">
        <w:rPr>
          <w:rFonts w:ascii="Times New Roman" w:eastAsia="宋体" w:hAnsi="Times New Roman" w:hint="eastAsia"/>
        </w:rPr>
        <w:t>列表和</w:t>
      </w:r>
      <w:r w:rsidR="00AF5A6D">
        <w:rPr>
          <w:rFonts w:ascii="Times New Roman" w:eastAsia="宋体" w:hAnsi="Times New Roman" w:hint="eastAsia"/>
        </w:rPr>
        <w:t>由</w:t>
      </w:r>
      <w:r w:rsidR="00E90853" w:rsidRPr="007B048B">
        <w:rPr>
          <w:rFonts w:ascii="Times New Roman" w:eastAsia="宋体" w:hAnsi="Times New Roman" w:hint="eastAsia"/>
        </w:rPr>
        <w:t>公司</w:t>
      </w:r>
      <w:r w:rsidR="009E2265" w:rsidRPr="007B048B">
        <w:rPr>
          <w:rFonts w:ascii="Times New Roman" w:eastAsia="宋体" w:hAnsi="Times New Roman" w:hint="eastAsia"/>
        </w:rPr>
        <w:t>提供的披露清单（</w:t>
      </w:r>
      <w:r w:rsidR="009E2265" w:rsidRPr="007B048B">
        <w:rPr>
          <w:rFonts w:ascii="Times New Roman" w:eastAsia="宋体" w:hAnsi="Times New Roman" w:hint="eastAsia"/>
        </w:rPr>
        <w:t>Disclosure</w:t>
      </w:r>
      <w:r w:rsidR="009E2265" w:rsidRPr="007B048B">
        <w:rPr>
          <w:rFonts w:ascii="Times New Roman" w:eastAsia="宋体" w:hAnsi="Times New Roman"/>
        </w:rPr>
        <w:t xml:space="preserve"> </w:t>
      </w:r>
      <w:r w:rsidR="009E2265" w:rsidRPr="007B048B">
        <w:rPr>
          <w:rFonts w:ascii="Times New Roman" w:eastAsia="宋体" w:hAnsi="Times New Roman" w:hint="eastAsia"/>
        </w:rPr>
        <w:t>Schedule</w:t>
      </w:r>
      <w:r w:rsidR="009E2265" w:rsidRPr="007B048B">
        <w:rPr>
          <w:rFonts w:ascii="Times New Roman" w:eastAsia="宋体" w:hAnsi="Times New Roman" w:hint="eastAsia"/>
        </w:rPr>
        <w:t>）共同组成，前者</w:t>
      </w:r>
      <w:r w:rsidR="003E1284" w:rsidRPr="007B048B">
        <w:rPr>
          <w:rFonts w:ascii="Times New Roman" w:eastAsia="宋体" w:hAnsi="Times New Roman" w:hint="eastAsia"/>
        </w:rPr>
        <w:t>描述了一个在股权结构、组织架构、守法合规、财务状况、产权状况等</w:t>
      </w:r>
      <w:r w:rsidR="00E90853" w:rsidRPr="007B048B">
        <w:rPr>
          <w:rFonts w:ascii="Times New Roman" w:eastAsia="宋体" w:hAnsi="Times New Roman" w:hint="eastAsia"/>
        </w:rPr>
        <w:t>各</w:t>
      </w:r>
      <w:r w:rsidR="00C63B58" w:rsidRPr="007B048B">
        <w:rPr>
          <w:rFonts w:ascii="Times New Roman" w:eastAsia="宋体" w:hAnsi="Times New Roman" w:hint="eastAsia"/>
        </w:rPr>
        <w:t>重要</w:t>
      </w:r>
      <w:r w:rsidR="003E1284" w:rsidRPr="007B048B">
        <w:rPr>
          <w:rFonts w:ascii="Times New Roman" w:eastAsia="宋体" w:hAnsi="Times New Roman" w:hint="eastAsia"/>
        </w:rPr>
        <w:t>方面近乎“完美”的状态，</w:t>
      </w:r>
      <w:r w:rsidR="00592F57" w:rsidRPr="007B048B">
        <w:rPr>
          <w:rFonts w:ascii="Times New Roman" w:eastAsia="宋体" w:hAnsi="Times New Roman" w:hint="eastAsia"/>
        </w:rPr>
        <w:t>而后者则</w:t>
      </w:r>
      <w:r w:rsidR="00C63B58" w:rsidRPr="007B048B">
        <w:rPr>
          <w:rFonts w:ascii="Times New Roman" w:eastAsia="宋体" w:hAnsi="Times New Roman" w:hint="eastAsia"/>
        </w:rPr>
        <w:t>披露</w:t>
      </w:r>
      <w:r w:rsidR="00592F57" w:rsidRPr="007B048B">
        <w:rPr>
          <w:rFonts w:ascii="Times New Roman" w:eastAsia="宋体" w:hAnsi="Times New Roman" w:hint="eastAsia"/>
        </w:rPr>
        <w:t>了“不完美”的状况（即</w:t>
      </w:r>
      <w:r w:rsidR="00C63B58" w:rsidRPr="007B048B">
        <w:rPr>
          <w:rFonts w:ascii="Times New Roman" w:eastAsia="宋体" w:hAnsi="Times New Roman" w:hint="eastAsia"/>
        </w:rPr>
        <w:t>对前者的例外情况）</w:t>
      </w:r>
      <w:r w:rsidR="009E2265" w:rsidRPr="007B048B">
        <w:rPr>
          <w:rFonts w:ascii="Times New Roman" w:eastAsia="宋体" w:hAnsi="Times New Roman" w:hint="eastAsia"/>
        </w:rPr>
        <w:t>。</w:t>
      </w:r>
      <w:r w:rsidR="00C63B58" w:rsidRPr="007B048B">
        <w:rPr>
          <w:rFonts w:ascii="Times New Roman" w:eastAsia="宋体" w:hAnsi="Times New Roman"/>
        </w:rPr>
        <w:t xml:space="preserve"> </w:t>
      </w:r>
      <w:r w:rsidR="00C63B58" w:rsidRPr="007B048B">
        <w:rPr>
          <w:rFonts w:ascii="Times New Roman" w:eastAsia="宋体" w:hAnsi="Times New Roman" w:hint="eastAsia"/>
        </w:rPr>
        <w:t>通过这一陈述列表</w:t>
      </w:r>
      <w:r w:rsidR="00C63B58" w:rsidRPr="007B048B">
        <w:rPr>
          <w:rFonts w:ascii="Times New Roman" w:eastAsia="宋体" w:hAnsi="Times New Roman" w:hint="eastAsia"/>
        </w:rPr>
        <w:t>+</w:t>
      </w:r>
      <w:r w:rsidR="00C63B58" w:rsidRPr="007B048B">
        <w:rPr>
          <w:rFonts w:ascii="Times New Roman" w:eastAsia="宋体" w:hAnsi="Times New Roman" w:hint="eastAsia"/>
        </w:rPr>
        <w:t>披露清单的机制，</w:t>
      </w:r>
      <w:r w:rsidR="00C63B58" w:rsidRPr="007B048B">
        <w:rPr>
          <w:rFonts w:ascii="Times New Roman" w:eastAsia="宋体" w:hAnsi="Times New Roman" w:hint="eastAsia"/>
        </w:rPr>
        <w:t>SPA</w:t>
      </w:r>
      <w:r w:rsidR="00C63B58" w:rsidRPr="007B048B">
        <w:rPr>
          <w:rFonts w:ascii="Times New Roman" w:eastAsia="宋体" w:hAnsi="Times New Roman" w:hint="eastAsia"/>
        </w:rPr>
        <w:t>以法律文件的形式固化了投资时点公司的风险状况。如果投资后发现当时存在未披露的风险，则构成</w:t>
      </w:r>
      <w:r w:rsidR="00E90853" w:rsidRPr="007B048B">
        <w:rPr>
          <w:rFonts w:ascii="Times New Roman" w:eastAsia="宋体" w:hAnsi="Times New Roman" w:hint="eastAsia"/>
        </w:rPr>
        <w:t>承诺方（一般为公司与其创始人）</w:t>
      </w:r>
      <w:r w:rsidR="00C63B58" w:rsidRPr="007B048B">
        <w:rPr>
          <w:rFonts w:ascii="Times New Roman" w:eastAsia="宋体" w:hAnsi="Times New Roman" w:hint="eastAsia"/>
        </w:rPr>
        <w:t>对</w:t>
      </w:r>
      <w:r w:rsidR="00C63B58" w:rsidRPr="007B048B">
        <w:rPr>
          <w:rFonts w:ascii="Times New Roman" w:eastAsia="宋体" w:hAnsi="Times New Roman" w:hint="eastAsia"/>
        </w:rPr>
        <w:t>SPA</w:t>
      </w:r>
      <w:r w:rsidR="00C63B58" w:rsidRPr="007B048B">
        <w:rPr>
          <w:rFonts w:ascii="Times New Roman" w:eastAsia="宋体" w:hAnsi="Times New Roman" w:hint="eastAsia"/>
        </w:rPr>
        <w:t>的违约。</w:t>
      </w:r>
    </w:p>
    <w:p w14:paraId="30CE7F70" w14:textId="45CF1B5E" w:rsidR="008F0759" w:rsidRPr="007B048B" w:rsidRDefault="00FC1908" w:rsidP="00BB08CC">
      <w:pPr>
        <w:pStyle w:val="ListParagraph"/>
        <w:numPr>
          <w:ilvl w:val="0"/>
          <w:numId w:val="7"/>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b/>
        </w:rPr>
        <w:t>条件</w:t>
      </w:r>
      <w:r w:rsidRPr="007B048B">
        <w:rPr>
          <w:rFonts w:ascii="Times New Roman" w:eastAsia="宋体" w:hAnsi="Times New Roman" w:hint="eastAsia"/>
        </w:rPr>
        <w:t>（开源模板</w:t>
      </w:r>
      <w:r w:rsidR="005232FF">
        <w:rPr>
          <w:rFonts w:ascii="Times New Roman" w:eastAsia="宋体" w:hAnsi="Times New Roman" w:hint="eastAsia"/>
        </w:rPr>
        <w:t>SPA</w:t>
      </w:r>
      <w:r w:rsidRPr="007B048B">
        <w:rPr>
          <w:rFonts w:ascii="Times New Roman" w:eastAsia="宋体" w:hAnsi="Times New Roman" w:hint="eastAsia"/>
        </w:rPr>
        <w:t>第</w:t>
      </w:r>
      <w:r w:rsidRPr="007B048B">
        <w:rPr>
          <w:rFonts w:ascii="Times New Roman" w:eastAsia="宋体" w:hAnsi="Times New Roman" w:hint="eastAsia"/>
        </w:rPr>
        <w:t>5</w:t>
      </w:r>
      <w:r w:rsidRPr="007B048B">
        <w:rPr>
          <w:rFonts w:ascii="Times New Roman" w:eastAsia="宋体" w:hAnsi="Times New Roman" w:hint="eastAsia"/>
        </w:rPr>
        <w:t>条</w:t>
      </w:r>
      <w:r w:rsidRPr="007B048B">
        <w:rPr>
          <w:rFonts w:ascii="Times New Roman" w:eastAsia="宋体" w:hAnsi="Times New Roman"/>
        </w:rPr>
        <w:t xml:space="preserve"> </w:t>
      </w:r>
      <w:r w:rsidRPr="007B048B">
        <w:rPr>
          <w:rFonts w:ascii="Times New Roman" w:eastAsia="宋体" w:hAnsi="Times New Roman" w:hint="eastAsia"/>
        </w:rPr>
        <w:t>C</w:t>
      </w:r>
      <w:r w:rsidR="00351D74" w:rsidRPr="007B048B">
        <w:rPr>
          <w:rFonts w:ascii="Times New Roman" w:eastAsia="宋体" w:hAnsi="Times New Roman"/>
        </w:rPr>
        <w:t>onditions</w:t>
      </w:r>
      <w:r w:rsidRPr="007B048B">
        <w:rPr>
          <w:rFonts w:ascii="Times New Roman" w:eastAsia="宋体" w:hAnsi="Times New Roman" w:hint="eastAsia"/>
        </w:rPr>
        <w:t>）</w:t>
      </w:r>
    </w:p>
    <w:p w14:paraId="38A9979E" w14:textId="468D993B" w:rsidR="00674335" w:rsidRPr="007B048B" w:rsidRDefault="00674335"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条件</w:t>
      </w:r>
      <w:r w:rsidR="006F511F" w:rsidRPr="007B048B">
        <w:rPr>
          <w:rFonts w:ascii="Times New Roman" w:eastAsia="宋体" w:hAnsi="Times New Roman" w:hint="eastAsia"/>
        </w:rPr>
        <w:t>部分规定了交割的先决条件</w:t>
      </w:r>
      <w:r w:rsidR="00741C28" w:rsidRPr="007B048B">
        <w:rPr>
          <w:rFonts w:ascii="Times New Roman" w:eastAsia="宋体" w:hAnsi="Times New Roman" w:hint="eastAsia"/>
        </w:rPr>
        <w:t>，即只有在这些条件被满足（或被豁免）时，投资人方有义务支付投资金额。</w:t>
      </w:r>
      <w:r w:rsidR="00741C28" w:rsidRPr="007B048B">
        <w:rPr>
          <w:rFonts w:ascii="Times New Roman" w:eastAsia="宋体" w:hAnsi="Times New Roman" w:hint="eastAsia"/>
        </w:rPr>
        <w:t xml:space="preserve"> </w:t>
      </w:r>
      <w:r w:rsidR="002E0D22" w:rsidRPr="007B048B">
        <w:rPr>
          <w:rFonts w:ascii="Times New Roman" w:eastAsia="宋体" w:hAnsi="Times New Roman" w:hint="eastAsia"/>
        </w:rPr>
        <w:t>惯常</w:t>
      </w:r>
      <w:r w:rsidR="00741C28" w:rsidRPr="007B048B">
        <w:rPr>
          <w:rFonts w:ascii="Times New Roman" w:eastAsia="宋体" w:hAnsi="Times New Roman" w:hint="eastAsia"/>
        </w:rPr>
        <w:t>的交割条件包括：</w:t>
      </w:r>
    </w:p>
    <w:p w14:paraId="1F085818" w14:textId="2C04C3A1" w:rsidR="00741C28" w:rsidRPr="007B048B" w:rsidRDefault="00741C28"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陈述与保证在交割时是真实的</w:t>
      </w:r>
    </w:p>
    <w:p w14:paraId="2B096A0E" w14:textId="25413822" w:rsidR="00741C28" w:rsidRPr="007B048B" w:rsidRDefault="00741C28"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交割前承诺（见“承诺”部分）未被违反</w:t>
      </w:r>
    </w:p>
    <w:p w14:paraId="49933F2E" w14:textId="31DAB16E" w:rsidR="00741C28" w:rsidRPr="007B048B" w:rsidRDefault="00AF5A6D"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lastRenderedPageBreak/>
        <w:t>已</w:t>
      </w:r>
      <w:r w:rsidR="00741C28" w:rsidRPr="007B048B">
        <w:rPr>
          <w:rFonts w:ascii="Times New Roman" w:eastAsia="宋体" w:hAnsi="Times New Roman" w:hint="eastAsia"/>
        </w:rPr>
        <w:t>获得</w:t>
      </w:r>
      <w:r w:rsidR="002E0D22" w:rsidRPr="007B048B">
        <w:rPr>
          <w:rFonts w:ascii="Times New Roman" w:eastAsia="宋体" w:hAnsi="Times New Roman" w:hint="eastAsia"/>
        </w:rPr>
        <w:t>必</w:t>
      </w:r>
      <w:r w:rsidR="00741C28" w:rsidRPr="007B048B">
        <w:rPr>
          <w:rFonts w:ascii="Times New Roman" w:eastAsia="宋体" w:hAnsi="Times New Roman" w:hint="eastAsia"/>
        </w:rPr>
        <w:t>需的股东会、董事会</w:t>
      </w:r>
      <w:r w:rsidR="002E0D22" w:rsidRPr="007B048B">
        <w:rPr>
          <w:rFonts w:ascii="Times New Roman" w:eastAsia="宋体" w:hAnsi="Times New Roman" w:hint="eastAsia"/>
        </w:rPr>
        <w:t>的批准</w:t>
      </w:r>
    </w:p>
    <w:p w14:paraId="52132D44" w14:textId="6D8091AD" w:rsidR="00741C28" w:rsidRPr="007B048B" w:rsidRDefault="00AF5A6D"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已</w:t>
      </w:r>
      <w:r w:rsidR="00741C28" w:rsidRPr="007B048B">
        <w:rPr>
          <w:rFonts w:ascii="Times New Roman" w:eastAsia="宋体" w:hAnsi="Times New Roman" w:hint="eastAsia"/>
        </w:rPr>
        <w:t>通过公司章程</w:t>
      </w:r>
    </w:p>
    <w:p w14:paraId="2B70A210" w14:textId="4BD78276" w:rsidR="00741C28" w:rsidRPr="007B048B" w:rsidRDefault="00AF5A6D"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已</w:t>
      </w:r>
      <w:r w:rsidR="002E0D22" w:rsidRPr="007B048B">
        <w:rPr>
          <w:rFonts w:ascii="Times New Roman" w:eastAsia="宋体" w:hAnsi="Times New Roman" w:hint="eastAsia"/>
        </w:rPr>
        <w:t>签署其他交易文件</w:t>
      </w:r>
    </w:p>
    <w:p w14:paraId="7E61BF3E" w14:textId="0A004FE8" w:rsidR="006F511F" w:rsidRPr="007B048B" w:rsidRDefault="002E0D22"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双方也可能就投资项目的特定情况设定其他需在投资前满足的条件（例如完成重组等）。</w:t>
      </w:r>
    </w:p>
    <w:p w14:paraId="28DA196D" w14:textId="7134759B" w:rsidR="00FC1908" w:rsidRPr="007B048B" w:rsidRDefault="00FC1908" w:rsidP="00BB08CC">
      <w:pPr>
        <w:pStyle w:val="ListParagraph"/>
        <w:numPr>
          <w:ilvl w:val="0"/>
          <w:numId w:val="7"/>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b/>
        </w:rPr>
        <w:t>承诺</w:t>
      </w:r>
      <w:r w:rsidR="00351D74" w:rsidRPr="007B048B">
        <w:rPr>
          <w:rFonts w:ascii="Times New Roman" w:eastAsia="宋体" w:hAnsi="Times New Roman" w:hint="eastAsia"/>
        </w:rPr>
        <w:t>（开源模板</w:t>
      </w:r>
      <w:r w:rsidR="005232FF">
        <w:rPr>
          <w:rFonts w:ascii="Times New Roman" w:eastAsia="宋体" w:hAnsi="Times New Roman" w:hint="eastAsia"/>
        </w:rPr>
        <w:t>SPA</w:t>
      </w:r>
      <w:r w:rsidR="00351D74" w:rsidRPr="007B048B">
        <w:rPr>
          <w:rFonts w:ascii="Times New Roman" w:eastAsia="宋体" w:hAnsi="Times New Roman" w:hint="eastAsia"/>
        </w:rPr>
        <w:t>第</w:t>
      </w:r>
      <w:r w:rsidR="00351D74" w:rsidRPr="007B048B">
        <w:rPr>
          <w:rFonts w:ascii="Times New Roman" w:eastAsia="宋体" w:hAnsi="Times New Roman" w:hint="eastAsia"/>
        </w:rPr>
        <w:t>6</w:t>
      </w:r>
      <w:r w:rsidR="00351D74" w:rsidRPr="007B048B">
        <w:rPr>
          <w:rFonts w:ascii="Times New Roman" w:eastAsia="宋体" w:hAnsi="Times New Roman" w:hint="eastAsia"/>
        </w:rPr>
        <w:t>条</w:t>
      </w:r>
      <w:r w:rsidR="00351D74" w:rsidRPr="007B048B">
        <w:rPr>
          <w:rFonts w:ascii="Times New Roman" w:eastAsia="宋体" w:hAnsi="Times New Roman"/>
        </w:rPr>
        <w:t xml:space="preserve"> </w:t>
      </w:r>
      <w:r w:rsidR="00351D74" w:rsidRPr="007B048B">
        <w:rPr>
          <w:rFonts w:ascii="Times New Roman" w:eastAsia="宋体" w:hAnsi="Times New Roman" w:hint="eastAsia"/>
        </w:rPr>
        <w:t>Covenants</w:t>
      </w:r>
      <w:r w:rsidR="00351D74" w:rsidRPr="007B048B">
        <w:rPr>
          <w:rFonts w:ascii="Times New Roman" w:eastAsia="宋体" w:hAnsi="Times New Roman" w:hint="eastAsia"/>
        </w:rPr>
        <w:t>）</w:t>
      </w:r>
    </w:p>
    <w:p w14:paraId="0B139821" w14:textId="4FF676B8" w:rsidR="002E0D22" w:rsidRPr="007B048B" w:rsidRDefault="002E0D22"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承诺部分约定了承诺方在交割前和交割后需要采取的行</w:t>
      </w:r>
      <w:r w:rsidR="00E90853" w:rsidRPr="007B048B">
        <w:rPr>
          <w:rFonts w:ascii="Times New Roman" w:eastAsia="宋体" w:hAnsi="Times New Roman" w:hint="eastAsia"/>
        </w:rPr>
        <w:t>动。交割前承诺一般是为了保障交易顺利进行。交割后承诺</w:t>
      </w:r>
      <w:r w:rsidR="00EE3BAF" w:rsidRPr="007B048B">
        <w:rPr>
          <w:rFonts w:ascii="Times New Roman" w:eastAsia="宋体" w:hAnsi="Times New Roman" w:hint="eastAsia"/>
        </w:rPr>
        <w:t>往往包括承诺人无法在交割前及时完成的事项。</w:t>
      </w:r>
      <w:r w:rsidR="00E90853" w:rsidRPr="007B048B">
        <w:rPr>
          <w:rFonts w:ascii="Times New Roman" w:eastAsia="宋体" w:hAnsi="Times New Roman" w:hint="eastAsia"/>
        </w:rPr>
        <w:t xml:space="preserve"> </w:t>
      </w:r>
    </w:p>
    <w:p w14:paraId="460002D4" w14:textId="0F84BB7C" w:rsidR="00351D74" w:rsidRPr="007B048B" w:rsidRDefault="00351D74" w:rsidP="00BB08CC">
      <w:pPr>
        <w:pStyle w:val="ListParagraph"/>
        <w:numPr>
          <w:ilvl w:val="0"/>
          <w:numId w:val="7"/>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b/>
        </w:rPr>
        <w:t>责任</w:t>
      </w:r>
      <w:r w:rsidRPr="007B048B">
        <w:rPr>
          <w:rFonts w:ascii="Times New Roman" w:eastAsia="宋体" w:hAnsi="Times New Roman" w:hint="eastAsia"/>
        </w:rPr>
        <w:t xml:space="preserve"> </w:t>
      </w:r>
      <w:r w:rsidRPr="007B048B">
        <w:rPr>
          <w:rFonts w:ascii="Times New Roman" w:eastAsia="宋体" w:hAnsi="Times New Roman" w:hint="eastAsia"/>
        </w:rPr>
        <w:t>（开源模板</w:t>
      </w:r>
      <w:r w:rsidR="005232FF">
        <w:rPr>
          <w:rFonts w:ascii="Times New Roman" w:eastAsia="宋体" w:hAnsi="Times New Roman" w:hint="eastAsia"/>
        </w:rPr>
        <w:t>SPA</w:t>
      </w:r>
      <w:r w:rsidRPr="007B048B">
        <w:rPr>
          <w:rFonts w:ascii="Times New Roman" w:eastAsia="宋体" w:hAnsi="Times New Roman" w:hint="eastAsia"/>
        </w:rPr>
        <w:t>第</w:t>
      </w:r>
      <w:r w:rsidRPr="007B048B">
        <w:rPr>
          <w:rFonts w:ascii="Times New Roman" w:eastAsia="宋体" w:hAnsi="Times New Roman" w:hint="eastAsia"/>
        </w:rPr>
        <w:t>7</w:t>
      </w:r>
      <w:r w:rsidRPr="007B048B">
        <w:rPr>
          <w:rFonts w:ascii="Times New Roman" w:eastAsia="宋体" w:hAnsi="Times New Roman" w:hint="eastAsia"/>
        </w:rPr>
        <w:t>条</w:t>
      </w:r>
      <w:r w:rsidRPr="007B048B">
        <w:rPr>
          <w:rFonts w:ascii="Times New Roman" w:eastAsia="宋体" w:hAnsi="Times New Roman"/>
        </w:rPr>
        <w:t xml:space="preserve"> </w:t>
      </w:r>
      <w:r w:rsidRPr="007B048B">
        <w:rPr>
          <w:rFonts w:ascii="Times New Roman" w:eastAsia="宋体" w:hAnsi="Times New Roman" w:hint="eastAsia"/>
        </w:rPr>
        <w:t>Liabilities</w:t>
      </w:r>
      <w:r w:rsidRPr="007B048B">
        <w:rPr>
          <w:rFonts w:ascii="Times New Roman" w:eastAsia="宋体" w:hAnsi="Times New Roman" w:hint="eastAsia"/>
        </w:rPr>
        <w:t>）</w:t>
      </w:r>
    </w:p>
    <w:p w14:paraId="7C4079E2" w14:textId="40B8FE00" w:rsidR="008F0759" w:rsidRPr="007B048B" w:rsidRDefault="00E90853"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责任部分</w:t>
      </w:r>
      <w:r w:rsidR="00C7296B" w:rsidRPr="007B048B">
        <w:rPr>
          <w:rFonts w:ascii="Times New Roman" w:eastAsia="宋体" w:hAnsi="Times New Roman" w:hint="eastAsia"/>
        </w:rPr>
        <w:t>主要</w:t>
      </w:r>
      <w:r w:rsidRPr="007B048B">
        <w:rPr>
          <w:rFonts w:ascii="Times New Roman" w:eastAsia="宋体" w:hAnsi="Times New Roman" w:hint="eastAsia"/>
        </w:rPr>
        <w:t>约定了承诺方的</w:t>
      </w:r>
      <w:r w:rsidR="00C7296B" w:rsidRPr="007B048B">
        <w:rPr>
          <w:rFonts w:ascii="Times New Roman" w:eastAsia="宋体" w:hAnsi="Times New Roman" w:hint="eastAsia"/>
        </w:rPr>
        <w:t>赔偿责任，包括就违约造成的损失的</w:t>
      </w:r>
      <w:r w:rsidR="00071D30" w:rsidRPr="007B048B">
        <w:rPr>
          <w:rFonts w:ascii="Times New Roman" w:eastAsia="宋体" w:hAnsi="Times New Roman" w:hint="eastAsia"/>
        </w:rPr>
        <w:t>违约</w:t>
      </w:r>
      <w:r w:rsidR="00C7296B" w:rsidRPr="007B048B">
        <w:rPr>
          <w:rFonts w:ascii="Times New Roman" w:eastAsia="宋体" w:hAnsi="Times New Roman" w:hint="eastAsia"/>
        </w:rPr>
        <w:t>赔偿责任，和就特定事项造成的损失的特定赔偿责任。两者的区别是后者不以违约为前提，例如</w:t>
      </w:r>
      <w:r w:rsidR="005232FF">
        <w:rPr>
          <w:rFonts w:ascii="Times New Roman" w:eastAsia="宋体" w:hAnsi="Times New Roman" w:hint="eastAsia"/>
        </w:rPr>
        <w:t>因</w:t>
      </w:r>
      <w:r w:rsidR="00C7296B" w:rsidRPr="007B048B">
        <w:rPr>
          <w:rFonts w:ascii="Times New Roman" w:eastAsia="宋体" w:hAnsi="Times New Roman" w:hint="eastAsia"/>
        </w:rPr>
        <w:t>一项已在披露</w:t>
      </w:r>
      <w:r w:rsidR="002A303C" w:rsidRPr="007B048B">
        <w:rPr>
          <w:rFonts w:ascii="Times New Roman" w:eastAsia="宋体" w:hAnsi="Times New Roman" w:hint="eastAsia"/>
        </w:rPr>
        <w:t>清单中披露的风险</w:t>
      </w:r>
      <w:r w:rsidR="005232FF">
        <w:rPr>
          <w:rFonts w:ascii="Times New Roman" w:eastAsia="宋体" w:hAnsi="Times New Roman" w:hint="eastAsia"/>
        </w:rPr>
        <w:t>而</w:t>
      </w:r>
      <w:r w:rsidR="002A303C" w:rsidRPr="007B048B">
        <w:rPr>
          <w:rFonts w:ascii="Times New Roman" w:eastAsia="宋体" w:hAnsi="Times New Roman" w:hint="eastAsia"/>
        </w:rPr>
        <w:t>造成的损失</w:t>
      </w:r>
      <w:r w:rsidR="005232FF">
        <w:rPr>
          <w:rFonts w:ascii="Times New Roman" w:eastAsia="宋体" w:hAnsi="Times New Roman" w:hint="eastAsia"/>
        </w:rPr>
        <w:t>并</w:t>
      </w:r>
      <w:r w:rsidR="002A303C" w:rsidRPr="007B048B">
        <w:rPr>
          <w:rFonts w:ascii="Times New Roman" w:eastAsia="宋体" w:hAnsi="Times New Roman" w:hint="eastAsia"/>
        </w:rPr>
        <w:t>不构成违约损失，但双方仍可通过特定赔偿对该风险的分配做出约定。</w:t>
      </w:r>
    </w:p>
    <w:p w14:paraId="5C160AF7" w14:textId="150D965E" w:rsidR="008F0759" w:rsidRPr="007B048B" w:rsidRDefault="003C6DE8" w:rsidP="00BB08CC">
      <w:pPr>
        <w:adjustRightInd w:val="0"/>
        <w:snapToGrid w:val="0"/>
        <w:spacing w:before="120" w:after="240" w:line="264" w:lineRule="auto"/>
        <w:jc w:val="both"/>
        <w:rPr>
          <w:rFonts w:ascii="Times New Roman" w:eastAsia="宋体" w:hAnsi="Times New Roman"/>
          <w:u w:val="single"/>
        </w:rPr>
      </w:pPr>
      <w:r w:rsidRPr="007B048B">
        <w:rPr>
          <w:rFonts w:ascii="Times New Roman" w:eastAsia="宋体" w:hAnsi="Times New Roman" w:hint="eastAsia"/>
          <w:u w:val="single"/>
        </w:rPr>
        <w:t>SPA</w:t>
      </w:r>
      <w:r w:rsidR="00192C63" w:rsidRPr="007B048B">
        <w:rPr>
          <w:rFonts w:ascii="Times New Roman" w:eastAsia="宋体" w:hAnsi="Times New Roman" w:hint="eastAsia"/>
          <w:u w:val="single"/>
        </w:rPr>
        <w:t>各组成部分</w:t>
      </w:r>
      <w:r w:rsidR="00BF4044" w:rsidRPr="007B048B">
        <w:rPr>
          <w:rFonts w:ascii="Times New Roman" w:eastAsia="宋体" w:hAnsi="Times New Roman" w:hint="eastAsia"/>
          <w:u w:val="single"/>
        </w:rPr>
        <w:t>之间的逻辑关系</w:t>
      </w:r>
    </w:p>
    <w:p w14:paraId="13129101" w14:textId="4F84B660" w:rsidR="006C0FF5" w:rsidRPr="007B048B" w:rsidRDefault="00435663" w:rsidP="00BB08CC">
      <w:pPr>
        <w:adjustRightInd w:val="0"/>
        <w:snapToGrid w:val="0"/>
        <w:spacing w:before="120" w:after="240" w:line="264" w:lineRule="auto"/>
        <w:ind w:firstLine="360"/>
        <w:jc w:val="both"/>
        <w:rPr>
          <w:rFonts w:ascii="Times New Roman" w:eastAsia="宋体" w:hAnsi="Times New Roman"/>
        </w:rPr>
      </w:pPr>
      <w:r w:rsidRPr="007B048B">
        <w:rPr>
          <w:rFonts w:ascii="Times New Roman" w:eastAsia="宋体" w:hAnsi="Times New Roman" w:hint="eastAsia"/>
        </w:rPr>
        <w:t>SPA</w:t>
      </w:r>
      <w:r w:rsidRPr="007B048B">
        <w:rPr>
          <w:rFonts w:ascii="Times New Roman" w:eastAsia="宋体" w:hAnsi="Times New Roman" w:hint="eastAsia"/>
        </w:rPr>
        <w:t>的四个主要组成部分，陈述与保证、条件、承诺与赔偿责任之间通过两重逻辑关系组成一个整体。</w:t>
      </w:r>
      <w:r w:rsidRPr="007B048B">
        <w:rPr>
          <w:rFonts w:ascii="Times New Roman" w:eastAsia="宋体" w:hAnsi="Times New Roman" w:hint="eastAsia"/>
        </w:rPr>
        <w:t xml:space="preserve"> </w:t>
      </w:r>
    </w:p>
    <w:p w14:paraId="6D1E3C62" w14:textId="77777777" w:rsidR="006878DF" w:rsidRPr="007B048B" w:rsidRDefault="00435663" w:rsidP="00BB08CC">
      <w:pPr>
        <w:pStyle w:val="ListParagraph"/>
        <w:numPr>
          <w:ilvl w:val="0"/>
          <w:numId w:val="8"/>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第一重逻辑关系是：</w:t>
      </w:r>
      <w:r w:rsidR="006C0FF5" w:rsidRPr="007B048B">
        <w:rPr>
          <w:rFonts w:ascii="Times New Roman" w:eastAsia="宋体" w:hAnsi="Times New Roman" w:hint="eastAsia"/>
        </w:rPr>
        <w:t>陈述与保证真实与交割前承诺的遵守是交割条件，因此如果在交割前发现陈述与保证不真实或交割前承诺未被遵守，投资人可根据交割条件不成立而不进行投资。</w:t>
      </w:r>
      <w:r w:rsidR="00071D30" w:rsidRPr="007B048B">
        <w:rPr>
          <w:rFonts w:ascii="Times New Roman" w:eastAsia="宋体" w:hAnsi="Times New Roman"/>
        </w:rPr>
        <w:t xml:space="preserve"> </w:t>
      </w:r>
    </w:p>
    <w:p w14:paraId="6D8CA0E3" w14:textId="5F14F871" w:rsidR="008F0759" w:rsidRPr="007B048B" w:rsidRDefault="006C0FF5" w:rsidP="00BB08CC">
      <w:pPr>
        <w:pStyle w:val="ListParagraph"/>
        <w:numPr>
          <w:ilvl w:val="0"/>
          <w:numId w:val="8"/>
        </w:numPr>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第二重逻辑关系是：</w:t>
      </w:r>
      <w:r w:rsidR="00071D30" w:rsidRPr="007B048B">
        <w:rPr>
          <w:rFonts w:ascii="Times New Roman" w:eastAsia="宋体" w:hAnsi="Times New Roman" w:hint="eastAsia"/>
        </w:rPr>
        <w:t>陈述与保证不真实或承诺（包括交割前与交割后承诺）未被遵守构成违约，进而触发违约赔偿责任。</w:t>
      </w:r>
    </w:p>
    <w:p w14:paraId="4B715E8A" w14:textId="5BCDCD1A" w:rsidR="00C47200" w:rsidRPr="007B048B" w:rsidRDefault="00C47200"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（对</w:t>
      </w:r>
      <w:r w:rsidRPr="007B048B">
        <w:rPr>
          <w:rFonts w:ascii="Times New Roman" w:eastAsia="宋体" w:hAnsi="Times New Roman"/>
        </w:rPr>
        <w:t>SPA</w:t>
      </w:r>
      <w:r w:rsidRPr="007B048B">
        <w:rPr>
          <w:rFonts w:ascii="Times New Roman" w:eastAsia="宋体" w:hAnsi="Times New Roman" w:hint="eastAsia"/>
        </w:rPr>
        <w:t>具体内容的注释请见内文脚注）</w:t>
      </w:r>
    </w:p>
    <w:p w14:paraId="5F913DB8" w14:textId="4EF2BDEB" w:rsidR="00103AE2" w:rsidRPr="007B048B" w:rsidRDefault="00103AE2" w:rsidP="007B048B">
      <w:pPr>
        <w:adjustRightInd w:val="0"/>
        <w:snapToGrid w:val="0"/>
        <w:spacing w:before="120" w:after="240" w:line="264" w:lineRule="auto"/>
        <w:rPr>
          <w:rFonts w:ascii="Times New Roman" w:eastAsia="宋体" w:hAnsi="Times New Roman"/>
          <w:bCs/>
        </w:rPr>
      </w:pPr>
    </w:p>
    <w:p w14:paraId="74D4A208" w14:textId="77777777" w:rsidR="009407ED" w:rsidRPr="007B048B" w:rsidRDefault="00D27605" w:rsidP="007B048B">
      <w:pPr>
        <w:pStyle w:val="ListParagraph"/>
        <w:adjustRightInd w:val="0"/>
        <w:snapToGrid w:val="0"/>
        <w:spacing w:before="120" w:after="240" w:line="264" w:lineRule="auto"/>
        <w:contextualSpacing w:val="0"/>
        <w:rPr>
          <w:rFonts w:ascii="Times New Roman" w:eastAsia="宋体" w:hAnsi="Times New Roman"/>
          <w:bCs/>
        </w:rPr>
      </w:pPr>
      <w:r w:rsidRPr="007B048B">
        <w:rPr>
          <w:rFonts w:ascii="Times New Roman" w:eastAsia="宋体" w:hAnsi="Times New Roman"/>
          <w:bCs/>
        </w:rPr>
        <w:t xml:space="preserve"> </w:t>
      </w:r>
    </w:p>
    <w:p w14:paraId="20A34E20" w14:textId="77777777" w:rsidR="009407ED" w:rsidRPr="007B048B" w:rsidRDefault="009407ED" w:rsidP="007B048B">
      <w:pPr>
        <w:adjustRightInd w:val="0"/>
        <w:snapToGrid w:val="0"/>
        <w:spacing w:before="120" w:after="240" w:line="264" w:lineRule="auto"/>
        <w:rPr>
          <w:rFonts w:ascii="Times New Roman" w:eastAsia="宋体" w:hAnsi="Times New Roman"/>
          <w:bCs/>
        </w:rPr>
      </w:pPr>
      <w:r w:rsidRPr="007B048B">
        <w:rPr>
          <w:rFonts w:ascii="Times New Roman" w:eastAsia="宋体" w:hAnsi="Times New Roman"/>
          <w:bCs/>
        </w:rPr>
        <w:br w:type="page"/>
      </w:r>
    </w:p>
    <w:p w14:paraId="442EB0E2" w14:textId="55882BDF" w:rsidR="00081CCB" w:rsidRPr="007B048B" w:rsidRDefault="009407ED" w:rsidP="007B048B">
      <w:pPr>
        <w:adjustRightInd w:val="0"/>
        <w:snapToGrid w:val="0"/>
        <w:spacing w:before="120" w:after="240" w:line="264" w:lineRule="auto"/>
        <w:jc w:val="center"/>
        <w:rPr>
          <w:rFonts w:ascii="Times New Roman" w:eastAsia="宋体" w:hAnsi="Times New Roman"/>
          <w:b/>
        </w:rPr>
      </w:pPr>
      <w:r w:rsidRPr="007B048B">
        <w:rPr>
          <w:rFonts w:ascii="Times New Roman" w:eastAsia="宋体" w:hAnsi="Times New Roman" w:hint="eastAsia"/>
          <w:b/>
        </w:rPr>
        <w:lastRenderedPageBreak/>
        <w:t>股东协议</w:t>
      </w:r>
      <w:r w:rsidR="00B12190" w:rsidRPr="007B048B">
        <w:rPr>
          <w:rFonts w:ascii="Times New Roman" w:eastAsia="宋体" w:hAnsi="Times New Roman" w:hint="eastAsia"/>
          <w:b/>
        </w:rPr>
        <w:t>（</w:t>
      </w:r>
      <w:r w:rsidR="00B12190" w:rsidRPr="007B048B">
        <w:rPr>
          <w:rFonts w:ascii="Times New Roman" w:eastAsia="宋体" w:hAnsi="Times New Roman" w:hint="eastAsia"/>
          <w:b/>
        </w:rPr>
        <w:t>SHA</w:t>
      </w:r>
      <w:r w:rsidR="00B12190" w:rsidRPr="007B048B">
        <w:rPr>
          <w:rFonts w:ascii="Times New Roman" w:eastAsia="宋体" w:hAnsi="Times New Roman" w:hint="eastAsia"/>
          <w:b/>
        </w:rPr>
        <w:t>）简介</w:t>
      </w:r>
    </w:p>
    <w:p w14:paraId="4E44B221" w14:textId="34306A38" w:rsidR="00081CCB" w:rsidRPr="007B048B" w:rsidRDefault="00081CCB" w:rsidP="007B048B">
      <w:pPr>
        <w:adjustRightInd w:val="0"/>
        <w:snapToGrid w:val="0"/>
        <w:spacing w:before="120" w:after="240" w:line="264" w:lineRule="auto"/>
        <w:rPr>
          <w:rFonts w:ascii="Times New Roman" w:eastAsia="宋体" w:hAnsi="Times New Roman"/>
          <w:b/>
        </w:rPr>
      </w:pPr>
      <w:r w:rsidRPr="007B048B">
        <w:rPr>
          <w:rFonts w:ascii="Times New Roman" w:eastAsia="宋体" w:hAnsi="Times New Roman" w:hint="eastAsia"/>
          <w:b/>
        </w:rPr>
        <w:t>SHA</w:t>
      </w:r>
      <w:r w:rsidRPr="007B048B">
        <w:rPr>
          <w:rFonts w:ascii="Times New Roman" w:eastAsia="宋体" w:hAnsi="Times New Roman" w:hint="eastAsia"/>
          <w:b/>
        </w:rPr>
        <w:t>的功能</w:t>
      </w:r>
    </w:p>
    <w:p w14:paraId="7EB54B34" w14:textId="0A42CC7B" w:rsidR="00B12190" w:rsidRPr="007B048B" w:rsidRDefault="00926EB9"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SHA</w:t>
      </w:r>
      <w:r w:rsidRPr="007B048B">
        <w:rPr>
          <w:rFonts w:ascii="Times New Roman" w:eastAsia="宋体" w:hAnsi="Times New Roman" w:hint="eastAsia"/>
        </w:rPr>
        <w:t>的关键字是“控制”。</w:t>
      </w:r>
      <w:r w:rsidRPr="007B048B">
        <w:rPr>
          <w:rFonts w:ascii="Times New Roman" w:eastAsia="宋体" w:hAnsi="Times New Roman" w:hint="eastAsia"/>
        </w:rPr>
        <w:t xml:space="preserve"> VC/PE</w:t>
      </w:r>
      <w:r w:rsidRPr="007B048B">
        <w:rPr>
          <w:rFonts w:ascii="Times New Roman" w:eastAsia="宋体" w:hAnsi="Times New Roman" w:hint="eastAsia"/>
        </w:rPr>
        <w:t>投资后</w:t>
      </w:r>
      <w:r w:rsidR="00C6293F" w:rsidRPr="007B048B">
        <w:rPr>
          <w:rFonts w:ascii="Times New Roman" w:eastAsia="宋体" w:hAnsi="Times New Roman" w:hint="eastAsia"/>
        </w:rPr>
        <w:t>，投资人一般</w:t>
      </w:r>
      <w:r w:rsidR="00E16EFB" w:rsidRPr="007B048B">
        <w:rPr>
          <w:rFonts w:ascii="Times New Roman" w:eastAsia="宋体" w:hAnsi="Times New Roman" w:hint="eastAsia"/>
        </w:rPr>
        <w:t>成为</w:t>
      </w:r>
      <w:r w:rsidR="00C6293F" w:rsidRPr="007B048B">
        <w:rPr>
          <w:rFonts w:ascii="Times New Roman" w:eastAsia="宋体" w:hAnsi="Times New Roman" w:hint="eastAsia"/>
        </w:rPr>
        <w:t>被投公司的少数股东，</w:t>
      </w:r>
      <w:r w:rsidR="00E16EFB" w:rsidRPr="007B048B">
        <w:rPr>
          <w:rFonts w:ascii="Times New Roman" w:eastAsia="宋体" w:hAnsi="Times New Roman" w:hint="eastAsia"/>
        </w:rPr>
        <w:t>也</w:t>
      </w:r>
      <w:r w:rsidR="00C6293F" w:rsidRPr="007B048B">
        <w:rPr>
          <w:rFonts w:ascii="Times New Roman" w:eastAsia="宋体" w:hAnsi="Times New Roman" w:hint="eastAsia"/>
        </w:rPr>
        <w:t>不实际控制被投公司的经营管理</w:t>
      </w:r>
      <w:r w:rsidR="00E16EFB" w:rsidRPr="007B048B">
        <w:rPr>
          <w:rFonts w:ascii="Times New Roman" w:eastAsia="宋体" w:hAnsi="Times New Roman" w:hint="eastAsia"/>
        </w:rPr>
        <w:t>。</w:t>
      </w:r>
      <w:r w:rsidR="00E16EFB" w:rsidRPr="007B048B">
        <w:rPr>
          <w:rFonts w:ascii="Times New Roman" w:eastAsia="宋体" w:hAnsi="Times New Roman" w:hint="eastAsia"/>
        </w:rPr>
        <w:t xml:space="preserve"> </w:t>
      </w:r>
      <w:r w:rsidR="005037A1" w:rsidRPr="007B048B">
        <w:rPr>
          <w:rFonts w:ascii="Times New Roman" w:eastAsia="宋体" w:hAnsi="Times New Roman" w:hint="eastAsia"/>
        </w:rPr>
        <w:t>公司法的默认原则是股东的简单多数产生董事会，董事会聘任管理层，</w:t>
      </w:r>
      <w:r w:rsidR="00EB2BFE" w:rsidRPr="007B048B">
        <w:rPr>
          <w:rFonts w:ascii="Times New Roman" w:eastAsia="宋体" w:hAnsi="Times New Roman" w:hint="eastAsia"/>
        </w:rPr>
        <w:t>董事会简单多数决策</w:t>
      </w:r>
      <w:r w:rsidR="005037A1" w:rsidRPr="007B048B">
        <w:rPr>
          <w:rFonts w:ascii="Times New Roman" w:eastAsia="宋体" w:hAnsi="Times New Roman" w:hint="eastAsia"/>
        </w:rPr>
        <w:t>大部分</w:t>
      </w:r>
      <w:r w:rsidR="00EB2BFE" w:rsidRPr="007B048B">
        <w:rPr>
          <w:rFonts w:ascii="Times New Roman" w:eastAsia="宋体" w:hAnsi="Times New Roman" w:hint="eastAsia"/>
        </w:rPr>
        <w:t>公司</w:t>
      </w:r>
      <w:r w:rsidR="005037A1" w:rsidRPr="007B048B">
        <w:rPr>
          <w:rFonts w:ascii="Times New Roman" w:eastAsia="宋体" w:hAnsi="Times New Roman" w:hint="eastAsia"/>
        </w:rPr>
        <w:t>重大事项并</w:t>
      </w:r>
      <w:r w:rsidR="00EB2BFE" w:rsidRPr="007B048B">
        <w:rPr>
          <w:rFonts w:ascii="Times New Roman" w:eastAsia="宋体" w:hAnsi="Times New Roman" w:hint="eastAsia"/>
        </w:rPr>
        <w:t>由</w:t>
      </w:r>
      <w:r w:rsidR="005037A1" w:rsidRPr="007B048B">
        <w:rPr>
          <w:rFonts w:ascii="Times New Roman" w:eastAsia="宋体" w:hAnsi="Times New Roman" w:hint="eastAsia"/>
        </w:rPr>
        <w:t>管理层执行，一小部分非常重大事项还需要股东会简单多数的批准，而少数几项极其重大事项</w:t>
      </w:r>
      <w:r w:rsidR="00EB2BFE" w:rsidRPr="007B048B">
        <w:rPr>
          <w:rFonts w:ascii="Times New Roman" w:eastAsia="宋体" w:hAnsi="Times New Roman" w:hint="eastAsia"/>
        </w:rPr>
        <w:t>则</w:t>
      </w:r>
      <w:r w:rsidR="005037A1" w:rsidRPr="007B048B">
        <w:rPr>
          <w:rFonts w:ascii="Times New Roman" w:eastAsia="宋体" w:hAnsi="Times New Roman" w:hint="eastAsia"/>
        </w:rPr>
        <w:t>需由股东会的超级多数批准（一般为</w:t>
      </w:r>
      <w:r w:rsidR="005037A1" w:rsidRPr="007B048B">
        <w:rPr>
          <w:rFonts w:ascii="Times New Roman" w:eastAsia="宋体" w:hAnsi="Times New Roman" w:hint="eastAsia"/>
        </w:rPr>
        <w:t>2/3</w:t>
      </w:r>
      <w:r w:rsidR="005037A1" w:rsidRPr="007B048B">
        <w:rPr>
          <w:rFonts w:ascii="Times New Roman" w:eastAsia="宋体" w:hAnsi="Times New Roman" w:hint="eastAsia"/>
        </w:rPr>
        <w:t>）。</w:t>
      </w:r>
      <w:r w:rsidR="005037A1" w:rsidRPr="007B048B">
        <w:rPr>
          <w:rFonts w:ascii="Times New Roman" w:eastAsia="宋体" w:hAnsi="Times New Roman" w:hint="eastAsia"/>
        </w:rPr>
        <w:t xml:space="preserve"> </w:t>
      </w:r>
      <w:r w:rsidR="00D320AF" w:rsidRPr="007B048B">
        <w:rPr>
          <w:rFonts w:ascii="Times New Roman" w:eastAsia="宋体" w:hAnsi="Times New Roman" w:hint="eastAsia"/>
        </w:rPr>
        <w:t>可见</w:t>
      </w:r>
      <w:r w:rsidR="00EB2BFE" w:rsidRPr="007B048B">
        <w:rPr>
          <w:rFonts w:ascii="Times New Roman" w:eastAsia="宋体" w:hAnsi="Times New Roman" w:hint="eastAsia"/>
        </w:rPr>
        <w:t>作为不控制管理的少数股东，</w:t>
      </w:r>
      <w:r w:rsidR="005037A1" w:rsidRPr="007B048B">
        <w:rPr>
          <w:rFonts w:ascii="Times New Roman" w:eastAsia="宋体" w:hAnsi="Times New Roman" w:hint="eastAsia"/>
        </w:rPr>
        <w:t>投资人在公司法</w:t>
      </w:r>
      <w:r w:rsidR="00D320AF" w:rsidRPr="007B048B">
        <w:rPr>
          <w:rFonts w:ascii="Times New Roman" w:eastAsia="宋体" w:hAnsi="Times New Roman" w:hint="eastAsia"/>
        </w:rPr>
        <w:t>下</w:t>
      </w:r>
      <w:r w:rsidR="00EB2BFE" w:rsidRPr="007B048B">
        <w:rPr>
          <w:rFonts w:ascii="Times New Roman" w:eastAsia="宋体" w:hAnsi="Times New Roman" w:hint="eastAsia"/>
        </w:rPr>
        <w:t>所能得到的</w:t>
      </w:r>
      <w:r w:rsidR="00D320AF" w:rsidRPr="007B048B">
        <w:rPr>
          <w:rFonts w:ascii="Times New Roman" w:eastAsia="宋体" w:hAnsi="Times New Roman" w:hint="eastAsia"/>
        </w:rPr>
        <w:t>保护非常有限</w:t>
      </w:r>
      <w:r w:rsidR="005037A1" w:rsidRPr="007B048B">
        <w:rPr>
          <w:rFonts w:ascii="Times New Roman" w:eastAsia="宋体" w:hAnsi="Times New Roman" w:hint="eastAsia"/>
        </w:rPr>
        <w:t>，</w:t>
      </w:r>
      <w:r w:rsidR="00D320AF" w:rsidRPr="007B048B">
        <w:rPr>
          <w:rFonts w:ascii="Times New Roman" w:eastAsia="宋体" w:hAnsi="Times New Roman" w:hint="eastAsia"/>
        </w:rPr>
        <w:t>因</w:t>
      </w:r>
      <w:r w:rsidR="005037A1" w:rsidRPr="007B048B">
        <w:rPr>
          <w:rFonts w:ascii="Times New Roman" w:eastAsia="宋体" w:hAnsi="Times New Roman" w:hint="eastAsia"/>
        </w:rPr>
        <w:t>而需要</w:t>
      </w:r>
      <w:r w:rsidR="00EB2BFE" w:rsidRPr="007B048B">
        <w:rPr>
          <w:rFonts w:ascii="Times New Roman" w:eastAsia="宋体" w:hAnsi="Times New Roman" w:hint="eastAsia"/>
        </w:rPr>
        <w:t>通过合同</w:t>
      </w:r>
      <w:r w:rsidR="005037A1" w:rsidRPr="007B048B">
        <w:rPr>
          <w:rFonts w:ascii="Times New Roman" w:eastAsia="宋体" w:hAnsi="Times New Roman" w:hint="eastAsia"/>
        </w:rPr>
        <w:t>约定来获得</w:t>
      </w:r>
      <w:r w:rsidR="00EB2BFE" w:rsidRPr="007B048B">
        <w:rPr>
          <w:rFonts w:ascii="Times New Roman" w:eastAsia="宋体" w:hAnsi="Times New Roman" w:hint="eastAsia"/>
        </w:rPr>
        <w:t>能够</w:t>
      </w:r>
      <w:r w:rsidR="005037A1" w:rsidRPr="007B048B">
        <w:rPr>
          <w:rFonts w:ascii="Times New Roman" w:eastAsia="宋体" w:hAnsi="Times New Roman" w:hint="eastAsia"/>
        </w:rPr>
        <w:t>对被投公司的决策</w:t>
      </w:r>
      <w:r w:rsidR="00CC4F3D" w:rsidRPr="007B048B">
        <w:rPr>
          <w:rFonts w:ascii="Times New Roman" w:eastAsia="宋体" w:hAnsi="Times New Roman" w:hint="eastAsia"/>
        </w:rPr>
        <w:t>过程、</w:t>
      </w:r>
      <w:r w:rsidR="00ED1095" w:rsidRPr="007B048B">
        <w:rPr>
          <w:rFonts w:ascii="Times New Roman" w:eastAsia="宋体" w:hAnsi="Times New Roman" w:hint="eastAsia"/>
        </w:rPr>
        <w:t>股东结构</w:t>
      </w:r>
      <w:r w:rsidR="00CC4F3D" w:rsidRPr="007B048B">
        <w:rPr>
          <w:rFonts w:ascii="Times New Roman" w:eastAsia="宋体" w:hAnsi="Times New Roman" w:hint="eastAsia"/>
        </w:rPr>
        <w:t>和投资退出</w:t>
      </w:r>
      <w:r w:rsidR="00EB2BFE" w:rsidRPr="007B048B">
        <w:rPr>
          <w:rFonts w:ascii="Times New Roman" w:eastAsia="宋体" w:hAnsi="Times New Roman" w:hint="eastAsia"/>
        </w:rPr>
        <w:t>等方面</w:t>
      </w:r>
      <w:r w:rsidR="00ED1095" w:rsidRPr="007B048B">
        <w:rPr>
          <w:rFonts w:ascii="Times New Roman" w:eastAsia="宋体" w:hAnsi="Times New Roman" w:hint="eastAsia"/>
        </w:rPr>
        <w:t>施加一定程度的控制</w:t>
      </w:r>
      <w:r w:rsidR="00EB2BFE" w:rsidRPr="007B048B">
        <w:rPr>
          <w:rFonts w:ascii="Times New Roman" w:eastAsia="宋体" w:hAnsi="Times New Roman" w:hint="eastAsia"/>
        </w:rPr>
        <w:t>的权力</w:t>
      </w:r>
      <w:r w:rsidR="00ED1095" w:rsidRPr="007B048B">
        <w:rPr>
          <w:rFonts w:ascii="Times New Roman" w:eastAsia="宋体" w:hAnsi="Times New Roman" w:hint="eastAsia"/>
        </w:rPr>
        <w:t>，从而保护其股东利益。注意投资人的“控制”一般不是</w:t>
      </w:r>
      <w:r w:rsidR="004C0CF0" w:rsidRPr="007B048B">
        <w:rPr>
          <w:rFonts w:ascii="Times New Roman" w:eastAsia="宋体" w:hAnsi="Times New Roman" w:hint="eastAsia"/>
        </w:rPr>
        <w:t xml:space="preserve"> </w:t>
      </w:r>
      <w:r w:rsidR="00ED1095" w:rsidRPr="007B048B">
        <w:rPr>
          <w:rFonts w:ascii="Times New Roman" w:eastAsia="宋体" w:hAnsi="Times New Roman" w:hint="eastAsia"/>
        </w:rPr>
        <w:t>决策权，而</w:t>
      </w:r>
      <w:r w:rsidR="00CC4F3D" w:rsidRPr="007B048B">
        <w:rPr>
          <w:rFonts w:ascii="Times New Roman" w:eastAsia="宋体" w:hAnsi="Times New Roman" w:hint="eastAsia"/>
        </w:rPr>
        <w:t>表现为</w:t>
      </w:r>
      <w:r w:rsidR="00D320AF" w:rsidRPr="007B048B">
        <w:rPr>
          <w:rFonts w:ascii="Times New Roman" w:eastAsia="宋体" w:hAnsi="Times New Roman" w:hint="eastAsia"/>
        </w:rPr>
        <w:t>参与权和否决权。</w:t>
      </w:r>
    </w:p>
    <w:p w14:paraId="3C7288A3" w14:textId="25CB2E20" w:rsidR="00081CCB" w:rsidRPr="007B048B" w:rsidRDefault="00081CCB" w:rsidP="00BB08CC">
      <w:pPr>
        <w:adjustRightInd w:val="0"/>
        <w:snapToGrid w:val="0"/>
        <w:spacing w:before="120" w:after="240" w:line="264" w:lineRule="auto"/>
        <w:jc w:val="both"/>
        <w:rPr>
          <w:rFonts w:ascii="Times New Roman" w:eastAsia="宋体" w:hAnsi="Times New Roman"/>
          <w:b/>
        </w:rPr>
      </w:pPr>
      <w:r w:rsidRPr="007B048B">
        <w:rPr>
          <w:rFonts w:ascii="Times New Roman" w:eastAsia="宋体" w:hAnsi="Times New Roman" w:hint="eastAsia"/>
          <w:b/>
        </w:rPr>
        <w:t>SHA</w:t>
      </w:r>
      <w:r w:rsidRPr="007B048B">
        <w:rPr>
          <w:rFonts w:ascii="Times New Roman" w:eastAsia="宋体" w:hAnsi="Times New Roman" w:hint="eastAsia"/>
          <w:b/>
        </w:rPr>
        <w:t>的结构</w:t>
      </w:r>
    </w:p>
    <w:p w14:paraId="0E99610D" w14:textId="39B1E21F" w:rsidR="00A61AFB" w:rsidRPr="007B048B" w:rsidRDefault="00A61AFB"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SHA</w:t>
      </w:r>
      <w:r w:rsidRPr="007B048B">
        <w:rPr>
          <w:rFonts w:ascii="Times New Roman" w:eastAsia="宋体" w:hAnsi="Times New Roman" w:hint="eastAsia"/>
        </w:rPr>
        <w:t>的主要组成部分包括：</w:t>
      </w:r>
    </w:p>
    <w:p w14:paraId="4318D541" w14:textId="628F9A28" w:rsidR="0064461D" w:rsidRPr="007B048B" w:rsidRDefault="0064461D" w:rsidP="00BB08CC">
      <w:pPr>
        <w:pStyle w:val="ListParagraph"/>
        <w:numPr>
          <w:ilvl w:val="0"/>
          <w:numId w:val="9"/>
        </w:numPr>
        <w:adjustRightInd w:val="0"/>
        <w:snapToGrid w:val="0"/>
        <w:spacing w:before="120" w:after="240" w:line="264" w:lineRule="auto"/>
        <w:contextualSpacing w:val="0"/>
        <w:jc w:val="both"/>
        <w:rPr>
          <w:rFonts w:ascii="Times New Roman" w:eastAsia="宋体" w:hAnsi="Times New Roman"/>
        </w:rPr>
      </w:pPr>
      <w:r w:rsidRPr="007B048B">
        <w:rPr>
          <w:rFonts w:ascii="Times New Roman" w:eastAsia="宋体" w:hAnsi="Times New Roman"/>
          <w:bCs/>
        </w:rPr>
        <w:tab/>
      </w:r>
      <w:r w:rsidRPr="007B048B">
        <w:rPr>
          <w:rFonts w:ascii="Times New Roman" w:eastAsia="宋体" w:hAnsi="Times New Roman" w:hint="eastAsia"/>
          <w:b/>
        </w:rPr>
        <w:t>企业治理</w:t>
      </w:r>
      <w:r w:rsidRPr="007B048B">
        <w:rPr>
          <w:rFonts w:ascii="Times New Roman" w:eastAsia="宋体" w:hAnsi="Times New Roman" w:hint="eastAsia"/>
        </w:rPr>
        <w:t>（开源模板</w:t>
      </w:r>
      <w:r w:rsidRPr="007B048B">
        <w:rPr>
          <w:rFonts w:ascii="Times New Roman" w:eastAsia="宋体" w:hAnsi="Times New Roman" w:hint="eastAsia"/>
        </w:rPr>
        <w:t>SHA</w:t>
      </w:r>
      <w:r w:rsidRPr="007B048B">
        <w:rPr>
          <w:rFonts w:ascii="Times New Roman" w:eastAsia="宋体" w:hAnsi="Times New Roman" w:hint="eastAsia"/>
        </w:rPr>
        <w:t>第</w:t>
      </w:r>
      <w:r w:rsidRPr="007B048B">
        <w:rPr>
          <w:rFonts w:ascii="Times New Roman" w:eastAsia="宋体" w:hAnsi="Times New Roman" w:hint="eastAsia"/>
        </w:rPr>
        <w:t>2</w:t>
      </w:r>
      <w:r w:rsidRPr="007B048B">
        <w:rPr>
          <w:rFonts w:ascii="Times New Roman" w:eastAsia="宋体" w:hAnsi="Times New Roman" w:hint="eastAsia"/>
        </w:rPr>
        <w:t>条</w:t>
      </w:r>
      <w:r w:rsidRPr="007B048B">
        <w:rPr>
          <w:rFonts w:ascii="Times New Roman" w:eastAsia="宋体" w:hAnsi="Times New Roman" w:hint="eastAsia"/>
        </w:rPr>
        <w:t xml:space="preserve"> Corporate</w:t>
      </w:r>
      <w:r w:rsidRPr="007B048B">
        <w:rPr>
          <w:rFonts w:ascii="Times New Roman" w:eastAsia="宋体" w:hAnsi="Times New Roman"/>
        </w:rPr>
        <w:t xml:space="preserve"> </w:t>
      </w:r>
      <w:r w:rsidRPr="007B048B">
        <w:rPr>
          <w:rFonts w:ascii="Times New Roman" w:eastAsia="宋体" w:hAnsi="Times New Roman" w:hint="eastAsia"/>
        </w:rPr>
        <w:t>Governance</w:t>
      </w:r>
      <w:r w:rsidRPr="007B048B">
        <w:rPr>
          <w:rFonts w:ascii="Times New Roman" w:eastAsia="宋体" w:hAnsi="Times New Roman" w:hint="eastAsia"/>
        </w:rPr>
        <w:t>）</w:t>
      </w:r>
    </w:p>
    <w:p w14:paraId="04DD3CB3" w14:textId="1FCAA64B" w:rsidR="000F60DB" w:rsidRPr="007B048B" w:rsidRDefault="000F60DB"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企业治理</w:t>
      </w:r>
      <w:r w:rsidR="0064461D" w:rsidRPr="007B048B">
        <w:rPr>
          <w:rFonts w:ascii="Times New Roman" w:eastAsia="宋体" w:hAnsi="Times New Roman" w:hint="eastAsia"/>
        </w:rPr>
        <w:t>部分</w:t>
      </w:r>
      <w:r w:rsidR="00D53990" w:rsidRPr="007B048B">
        <w:rPr>
          <w:rFonts w:ascii="Times New Roman" w:eastAsia="宋体" w:hAnsi="Times New Roman" w:hint="eastAsia"/>
        </w:rPr>
        <w:t>约定</w:t>
      </w:r>
      <w:r w:rsidR="0064461D" w:rsidRPr="007B048B">
        <w:rPr>
          <w:rFonts w:ascii="Times New Roman" w:eastAsia="宋体" w:hAnsi="Times New Roman" w:hint="eastAsia"/>
        </w:rPr>
        <w:t>了</w:t>
      </w:r>
      <w:r w:rsidRPr="007B048B">
        <w:rPr>
          <w:rFonts w:ascii="Times New Roman" w:eastAsia="宋体" w:hAnsi="Times New Roman" w:hint="eastAsia"/>
        </w:rPr>
        <w:t>投资人对企业重大决策的控制，主要包括；</w:t>
      </w:r>
    </w:p>
    <w:p w14:paraId="548BDC10" w14:textId="5248F956" w:rsidR="00D53990" w:rsidRPr="00BB08CC" w:rsidRDefault="000F60DB"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董事任命权</w:t>
      </w:r>
    </w:p>
    <w:p w14:paraId="482C073F" w14:textId="2F78FA12" w:rsidR="000F60DB" w:rsidRPr="007B048B" w:rsidRDefault="00336B65"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投资人有权任命一名或多名董事。</w:t>
      </w:r>
      <w:r w:rsidRPr="007B048B">
        <w:rPr>
          <w:rFonts w:ascii="Times New Roman" w:eastAsia="宋体" w:hAnsi="Times New Roman" w:hint="eastAsia"/>
        </w:rPr>
        <w:t xml:space="preserve"> </w:t>
      </w:r>
      <w:r w:rsidRPr="007B048B">
        <w:rPr>
          <w:rFonts w:ascii="Times New Roman" w:eastAsia="宋体" w:hAnsi="Times New Roman" w:hint="eastAsia"/>
        </w:rPr>
        <w:t>由于董事会是公司最主要的决策机构，董事任命权给予了投资人，通过其任命的董事，参与到公司的决策过程的机会。</w:t>
      </w:r>
      <w:r w:rsidRPr="007B048B">
        <w:rPr>
          <w:rFonts w:ascii="Times New Roman" w:eastAsia="宋体" w:hAnsi="Times New Roman" w:hint="eastAsia"/>
        </w:rPr>
        <w:t xml:space="preserve"> </w:t>
      </w:r>
      <w:r w:rsidR="00BB08CC">
        <w:rPr>
          <w:rFonts w:ascii="Times New Roman" w:eastAsia="宋体" w:hAnsi="Times New Roman" w:hint="eastAsia"/>
        </w:rPr>
        <w:t>投资人也有可能要求任命无投票权的董事会观察员。</w:t>
      </w:r>
    </w:p>
    <w:p w14:paraId="0246FE42" w14:textId="2C568232" w:rsidR="00336B65" w:rsidRPr="00BB08CC" w:rsidRDefault="00D53990"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proofErr w:type="gramStart"/>
      <w:r w:rsidRPr="00BB08CC">
        <w:rPr>
          <w:rFonts w:ascii="Times New Roman" w:eastAsia="宋体" w:hAnsi="Times New Roman" w:hint="eastAsia"/>
          <w:u w:val="single"/>
        </w:rPr>
        <w:t>特定</w:t>
      </w:r>
      <w:r w:rsidR="00336B65" w:rsidRPr="00BB08CC">
        <w:rPr>
          <w:rFonts w:ascii="Times New Roman" w:eastAsia="宋体" w:hAnsi="Times New Roman" w:hint="eastAsia"/>
          <w:u w:val="single"/>
        </w:rPr>
        <w:t>重大</w:t>
      </w:r>
      <w:proofErr w:type="gramEnd"/>
      <w:r w:rsidR="00336B65" w:rsidRPr="00BB08CC">
        <w:rPr>
          <w:rFonts w:ascii="Times New Roman" w:eastAsia="宋体" w:hAnsi="Times New Roman" w:hint="eastAsia"/>
          <w:u w:val="single"/>
        </w:rPr>
        <w:t>事项</w:t>
      </w:r>
      <w:r w:rsidRPr="00BB08CC">
        <w:rPr>
          <w:rFonts w:ascii="Times New Roman" w:eastAsia="宋体" w:hAnsi="Times New Roman" w:hint="eastAsia"/>
          <w:u w:val="single"/>
        </w:rPr>
        <w:t>的同意权</w:t>
      </w:r>
    </w:p>
    <w:p w14:paraId="0DCD716A" w14:textId="38D2A82B" w:rsidR="008D5B76" w:rsidRDefault="008D5B76"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SHA</w:t>
      </w:r>
      <w:r>
        <w:rPr>
          <w:rFonts w:ascii="Times New Roman" w:eastAsia="宋体" w:hAnsi="Times New Roman" w:hint="eastAsia"/>
        </w:rPr>
        <w:t>往往约定特定</w:t>
      </w:r>
      <w:r w:rsidR="00E75416">
        <w:rPr>
          <w:rFonts w:ascii="Times New Roman" w:eastAsia="宋体" w:hAnsi="Times New Roman" w:hint="eastAsia"/>
        </w:rPr>
        <w:t>重大事项需经投资人的事先同意，即给予投资人对这些事项否决权。特定重大事项的范围与条数一般根据公司的情况与规模，由双方谈判确定。否决权可以设置在股东层面，即需要一定比例的优先股多数的同意</w:t>
      </w:r>
      <w:r w:rsidR="00B54998">
        <w:rPr>
          <w:rFonts w:ascii="Times New Roman" w:eastAsia="宋体" w:hAnsi="Times New Roman" w:hint="eastAsia"/>
        </w:rPr>
        <w:t>。各轮次的优先股可以合并计算也可以单独计算。</w:t>
      </w:r>
      <w:r w:rsidR="00B54998">
        <w:rPr>
          <w:rFonts w:ascii="Times New Roman" w:eastAsia="宋体" w:hAnsi="Times New Roman" w:hint="eastAsia"/>
        </w:rPr>
        <w:t xml:space="preserve"> </w:t>
      </w:r>
      <w:r w:rsidR="00B54998">
        <w:rPr>
          <w:rFonts w:ascii="Times New Roman" w:eastAsia="宋体" w:hAnsi="Times New Roman" w:hint="eastAsia"/>
        </w:rPr>
        <w:t>也可以设置在董事层面，即要求一个或多个由投资人任命的董事的同意。</w:t>
      </w:r>
    </w:p>
    <w:p w14:paraId="789FE53B" w14:textId="0E319519" w:rsidR="00B54998" w:rsidRPr="007B048B" w:rsidRDefault="00B54998"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Pr>
          <w:rFonts w:ascii="Times New Roman" w:eastAsia="宋体" w:hAnsi="Times New Roman" w:hint="eastAsia"/>
        </w:rPr>
        <w:t>上述优先股的多数的设置需要考虑公司的股东结构</w:t>
      </w:r>
      <w:r w:rsidR="00A56EA2">
        <w:rPr>
          <w:rFonts w:ascii="Times New Roman" w:eastAsia="宋体" w:hAnsi="Times New Roman" w:hint="eastAsia"/>
        </w:rPr>
        <w:t>，并涉及公司与投资人以及投资人之间的博弈</w:t>
      </w:r>
      <w:r>
        <w:rPr>
          <w:rFonts w:ascii="Times New Roman" w:eastAsia="宋体" w:hAnsi="Times New Roman" w:hint="eastAsia"/>
        </w:rPr>
        <w:t>。例如，如果所需的</w:t>
      </w:r>
      <w:r w:rsidR="00C27C76">
        <w:rPr>
          <w:rFonts w:ascii="Times New Roman" w:eastAsia="宋体" w:hAnsi="Times New Roman" w:hint="eastAsia"/>
        </w:rPr>
        <w:t>优先股</w:t>
      </w:r>
      <w:r>
        <w:rPr>
          <w:rFonts w:ascii="Times New Roman" w:eastAsia="宋体" w:hAnsi="Times New Roman" w:hint="eastAsia"/>
        </w:rPr>
        <w:t>多数设为</w:t>
      </w:r>
      <w:r w:rsidR="00C27C76">
        <w:rPr>
          <w:rFonts w:ascii="Times New Roman" w:eastAsia="宋体" w:hAnsi="Times New Roman" w:hint="eastAsia"/>
        </w:rPr>
        <w:t>60%</w:t>
      </w:r>
      <w:r w:rsidR="00C27C76">
        <w:rPr>
          <w:rFonts w:ascii="Times New Roman" w:eastAsia="宋体" w:hAnsi="Times New Roman" w:hint="eastAsia"/>
        </w:rPr>
        <w:t>，则任何持有超过</w:t>
      </w:r>
      <w:r w:rsidR="00C27C76">
        <w:rPr>
          <w:rFonts w:ascii="Times New Roman" w:eastAsia="宋体" w:hAnsi="Times New Roman" w:hint="eastAsia"/>
        </w:rPr>
        <w:t>40%</w:t>
      </w:r>
      <w:r w:rsidR="00C27C76">
        <w:rPr>
          <w:rFonts w:ascii="Times New Roman" w:eastAsia="宋体" w:hAnsi="Times New Roman" w:hint="eastAsia"/>
        </w:rPr>
        <w:t>优先股的股东将有能力否决其不赞同的特定重大事项。站在投资人的角度，当然希望自身拥有否决权，而其他同样拥有否决权的其他投资人越少也好，而持股比例较少</w:t>
      </w:r>
      <w:r w:rsidR="00A56EA2">
        <w:rPr>
          <w:rFonts w:ascii="Times New Roman" w:eastAsia="宋体" w:hAnsi="Times New Roman" w:hint="eastAsia"/>
        </w:rPr>
        <w:t>，无法拥有否决权的投资人则会希望成为在投资人意见不一致使的关键少数。</w:t>
      </w:r>
      <w:r w:rsidR="00A56EA2">
        <w:rPr>
          <w:rFonts w:ascii="Times New Roman" w:eastAsia="宋体" w:hAnsi="Times New Roman" w:hint="eastAsia"/>
        </w:rPr>
        <w:t xml:space="preserve"> </w:t>
      </w:r>
      <w:r w:rsidR="00A56EA2">
        <w:rPr>
          <w:rFonts w:ascii="Times New Roman" w:eastAsia="宋体" w:hAnsi="Times New Roman" w:hint="eastAsia"/>
        </w:rPr>
        <w:t>而站在公司的角度，当然不希望一家独大，也不希望有太多的投资人拥有否决权，以免影响决策效率。</w:t>
      </w:r>
    </w:p>
    <w:p w14:paraId="2AB9E87F" w14:textId="1F31A1CC" w:rsidR="0064461D" w:rsidRPr="00BB08CC" w:rsidRDefault="000F60DB"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信息权</w:t>
      </w:r>
    </w:p>
    <w:p w14:paraId="602F916E" w14:textId="167FA75B" w:rsidR="00F25E6B" w:rsidRPr="009D7E56" w:rsidRDefault="00A56EA2" w:rsidP="00BB08CC">
      <w:pPr>
        <w:adjustRightInd w:val="0"/>
        <w:snapToGrid w:val="0"/>
        <w:spacing w:before="120" w:after="240" w:line="264" w:lineRule="auto"/>
        <w:ind w:firstLine="720"/>
        <w:jc w:val="both"/>
        <w:rPr>
          <w:rFonts w:ascii="Times New Roman" w:eastAsia="宋体" w:hAnsi="Times New Roman" w:hint="eastAsia"/>
        </w:rPr>
      </w:pPr>
      <w:r>
        <w:rPr>
          <w:rFonts w:ascii="Times New Roman" w:eastAsia="宋体" w:hAnsi="Times New Roman" w:hint="eastAsia"/>
        </w:rPr>
        <w:lastRenderedPageBreak/>
        <w:t>投资人需要了解公司的基本情况，方能有意义地行使其参与权与决策权。</w:t>
      </w:r>
      <w:r w:rsidR="009D7E56">
        <w:rPr>
          <w:rFonts w:ascii="Times New Roman" w:eastAsia="宋体" w:hAnsi="Times New Roman" w:hint="eastAsia"/>
        </w:rPr>
        <w:t>SHA</w:t>
      </w:r>
      <w:r w:rsidR="009D7E56">
        <w:rPr>
          <w:rFonts w:ascii="Times New Roman" w:eastAsia="宋体" w:hAnsi="Times New Roman" w:hint="eastAsia"/>
        </w:rPr>
        <w:t>一般会规定公司有义务在合理的时限内定期向投资人提供公司的财务报表，以及公司的预算和商业计划。</w:t>
      </w:r>
      <w:r w:rsidR="009D7E56">
        <w:rPr>
          <w:rFonts w:ascii="Times New Roman" w:eastAsia="宋体" w:hAnsi="Times New Roman" w:hint="eastAsia"/>
        </w:rPr>
        <w:t>SHA</w:t>
      </w:r>
      <w:r w:rsidR="009D7E56">
        <w:rPr>
          <w:rFonts w:ascii="Times New Roman" w:eastAsia="宋体" w:hAnsi="Times New Roman" w:hint="eastAsia"/>
        </w:rPr>
        <w:t>也往往会约定投资人有权访问公司的办公场地，并访谈公司管理层与外部顾问。</w:t>
      </w:r>
    </w:p>
    <w:p w14:paraId="3919075C" w14:textId="3B8487B2" w:rsidR="0064461D" w:rsidRPr="007B048B" w:rsidRDefault="00D53990" w:rsidP="00BB08CC">
      <w:pPr>
        <w:pStyle w:val="ListParagraph"/>
        <w:numPr>
          <w:ilvl w:val="0"/>
          <w:numId w:val="9"/>
        </w:numPr>
        <w:adjustRightInd w:val="0"/>
        <w:snapToGrid w:val="0"/>
        <w:spacing w:before="120" w:after="240" w:line="264" w:lineRule="auto"/>
        <w:contextualSpacing w:val="0"/>
        <w:jc w:val="both"/>
        <w:rPr>
          <w:rFonts w:ascii="Times New Roman" w:eastAsia="宋体" w:hAnsi="Times New Roman"/>
        </w:rPr>
      </w:pPr>
      <w:r w:rsidRPr="007B048B">
        <w:rPr>
          <w:rFonts w:ascii="Times New Roman" w:eastAsia="宋体" w:hAnsi="Times New Roman" w:hint="eastAsia"/>
          <w:b/>
        </w:rPr>
        <w:t>股份的发行与转让</w:t>
      </w:r>
      <w:r w:rsidR="0064461D" w:rsidRPr="007B048B">
        <w:rPr>
          <w:rFonts w:ascii="Times New Roman" w:eastAsia="宋体" w:hAnsi="Times New Roman" w:hint="eastAsia"/>
        </w:rPr>
        <w:t>（开源模板</w:t>
      </w:r>
      <w:r w:rsidR="0064461D" w:rsidRPr="007B048B">
        <w:rPr>
          <w:rFonts w:ascii="Times New Roman" w:eastAsia="宋体" w:hAnsi="Times New Roman" w:hint="eastAsia"/>
        </w:rPr>
        <w:t>S</w:t>
      </w:r>
      <w:r w:rsidRPr="007B048B">
        <w:rPr>
          <w:rFonts w:ascii="Times New Roman" w:eastAsia="宋体" w:hAnsi="Times New Roman" w:hint="eastAsia"/>
        </w:rPr>
        <w:t>H</w:t>
      </w:r>
      <w:r w:rsidR="0064461D" w:rsidRPr="007B048B">
        <w:rPr>
          <w:rFonts w:ascii="Times New Roman" w:eastAsia="宋体" w:hAnsi="Times New Roman" w:hint="eastAsia"/>
        </w:rPr>
        <w:t>A</w:t>
      </w:r>
      <w:r w:rsidR="0064461D" w:rsidRPr="007B048B">
        <w:rPr>
          <w:rFonts w:ascii="Times New Roman" w:eastAsia="宋体" w:hAnsi="Times New Roman" w:hint="eastAsia"/>
        </w:rPr>
        <w:t>第</w:t>
      </w:r>
      <w:r w:rsidR="0064461D" w:rsidRPr="007B048B">
        <w:rPr>
          <w:rFonts w:ascii="Times New Roman" w:eastAsia="宋体" w:hAnsi="Times New Roman" w:hint="eastAsia"/>
        </w:rPr>
        <w:t>3</w:t>
      </w:r>
      <w:r w:rsidR="0064461D" w:rsidRPr="007B048B">
        <w:rPr>
          <w:rFonts w:ascii="Times New Roman" w:eastAsia="宋体" w:hAnsi="Times New Roman" w:hint="eastAsia"/>
        </w:rPr>
        <w:t>条</w:t>
      </w:r>
      <w:r w:rsidR="0064461D" w:rsidRPr="007B048B">
        <w:rPr>
          <w:rFonts w:ascii="Times New Roman" w:eastAsia="宋体" w:hAnsi="Times New Roman" w:hint="eastAsia"/>
        </w:rPr>
        <w:t xml:space="preserve"> </w:t>
      </w:r>
      <w:r w:rsidRPr="007B048B">
        <w:rPr>
          <w:rFonts w:ascii="Times New Roman" w:eastAsia="宋体" w:hAnsi="Times New Roman" w:hint="eastAsia"/>
        </w:rPr>
        <w:t>Share</w:t>
      </w:r>
      <w:r w:rsidRPr="007B048B">
        <w:rPr>
          <w:rFonts w:ascii="Times New Roman" w:eastAsia="宋体" w:hAnsi="Times New Roman"/>
        </w:rPr>
        <w:t xml:space="preserve"> </w:t>
      </w:r>
      <w:r w:rsidRPr="007B048B">
        <w:rPr>
          <w:rFonts w:ascii="Times New Roman" w:eastAsia="宋体" w:hAnsi="Times New Roman" w:hint="eastAsia"/>
        </w:rPr>
        <w:t>Issuance</w:t>
      </w:r>
      <w:r w:rsidRPr="007B048B">
        <w:rPr>
          <w:rFonts w:ascii="Times New Roman" w:eastAsia="宋体" w:hAnsi="Times New Roman"/>
        </w:rPr>
        <w:t xml:space="preserve"> </w:t>
      </w:r>
      <w:r w:rsidRPr="007B048B">
        <w:rPr>
          <w:rFonts w:ascii="Times New Roman" w:eastAsia="宋体" w:hAnsi="Times New Roman" w:hint="eastAsia"/>
        </w:rPr>
        <w:t>a</w:t>
      </w:r>
      <w:r w:rsidRPr="007B048B">
        <w:rPr>
          <w:rFonts w:ascii="Times New Roman" w:eastAsia="宋体" w:hAnsi="Times New Roman"/>
        </w:rPr>
        <w:t>nd Transfer</w:t>
      </w:r>
      <w:r w:rsidR="0064461D" w:rsidRPr="007B048B">
        <w:rPr>
          <w:rFonts w:ascii="Times New Roman" w:eastAsia="宋体" w:hAnsi="Times New Roman" w:hint="eastAsia"/>
        </w:rPr>
        <w:t>）</w:t>
      </w:r>
    </w:p>
    <w:p w14:paraId="64C0F4B6" w14:textId="6E361FFB" w:rsidR="00D53990" w:rsidRPr="007B048B" w:rsidRDefault="00D5399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股份的发行与转让部分约定了投资人对公司的股东结构的控制，主要包括：</w:t>
      </w:r>
    </w:p>
    <w:p w14:paraId="2D75D273" w14:textId="65F5B201" w:rsidR="00D53990" w:rsidRPr="007B048B" w:rsidRDefault="00D53990"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BB08CC">
        <w:rPr>
          <w:rFonts w:ascii="Times New Roman" w:eastAsia="宋体" w:hAnsi="Times New Roman" w:hint="eastAsia"/>
          <w:u w:val="single"/>
        </w:rPr>
        <w:t>对新股的优先认购权</w:t>
      </w:r>
      <w:r w:rsidR="00317F94" w:rsidRPr="007B048B">
        <w:rPr>
          <w:rFonts w:ascii="Times New Roman" w:eastAsia="宋体" w:hAnsi="Times New Roman" w:hint="eastAsia"/>
        </w:rPr>
        <w:t>（</w:t>
      </w:r>
      <w:r w:rsidR="00317F94" w:rsidRPr="007B048B">
        <w:rPr>
          <w:rFonts w:ascii="Times New Roman" w:eastAsia="宋体" w:hAnsi="Times New Roman" w:hint="eastAsia"/>
        </w:rPr>
        <w:t>Preemptive</w:t>
      </w:r>
      <w:r w:rsidR="00317F94" w:rsidRPr="007B048B">
        <w:rPr>
          <w:rFonts w:ascii="Times New Roman" w:eastAsia="宋体" w:hAnsi="Times New Roman"/>
        </w:rPr>
        <w:t xml:space="preserve"> Right</w:t>
      </w:r>
      <w:r w:rsidR="00317F94" w:rsidRPr="007B048B">
        <w:rPr>
          <w:rFonts w:ascii="Times New Roman" w:eastAsia="宋体" w:hAnsi="Times New Roman"/>
        </w:rPr>
        <w:t>）</w:t>
      </w:r>
    </w:p>
    <w:p w14:paraId="5E381D21" w14:textId="2A8ABEA2" w:rsidR="00D53990" w:rsidRPr="007B048B" w:rsidRDefault="00D5399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在公司拟发行新股时，投资人有权按</w:t>
      </w:r>
      <w:r w:rsidR="00E073D0" w:rsidRPr="007B048B">
        <w:rPr>
          <w:rFonts w:ascii="Times New Roman" w:eastAsia="宋体" w:hAnsi="Times New Roman" w:hint="eastAsia"/>
        </w:rPr>
        <w:t>持股比例</w:t>
      </w:r>
      <w:bookmarkStart w:id="0" w:name="_Hlk26391040"/>
      <w:r w:rsidR="008D5B76">
        <w:rPr>
          <w:rFonts w:ascii="Times New Roman" w:eastAsia="宋体" w:hAnsi="Times New Roman" w:hint="eastAsia"/>
        </w:rPr>
        <w:t>以同等价格</w:t>
      </w:r>
      <w:bookmarkEnd w:id="0"/>
      <w:r w:rsidR="00E073D0" w:rsidRPr="007B048B">
        <w:rPr>
          <w:rFonts w:ascii="Times New Roman" w:eastAsia="宋体" w:hAnsi="Times New Roman" w:hint="eastAsia"/>
        </w:rPr>
        <w:t>优先认购拟新发行的股份</w:t>
      </w:r>
    </w:p>
    <w:p w14:paraId="4277E849" w14:textId="48B71744" w:rsidR="00E073D0" w:rsidRPr="007B048B" w:rsidRDefault="007B048B"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BB08CC">
        <w:rPr>
          <w:rFonts w:ascii="Times New Roman" w:eastAsia="宋体" w:hAnsi="Times New Roman" w:hint="eastAsia"/>
          <w:u w:val="single"/>
        </w:rPr>
        <w:t>对</w:t>
      </w:r>
      <w:r w:rsidR="00E073D0" w:rsidRPr="00BB08CC">
        <w:rPr>
          <w:rFonts w:ascii="Times New Roman" w:eastAsia="宋体" w:hAnsi="Times New Roman" w:hint="eastAsia"/>
          <w:u w:val="single"/>
        </w:rPr>
        <w:t>老股的</w:t>
      </w:r>
      <w:r w:rsidR="00317F94" w:rsidRPr="00BB08CC">
        <w:rPr>
          <w:rFonts w:ascii="Times New Roman" w:eastAsia="宋体" w:hAnsi="Times New Roman" w:hint="eastAsia"/>
          <w:u w:val="single"/>
        </w:rPr>
        <w:t>转让限制</w:t>
      </w:r>
      <w:r w:rsidR="00317F94" w:rsidRPr="007B048B">
        <w:rPr>
          <w:rFonts w:ascii="Times New Roman" w:eastAsia="宋体" w:hAnsi="Times New Roman" w:hint="eastAsia"/>
        </w:rPr>
        <w:t xml:space="preserve"> </w:t>
      </w:r>
      <w:r w:rsidR="00317F94" w:rsidRPr="007B048B">
        <w:rPr>
          <w:rFonts w:ascii="Times New Roman" w:eastAsia="宋体" w:hAnsi="Times New Roman"/>
        </w:rPr>
        <w:t>(Lock-up)</w:t>
      </w:r>
    </w:p>
    <w:p w14:paraId="4296B792" w14:textId="272053EA" w:rsidR="00E073D0" w:rsidRPr="007B048B" w:rsidRDefault="00E073D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为保持创始人在公司的持股，往往会约定创始人在上市前未经投资人的同意不得转让股份</w:t>
      </w:r>
    </w:p>
    <w:p w14:paraId="1E3FF7B3" w14:textId="6EE666AD" w:rsidR="00E073D0" w:rsidRPr="007B048B" w:rsidRDefault="00E073D0"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BB08CC">
        <w:rPr>
          <w:rFonts w:ascii="Times New Roman" w:eastAsia="宋体" w:hAnsi="Times New Roman" w:hint="eastAsia"/>
          <w:u w:val="single"/>
        </w:rPr>
        <w:t>对老股的优先受让权</w:t>
      </w:r>
      <w:r w:rsidR="00317F94" w:rsidRPr="007B048B">
        <w:rPr>
          <w:rFonts w:ascii="Times New Roman" w:eastAsia="宋体" w:hAnsi="Times New Roman" w:hint="eastAsia"/>
        </w:rPr>
        <w:t>(</w:t>
      </w:r>
      <w:r w:rsidR="00317F94" w:rsidRPr="007B048B">
        <w:rPr>
          <w:rFonts w:ascii="Times New Roman" w:eastAsia="宋体" w:hAnsi="Times New Roman"/>
        </w:rPr>
        <w:t>Right of First Refusal)</w:t>
      </w:r>
    </w:p>
    <w:p w14:paraId="6E49355D" w14:textId="10D2CEE6" w:rsidR="00E073D0" w:rsidRPr="007B048B" w:rsidRDefault="00E073D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在创始人拟转让股份时，投资人有权按持股比例</w:t>
      </w:r>
      <w:r w:rsidR="008D5B76">
        <w:rPr>
          <w:rFonts w:ascii="Times New Roman" w:eastAsia="宋体" w:hAnsi="Times New Roman" w:hint="eastAsia"/>
        </w:rPr>
        <w:t>以同等价格</w:t>
      </w:r>
      <w:r w:rsidRPr="007B048B">
        <w:rPr>
          <w:rFonts w:ascii="Times New Roman" w:eastAsia="宋体" w:hAnsi="Times New Roman" w:hint="eastAsia"/>
        </w:rPr>
        <w:t>优先受让拟转让的股份。</w:t>
      </w:r>
    </w:p>
    <w:p w14:paraId="44FE9DBC" w14:textId="30E4FE44" w:rsidR="00E073D0" w:rsidRPr="007B048B" w:rsidRDefault="00E073D0"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BB08CC">
        <w:rPr>
          <w:rFonts w:ascii="Times New Roman" w:eastAsia="宋体" w:hAnsi="Times New Roman" w:hint="eastAsia"/>
          <w:u w:val="single"/>
        </w:rPr>
        <w:t>对老股的</w:t>
      </w:r>
      <w:r w:rsidR="00713DF1" w:rsidRPr="00BB08CC">
        <w:rPr>
          <w:rFonts w:ascii="Times New Roman" w:eastAsia="宋体" w:hAnsi="Times New Roman" w:hint="eastAsia"/>
          <w:u w:val="single"/>
        </w:rPr>
        <w:t>共同出售权</w:t>
      </w:r>
      <w:r w:rsidR="00317F94" w:rsidRPr="007B048B">
        <w:rPr>
          <w:rFonts w:ascii="Times New Roman" w:eastAsia="宋体" w:hAnsi="Times New Roman" w:hint="eastAsia"/>
        </w:rPr>
        <w:t xml:space="preserve"> </w:t>
      </w:r>
      <w:r w:rsidR="00317F94" w:rsidRPr="007B048B">
        <w:rPr>
          <w:rFonts w:ascii="Times New Roman" w:eastAsia="宋体" w:hAnsi="Times New Roman"/>
        </w:rPr>
        <w:t>(Co-Sale Right)</w:t>
      </w:r>
    </w:p>
    <w:p w14:paraId="25DA71FE" w14:textId="4CEBCF63" w:rsidR="00713DF1" w:rsidRPr="007B048B" w:rsidRDefault="00713DF1"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如果投资人不行使上述有限受让</w:t>
      </w:r>
      <w:r w:rsidR="00B830DE" w:rsidRPr="007B048B">
        <w:rPr>
          <w:rFonts w:ascii="Times New Roman" w:eastAsia="宋体" w:hAnsi="Times New Roman" w:hint="eastAsia"/>
        </w:rPr>
        <w:t>权，则可以选择按与创始人的相对持股比例</w:t>
      </w:r>
      <w:r w:rsidR="008D5B76">
        <w:rPr>
          <w:rFonts w:ascii="Times New Roman" w:eastAsia="宋体" w:hAnsi="Times New Roman" w:hint="eastAsia"/>
        </w:rPr>
        <w:t>以同等价格</w:t>
      </w:r>
      <w:r w:rsidR="00B830DE" w:rsidRPr="007B048B">
        <w:rPr>
          <w:rFonts w:ascii="Times New Roman" w:eastAsia="宋体" w:hAnsi="Times New Roman" w:hint="eastAsia"/>
        </w:rPr>
        <w:t>共同出售股份</w:t>
      </w:r>
    </w:p>
    <w:p w14:paraId="664B51F7" w14:textId="501C109E" w:rsidR="00B830DE" w:rsidRPr="007B048B" w:rsidRDefault="007B048B"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rPr>
      </w:pPr>
      <w:r w:rsidRPr="00BB08CC">
        <w:rPr>
          <w:rFonts w:ascii="Times New Roman" w:eastAsia="宋体" w:hAnsi="Times New Roman" w:hint="eastAsia"/>
          <w:u w:val="single"/>
        </w:rPr>
        <w:t>对所有股东的</w:t>
      </w:r>
      <w:r w:rsidR="00317F94" w:rsidRPr="00BB08CC">
        <w:rPr>
          <w:rFonts w:ascii="Times New Roman" w:eastAsia="宋体" w:hAnsi="Times New Roman" w:hint="eastAsia"/>
          <w:u w:val="single"/>
        </w:rPr>
        <w:t>强制出售</w:t>
      </w:r>
      <w:r w:rsidR="00B830DE" w:rsidRPr="00BB08CC">
        <w:rPr>
          <w:rFonts w:ascii="Times New Roman" w:eastAsia="宋体" w:hAnsi="Times New Roman" w:hint="eastAsia"/>
          <w:u w:val="single"/>
        </w:rPr>
        <w:t>权</w:t>
      </w:r>
      <w:r w:rsidR="00317F94" w:rsidRPr="007B048B">
        <w:rPr>
          <w:rFonts w:ascii="Times New Roman" w:eastAsia="宋体" w:hAnsi="Times New Roman" w:hint="eastAsia"/>
        </w:rPr>
        <w:t xml:space="preserve"> </w:t>
      </w:r>
      <w:r w:rsidR="00317F94" w:rsidRPr="007B048B">
        <w:rPr>
          <w:rFonts w:ascii="Times New Roman" w:eastAsia="宋体" w:hAnsi="Times New Roman"/>
        </w:rPr>
        <w:t>(Drag-Along)</w:t>
      </w:r>
    </w:p>
    <w:p w14:paraId="5378C7BB" w14:textId="24F02D47" w:rsidR="00B830DE" w:rsidRPr="007B048B" w:rsidRDefault="00B830DE"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sidRPr="007B048B">
        <w:rPr>
          <w:rFonts w:ascii="Times New Roman" w:eastAsia="宋体" w:hAnsi="Times New Roman" w:hint="eastAsia"/>
        </w:rPr>
        <w:t>有些项目会约定对符合要求的公司整体出售，所有股东有义务批准这样的交易，</w:t>
      </w:r>
      <w:r w:rsidR="008D5B76">
        <w:rPr>
          <w:rFonts w:ascii="Times New Roman" w:eastAsia="宋体" w:hAnsi="Times New Roman" w:hint="eastAsia"/>
        </w:rPr>
        <w:t>以同等价格</w:t>
      </w:r>
      <w:r w:rsidRPr="007B048B">
        <w:rPr>
          <w:rFonts w:ascii="Times New Roman" w:eastAsia="宋体" w:hAnsi="Times New Roman" w:hint="eastAsia"/>
        </w:rPr>
        <w:t>共同向收购方出售股份。相关的要求可以是股东批准的要求和</w:t>
      </w:r>
      <w:r w:rsidRPr="007B048B">
        <w:rPr>
          <w:rFonts w:ascii="Times New Roman" w:eastAsia="宋体" w:hAnsi="Times New Roman" w:hint="eastAsia"/>
        </w:rPr>
        <w:t>/</w:t>
      </w:r>
      <w:r w:rsidRPr="007B048B">
        <w:rPr>
          <w:rFonts w:ascii="Times New Roman" w:eastAsia="宋体" w:hAnsi="Times New Roman" w:hint="eastAsia"/>
        </w:rPr>
        <w:t>或对出售价格的要求。</w:t>
      </w:r>
    </w:p>
    <w:p w14:paraId="2572962C" w14:textId="29124837" w:rsidR="00D53990" w:rsidRPr="007B048B" w:rsidRDefault="006878DF" w:rsidP="00BB08CC">
      <w:pPr>
        <w:pStyle w:val="ListParagraph"/>
        <w:numPr>
          <w:ilvl w:val="0"/>
          <w:numId w:val="9"/>
        </w:numPr>
        <w:adjustRightInd w:val="0"/>
        <w:snapToGrid w:val="0"/>
        <w:spacing w:before="120" w:after="240" w:line="264" w:lineRule="auto"/>
        <w:contextualSpacing w:val="0"/>
        <w:jc w:val="both"/>
        <w:rPr>
          <w:rFonts w:ascii="Times New Roman" w:eastAsia="宋体" w:hAnsi="Times New Roman"/>
        </w:rPr>
      </w:pPr>
      <w:r w:rsidRPr="005F427E">
        <w:rPr>
          <w:rFonts w:ascii="Times New Roman" w:eastAsia="宋体" w:hAnsi="Times New Roman" w:hint="eastAsia"/>
          <w:b/>
        </w:rPr>
        <w:t>创始人承诺</w:t>
      </w:r>
      <w:r w:rsidRPr="007B048B">
        <w:rPr>
          <w:rFonts w:ascii="Times New Roman" w:eastAsia="宋体" w:hAnsi="Times New Roman" w:hint="eastAsia"/>
        </w:rPr>
        <w:t>（开源模板</w:t>
      </w:r>
      <w:r w:rsidRPr="007B048B">
        <w:rPr>
          <w:rFonts w:ascii="Times New Roman" w:eastAsia="宋体" w:hAnsi="Times New Roman" w:hint="eastAsia"/>
        </w:rPr>
        <w:t>SHA</w:t>
      </w:r>
      <w:r w:rsidRPr="007B048B">
        <w:rPr>
          <w:rFonts w:ascii="Times New Roman" w:eastAsia="宋体" w:hAnsi="Times New Roman" w:hint="eastAsia"/>
        </w:rPr>
        <w:t>第</w:t>
      </w:r>
      <w:r w:rsidR="00F25E6B" w:rsidRPr="007B048B">
        <w:rPr>
          <w:rFonts w:ascii="Times New Roman" w:eastAsia="宋体" w:hAnsi="Times New Roman" w:hint="eastAsia"/>
        </w:rPr>
        <w:t>4</w:t>
      </w:r>
      <w:r w:rsidRPr="007B048B">
        <w:rPr>
          <w:rFonts w:ascii="Times New Roman" w:eastAsia="宋体" w:hAnsi="Times New Roman" w:hint="eastAsia"/>
        </w:rPr>
        <w:t>条</w:t>
      </w:r>
      <w:r w:rsidRPr="007B048B">
        <w:rPr>
          <w:rFonts w:ascii="Times New Roman" w:eastAsia="宋体" w:hAnsi="Times New Roman" w:hint="eastAsia"/>
        </w:rPr>
        <w:t xml:space="preserve"> Founder</w:t>
      </w:r>
      <w:r w:rsidRPr="007B048B">
        <w:rPr>
          <w:rFonts w:ascii="Times New Roman" w:eastAsia="宋体" w:hAnsi="Times New Roman"/>
        </w:rPr>
        <w:t xml:space="preserve"> Undertakings</w:t>
      </w:r>
      <w:r w:rsidRPr="007B048B">
        <w:rPr>
          <w:rFonts w:ascii="Times New Roman" w:eastAsia="宋体" w:hAnsi="Times New Roman" w:hint="eastAsia"/>
        </w:rPr>
        <w:t>）</w:t>
      </w:r>
    </w:p>
    <w:p w14:paraId="473556E5" w14:textId="23FE1A0C" w:rsidR="006878DF" w:rsidRPr="007B048B" w:rsidRDefault="006878DF"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创始人的服务是被投公司价值的重要组成部分，</w:t>
      </w:r>
      <w:r w:rsidR="00D14A39" w:rsidRPr="007B048B">
        <w:rPr>
          <w:rFonts w:ascii="Times New Roman" w:eastAsia="宋体" w:hAnsi="Times New Roman" w:hint="eastAsia"/>
        </w:rPr>
        <w:t>创始人承诺部分约定了创始人的一系列承诺，往往包括：</w:t>
      </w:r>
    </w:p>
    <w:p w14:paraId="6639F4AE" w14:textId="38461598" w:rsidR="00D14A39" w:rsidRPr="00BB08CC" w:rsidRDefault="00D14A39"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限制性股份</w:t>
      </w:r>
    </w:p>
    <w:p w14:paraId="73B73EC2" w14:textId="736A5B99" w:rsidR="00D14A39" w:rsidRPr="007B048B" w:rsidRDefault="00BB08CC"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为激励公司，</w:t>
      </w:r>
      <w:r w:rsidR="00D14A39" w:rsidRPr="007B048B">
        <w:rPr>
          <w:rFonts w:ascii="Times New Roman" w:eastAsia="宋体" w:hAnsi="Times New Roman" w:hint="eastAsia"/>
        </w:rPr>
        <w:t>特别是在早期公司</w:t>
      </w:r>
      <w:r>
        <w:rPr>
          <w:rFonts w:ascii="Times New Roman" w:eastAsia="宋体" w:hAnsi="Times New Roman" w:hint="eastAsia"/>
        </w:rPr>
        <w:t>，的创始人持续为公司服务</w:t>
      </w:r>
      <w:r w:rsidR="00D14A39" w:rsidRPr="007B048B">
        <w:rPr>
          <w:rFonts w:ascii="Times New Roman" w:eastAsia="宋体" w:hAnsi="Times New Roman" w:hint="eastAsia"/>
        </w:rPr>
        <w:t>，可</w:t>
      </w:r>
      <w:r>
        <w:rPr>
          <w:rFonts w:ascii="Times New Roman" w:eastAsia="宋体" w:hAnsi="Times New Roman" w:hint="eastAsia"/>
        </w:rPr>
        <w:t>规</w:t>
      </w:r>
      <w:r w:rsidR="00D14A39" w:rsidRPr="007B048B">
        <w:rPr>
          <w:rFonts w:ascii="Times New Roman" w:eastAsia="宋体" w:hAnsi="Times New Roman" w:hint="eastAsia"/>
        </w:rPr>
        <w:t>定创始人持有的股份为限制性股份，按一定的固化时间表（</w:t>
      </w:r>
      <w:r w:rsidR="00D14A39" w:rsidRPr="007B048B">
        <w:rPr>
          <w:rFonts w:ascii="Times New Roman" w:eastAsia="宋体" w:hAnsi="Times New Roman" w:hint="eastAsia"/>
        </w:rPr>
        <w:t>vesting</w:t>
      </w:r>
      <w:r w:rsidR="00D14A39" w:rsidRPr="007B048B">
        <w:rPr>
          <w:rFonts w:ascii="Times New Roman" w:eastAsia="宋体" w:hAnsi="Times New Roman"/>
        </w:rPr>
        <w:t xml:space="preserve"> </w:t>
      </w:r>
      <w:r w:rsidR="00D14A39" w:rsidRPr="007B048B">
        <w:rPr>
          <w:rFonts w:ascii="Times New Roman" w:eastAsia="宋体" w:hAnsi="Times New Roman" w:hint="eastAsia"/>
        </w:rPr>
        <w:t>schedule</w:t>
      </w:r>
      <w:r w:rsidR="00D14A39" w:rsidRPr="007B048B">
        <w:rPr>
          <w:rFonts w:ascii="Times New Roman" w:eastAsia="宋体" w:hAnsi="Times New Roman" w:hint="eastAsia"/>
        </w:rPr>
        <w:t>）分批固化。如果创始人在固化期满之前离开公司，则将失去尚未固化部分的股份。</w:t>
      </w:r>
    </w:p>
    <w:p w14:paraId="7B5A0AC4" w14:textId="513F800F" w:rsidR="00BE093E" w:rsidRPr="00BB08CC" w:rsidRDefault="00BE093E"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时间</w:t>
      </w:r>
      <w:r w:rsidR="00F25E6B" w:rsidRPr="00BB08CC">
        <w:rPr>
          <w:rFonts w:ascii="Times New Roman" w:eastAsia="宋体" w:hAnsi="Times New Roman" w:hint="eastAsia"/>
          <w:u w:val="single"/>
        </w:rPr>
        <w:t>投入</w:t>
      </w:r>
    </w:p>
    <w:p w14:paraId="1A97BA5B" w14:textId="7DDB7F09" w:rsidR="00BE093E" w:rsidRPr="007B048B" w:rsidRDefault="00BE093E"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lastRenderedPageBreak/>
        <w:t>创始人承诺将主要时间与精力用于公司。</w:t>
      </w:r>
    </w:p>
    <w:p w14:paraId="555B3E74" w14:textId="7E27A35C" w:rsidR="00D14A39" w:rsidRPr="00BB08CC" w:rsidRDefault="00BE093E"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不竞争</w:t>
      </w:r>
    </w:p>
    <w:p w14:paraId="02EC0286" w14:textId="5D09572E" w:rsidR="00191932" w:rsidRPr="00191932" w:rsidRDefault="00BE093E"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sidRPr="007B048B">
        <w:rPr>
          <w:rFonts w:ascii="Times New Roman" w:eastAsia="宋体" w:hAnsi="Times New Roman" w:hint="eastAsia"/>
        </w:rPr>
        <w:t>创始人承诺不参与任何与公司有竞争关系的业务。</w:t>
      </w:r>
    </w:p>
    <w:p w14:paraId="1893553E" w14:textId="0972D010" w:rsidR="00835EC5" w:rsidRPr="007B048B" w:rsidRDefault="00835EC5"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（对</w:t>
      </w:r>
      <w:r w:rsidRPr="007B048B">
        <w:rPr>
          <w:rFonts w:ascii="Times New Roman" w:eastAsia="宋体" w:hAnsi="Times New Roman"/>
        </w:rPr>
        <w:t>S</w:t>
      </w:r>
      <w:r w:rsidR="006245C5" w:rsidRPr="007B048B">
        <w:rPr>
          <w:rFonts w:ascii="Times New Roman" w:eastAsia="宋体" w:hAnsi="Times New Roman" w:hint="eastAsia"/>
        </w:rPr>
        <w:t>H</w:t>
      </w:r>
      <w:r w:rsidRPr="007B048B">
        <w:rPr>
          <w:rFonts w:ascii="Times New Roman" w:eastAsia="宋体" w:hAnsi="Times New Roman"/>
        </w:rPr>
        <w:t>A</w:t>
      </w:r>
      <w:r w:rsidRPr="007B048B">
        <w:rPr>
          <w:rFonts w:ascii="Times New Roman" w:eastAsia="宋体" w:hAnsi="Times New Roman" w:hint="eastAsia"/>
        </w:rPr>
        <w:t>具体内容的注释请见内文脚注）</w:t>
      </w:r>
    </w:p>
    <w:p w14:paraId="2243BA09" w14:textId="363A1781" w:rsidR="00081CCB" w:rsidRPr="007B048B" w:rsidRDefault="00081CCB" w:rsidP="007B048B">
      <w:pPr>
        <w:adjustRightInd w:val="0"/>
        <w:snapToGrid w:val="0"/>
        <w:spacing w:before="120" w:after="240" w:line="264" w:lineRule="auto"/>
        <w:rPr>
          <w:rFonts w:ascii="Times New Roman" w:eastAsia="宋体" w:hAnsi="Times New Roman"/>
          <w:bCs/>
        </w:rPr>
      </w:pPr>
    </w:p>
    <w:p w14:paraId="4FC1F593" w14:textId="77777777" w:rsidR="0023394C" w:rsidRPr="007B048B" w:rsidRDefault="0023394C" w:rsidP="007B048B">
      <w:pPr>
        <w:adjustRightInd w:val="0"/>
        <w:snapToGrid w:val="0"/>
        <w:spacing w:before="120" w:after="240" w:line="264" w:lineRule="auto"/>
        <w:rPr>
          <w:rFonts w:ascii="Times New Roman" w:eastAsia="宋体" w:hAnsi="Times New Roman"/>
          <w:bCs/>
        </w:rPr>
      </w:pPr>
      <w:r w:rsidRPr="007B048B">
        <w:rPr>
          <w:rFonts w:ascii="Times New Roman" w:eastAsia="宋体" w:hAnsi="Times New Roman"/>
          <w:bCs/>
        </w:rPr>
        <w:br w:type="page"/>
      </w:r>
    </w:p>
    <w:p w14:paraId="5B635A26" w14:textId="53ED4020" w:rsidR="00081CCB" w:rsidRPr="005F427E" w:rsidRDefault="006245C5" w:rsidP="007B048B">
      <w:pPr>
        <w:adjustRightInd w:val="0"/>
        <w:snapToGrid w:val="0"/>
        <w:spacing w:before="120" w:after="240" w:line="264" w:lineRule="auto"/>
        <w:jc w:val="center"/>
        <w:rPr>
          <w:rFonts w:ascii="Times New Roman" w:eastAsia="宋体" w:hAnsi="Times New Roman"/>
          <w:b/>
        </w:rPr>
      </w:pPr>
      <w:r w:rsidRPr="005F427E">
        <w:rPr>
          <w:rFonts w:ascii="Times New Roman" w:eastAsia="宋体" w:hAnsi="Times New Roman" w:hint="eastAsia"/>
          <w:b/>
        </w:rPr>
        <w:lastRenderedPageBreak/>
        <w:t>公司章程（优先股权利）（</w:t>
      </w:r>
      <w:r w:rsidRPr="005F427E">
        <w:rPr>
          <w:rFonts w:ascii="Times New Roman" w:eastAsia="宋体" w:hAnsi="Times New Roman" w:hint="eastAsia"/>
          <w:b/>
        </w:rPr>
        <w:t>MAA</w:t>
      </w:r>
      <w:r w:rsidRPr="005F427E">
        <w:rPr>
          <w:rFonts w:ascii="Times New Roman" w:eastAsia="宋体" w:hAnsi="Times New Roman"/>
          <w:b/>
        </w:rPr>
        <w:t>）</w:t>
      </w:r>
      <w:r w:rsidRPr="005F427E">
        <w:rPr>
          <w:rFonts w:ascii="Times New Roman" w:eastAsia="宋体" w:hAnsi="Times New Roman" w:hint="eastAsia"/>
          <w:b/>
        </w:rPr>
        <w:t>简介</w:t>
      </w:r>
    </w:p>
    <w:p w14:paraId="0AE0E739" w14:textId="1CA9A405" w:rsidR="006245C5" w:rsidRPr="005F427E" w:rsidRDefault="006245C5" w:rsidP="00BB08CC">
      <w:pPr>
        <w:adjustRightInd w:val="0"/>
        <w:snapToGrid w:val="0"/>
        <w:spacing w:before="120" w:after="240" w:line="264" w:lineRule="auto"/>
        <w:jc w:val="both"/>
        <w:rPr>
          <w:rFonts w:ascii="Times New Roman" w:eastAsia="宋体" w:hAnsi="Times New Roman"/>
          <w:b/>
        </w:rPr>
      </w:pPr>
      <w:r w:rsidRPr="005F427E">
        <w:rPr>
          <w:rFonts w:ascii="Times New Roman" w:eastAsia="宋体" w:hAnsi="Times New Roman" w:hint="eastAsia"/>
          <w:b/>
        </w:rPr>
        <w:t>MAA</w:t>
      </w:r>
      <w:r w:rsidRPr="005F427E">
        <w:rPr>
          <w:rFonts w:ascii="Times New Roman" w:eastAsia="宋体" w:hAnsi="Times New Roman" w:hint="eastAsia"/>
          <w:b/>
        </w:rPr>
        <w:t>的功能</w:t>
      </w:r>
    </w:p>
    <w:p w14:paraId="71131D57" w14:textId="7DDB7E25" w:rsidR="006245C5" w:rsidRPr="007B048B" w:rsidRDefault="006245C5"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MAA</w:t>
      </w:r>
      <w:r w:rsidRPr="007B048B">
        <w:rPr>
          <w:rFonts w:ascii="Times New Roman" w:eastAsia="宋体" w:hAnsi="Times New Roman" w:hint="eastAsia"/>
        </w:rPr>
        <w:t>的关键字是“优先”。</w:t>
      </w:r>
      <w:r w:rsidRPr="007B048B">
        <w:rPr>
          <w:rFonts w:ascii="Times New Roman" w:eastAsia="宋体" w:hAnsi="Times New Roman" w:hint="eastAsia"/>
        </w:rPr>
        <w:t xml:space="preserve"> VC/PE</w:t>
      </w:r>
      <w:r w:rsidRPr="007B048B">
        <w:rPr>
          <w:rFonts w:ascii="Times New Roman" w:eastAsia="宋体" w:hAnsi="Times New Roman" w:hint="eastAsia"/>
        </w:rPr>
        <w:t>投资中，投资人一般</w:t>
      </w:r>
      <w:r w:rsidR="00814BC0" w:rsidRPr="007B048B">
        <w:rPr>
          <w:rFonts w:ascii="Times New Roman" w:eastAsia="宋体" w:hAnsi="Times New Roman" w:hint="eastAsia"/>
        </w:rPr>
        <w:t>在支付投资金额后</w:t>
      </w:r>
      <w:r w:rsidRPr="007B048B">
        <w:rPr>
          <w:rFonts w:ascii="Times New Roman" w:eastAsia="宋体" w:hAnsi="Times New Roman" w:hint="eastAsia"/>
        </w:rPr>
        <w:t>获得公司发行的某一系列的</w:t>
      </w:r>
      <w:r w:rsidR="00D73B57" w:rsidRPr="007B048B">
        <w:rPr>
          <w:rFonts w:ascii="Times New Roman" w:eastAsia="宋体" w:hAnsi="Times New Roman" w:hint="eastAsia"/>
        </w:rPr>
        <w:t>优先股。</w:t>
      </w:r>
      <w:r w:rsidR="00D73B57" w:rsidRPr="007B048B">
        <w:rPr>
          <w:rFonts w:ascii="Times New Roman" w:eastAsia="宋体" w:hAnsi="Times New Roman" w:hint="eastAsia"/>
        </w:rPr>
        <w:t xml:space="preserve"> </w:t>
      </w:r>
      <w:r w:rsidR="00D73B57" w:rsidRPr="007B048B">
        <w:rPr>
          <w:rFonts w:ascii="Times New Roman" w:eastAsia="宋体" w:hAnsi="Times New Roman" w:hint="eastAsia"/>
        </w:rPr>
        <w:t>优先股，顾名思义，具有比普通股优先的权利，在公司的资本结构中介于普通股与债券之间。</w:t>
      </w:r>
      <w:r w:rsidR="005357B4" w:rsidRPr="007B048B">
        <w:rPr>
          <w:rFonts w:ascii="Times New Roman" w:eastAsia="宋体" w:hAnsi="Times New Roman" w:hint="eastAsia"/>
        </w:rPr>
        <w:t>M</w:t>
      </w:r>
      <w:r w:rsidR="00A86C37">
        <w:rPr>
          <w:rFonts w:ascii="Times New Roman" w:eastAsia="宋体" w:hAnsi="Times New Roman"/>
        </w:rPr>
        <w:t>A</w:t>
      </w:r>
      <w:r w:rsidR="005357B4" w:rsidRPr="007B048B">
        <w:rPr>
          <w:rFonts w:ascii="Times New Roman" w:eastAsia="宋体" w:hAnsi="Times New Roman" w:hint="eastAsia"/>
        </w:rPr>
        <w:t>A</w:t>
      </w:r>
      <w:r w:rsidR="005357B4" w:rsidRPr="007B048B">
        <w:rPr>
          <w:rFonts w:ascii="Times New Roman" w:eastAsia="宋体" w:hAnsi="Times New Roman" w:hint="eastAsia"/>
        </w:rPr>
        <w:t>创设了优先股并规定了其在</w:t>
      </w:r>
      <w:r w:rsidR="00A97389" w:rsidRPr="007B048B">
        <w:rPr>
          <w:rFonts w:ascii="Times New Roman" w:eastAsia="宋体" w:hAnsi="Times New Roman" w:hint="eastAsia"/>
        </w:rPr>
        <w:t>股权</w:t>
      </w:r>
      <w:r w:rsidR="005357B4" w:rsidRPr="007B048B">
        <w:rPr>
          <w:rFonts w:ascii="Times New Roman" w:eastAsia="宋体" w:hAnsi="Times New Roman" w:hint="eastAsia"/>
        </w:rPr>
        <w:t>经济</w:t>
      </w:r>
      <w:r w:rsidR="00A97389" w:rsidRPr="007B048B">
        <w:rPr>
          <w:rFonts w:ascii="Times New Roman" w:eastAsia="宋体" w:hAnsi="Times New Roman" w:hint="eastAsia"/>
        </w:rPr>
        <w:t>利益</w:t>
      </w:r>
      <w:r w:rsidR="005357B4" w:rsidRPr="007B048B">
        <w:rPr>
          <w:rFonts w:ascii="Times New Roman" w:eastAsia="宋体" w:hAnsi="Times New Roman" w:hint="eastAsia"/>
        </w:rPr>
        <w:t>（主要包括分红与清算分配）上的优先</w:t>
      </w:r>
      <w:r w:rsidR="00A97389" w:rsidRPr="007B048B">
        <w:rPr>
          <w:rFonts w:ascii="Times New Roman" w:eastAsia="宋体" w:hAnsi="Times New Roman" w:hint="eastAsia"/>
        </w:rPr>
        <w:t>权利。此外，</w:t>
      </w:r>
      <w:r w:rsidR="00A97389" w:rsidRPr="007B048B">
        <w:rPr>
          <w:rFonts w:ascii="Times New Roman" w:eastAsia="宋体" w:hAnsi="Times New Roman" w:hint="eastAsia"/>
        </w:rPr>
        <w:t>MAA</w:t>
      </w:r>
      <w:r w:rsidR="00A97389" w:rsidRPr="007B048B">
        <w:rPr>
          <w:rFonts w:ascii="Times New Roman" w:eastAsia="宋体" w:hAnsi="Times New Roman" w:hint="eastAsia"/>
        </w:rPr>
        <w:t>也规定了优先股的转换普通股的机制，和据此执行的反稀释调整与据此计算的</w:t>
      </w:r>
      <w:r w:rsidR="007D48B1" w:rsidRPr="007B048B">
        <w:rPr>
          <w:rFonts w:ascii="Times New Roman" w:eastAsia="宋体" w:hAnsi="Times New Roman" w:hint="eastAsia"/>
        </w:rPr>
        <w:t>投票权。</w:t>
      </w:r>
      <w:r w:rsidR="007D48B1" w:rsidRPr="007B048B">
        <w:rPr>
          <w:rFonts w:ascii="Times New Roman" w:eastAsia="宋体" w:hAnsi="Times New Roman" w:hint="eastAsia"/>
        </w:rPr>
        <w:t xml:space="preserve"> </w:t>
      </w:r>
      <w:r w:rsidR="007D48B1" w:rsidRPr="007B048B">
        <w:rPr>
          <w:rFonts w:ascii="Times New Roman" w:eastAsia="宋体" w:hAnsi="Times New Roman" w:hint="eastAsia"/>
        </w:rPr>
        <w:t>在很多项目中，优先股还具有债权特征的回购权，在一定年限后，可以要求公司以</w:t>
      </w:r>
      <w:bookmarkStart w:id="1" w:name="_GoBack"/>
      <w:bookmarkEnd w:id="1"/>
      <w:r w:rsidR="007D48B1" w:rsidRPr="007B048B">
        <w:rPr>
          <w:rFonts w:ascii="Times New Roman" w:eastAsia="宋体" w:hAnsi="Times New Roman" w:hint="eastAsia"/>
        </w:rPr>
        <w:t>事先约定的价格回购。</w:t>
      </w:r>
    </w:p>
    <w:p w14:paraId="383A472D" w14:textId="217A0CB4" w:rsidR="00DE1453" w:rsidRPr="007B048B" w:rsidRDefault="005941C1" w:rsidP="00BB08CC">
      <w:pPr>
        <w:adjustRightInd w:val="0"/>
        <w:snapToGrid w:val="0"/>
        <w:spacing w:before="120" w:after="240" w:line="264" w:lineRule="auto"/>
        <w:ind w:firstLine="720"/>
        <w:jc w:val="both"/>
        <w:rPr>
          <w:rFonts w:ascii="Times New Roman" w:eastAsia="宋体" w:hAnsi="Times New Roman"/>
        </w:rPr>
      </w:pPr>
      <w:r w:rsidRPr="007B048B">
        <w:rPr>
          <w:rFonts w:ascii="Times New Roman" w:eastAsia="宋体" w:hAnsi="Times New Roman" w:hint="eastAsia"/>
        </w:rPr>
        <w:t>需要指出的是，优先性是一个相对概念，优先性可改变利益分配的顺序，并不改变可分配的利益总量</w:t>
      </w:r>
      <w:r w:rsidR="00DE1453" w:rsidRPr="007B048B">
        <w:rPr>
          <w:rFonts w:ascii="Times New Roman" w:eastAsia="宋体" w:hAnsi="Times New Roman" w:hint="eastAsia"/>
        </w:rPr>
        <w:t>。</w:t>
      </w:r>
      <w:r w:rsidRPr="007B048B">
        <w:rPr>
          <w:rFonts w:ascii="Times New Roman" w:eastAsia="宋体" w:hAnsi="Times New Roman" w:hint="eastAsia"/>
        </w:rPr>
        <w:t>例如，当公司已经资不抵债，优先股较普通股的清算优先</w:t>
      </w:r>
      <w:r w:rsidR="00DE1453" w:rsidRPr="007B048B">
        <w:rPr>
          <w:rFonts w:ascii="Times New Roman" w:eastAsia="宋体" w:hAnsi="Times New Roman" w:hint="eastAsia"/>
        </w:rPr>
        <w:t>就不再</w:t>
      </w:r>
      <w:r w:rsidRPr="007B048B">
        <w:rPr>
          <w:rFonts w:ascii="Times New Roman" w:eastAsia="宋体" w:hAnsi="Times New Roman" w:hint="eastAsia"/>
        </w:rPr>
        <w:t>有实质的</w:t>
      </w:r>
      <w:r w:rsidR="00DE1453" w:rsidRPr="007B048B">
        <w:rPr>
          <w:rFonts w:ascii="Times New Roman" w:eastAsia="宋体" w:hAnsi="Times New Roman" w:hint="eastAsia"/>
        </w:rPr>
        <w:t>意义</w:t>
      </w:r>
      <w:r w:rsidRPr="007B048B">
        <w:rPr>
          <w:rFonts w:ascii="Times New Roman" w:eastAsia="宋体" w:hAnsi="Times New Roman" w:hint="eastAsia"/>
        </w:rPr>
        <w:t>。</w:t>
      </w:r>
    </w:p>
    <w:p w14:paraId="58E33B0D" w14:textId="5092FC05" w:rsidR="006245C5" w:rsidRPr="005F427E" w:rsidRDefault="00DE1453" w:rsidP="00BB08CC">
      <w:pPr>
        <w:adjustRightInd w:val="0"/>
        <w:snapToGrid w:val="0"/>
        <w:spacing w:before="120" w:after="240" w:line="264" w:lineRule="auto"/>
        <w:jc w:val="both"/>
        <w:rPr>
          <w:rFonts w:ascii="Times New Roman" w:eastAsia="宋体" w:hAnsi="Times New Roman"/>
          <w:b/>
        </w:rPr>
      </w:pPr>
      <w:r w:rsidRPr="005F427E">
        <w:rPr>
          <w:rFonts w:ascii="Times New Roman" w:eastAsia="宋体" w:hAnsi="Times New Roman" w:hint="eastAsia"/>
          <w:b/>
        </w:rPr>
        <w:t>MAA</w:t>
      </w:r>
      <w:r w:rsidR="006245C5" w:rsidRPr="005F427E">
        <w:rPr>
          <w:rFonts w:ascii="Times New Roman" w:eastAsia="宋体" w:hAnsi="Times New Roman" w:hint="eastAsia"/>
          <w:b/>
        </w:rPr>
        <w:t>的结构</w:t>
      </w:r>
    </w:p>
    <w:p w14:paraId="3F09D229" w14:textId="47B5E5EA" w:rsidR="00DE1453" w:rsidRPr="007B048B" w:rsidRDefault="00DE1453"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开源模板</w:t>
      </w:r>
      <w:r w:rsidRPr="007B048B">
        <w:rPr>
          <w:rFonts w:ascii="Times New Roman" w:eastAsia="宋体" w:hAnsi="Times New Roman" w:hint="eastAsia"/>
        </w:rPr>
        <w:t>MAA</w:t>
      </w:r>
      <w:r w:rsidRPr="007B048B">
        <w:rPr>
          <w:rFonts w:ascii="Times New Roman" w:eastAsia="宋体" w:hAnsi="Times New Roman" w:hint="eastAsia"/>
        </w:rPr>
        <w:t>采用一个优先股权利附件（</w:t>
      </w:r>
      <w:r w:rsidRPr="007B048B">
        <w:rPr>
          <w:rFonts w:ascii="Times New Roman" w:eastAsia="宋体" w:hAnsi="Times New Roman" w:hint="eastAsia"/>
        </w:rPr>
        <w:t>Schedule</w:t>
      </w:r>
      <w:r w:rsidRPr="007B048B">
        <w:rPr>
          <w:rFonts w:ascii="Times New Roman" w:eastAsia="宋体" w:hAnsi="Times New Roman"/>
        </w:rPr>
        <w:t xml:space="preserve"> of Preferred Shares</w:t>
      </w:r>
      <w:r w:rsidRPr="007B048B">
        <w:rPr>
          <w:rFonts w:ascii="Times New Roman" w:eastAsia="宋体" w:hAnsi="Times New Roman"/>
        </w:rPr>
        <w:t>）</w:t>
      </w:r>
      <w:r w:rsidRPr="007B048B">
        <w:rPr>
          <w:rFonts w:ascii="Times New Roman" w:eastAsia="宋体" w:hAnsi="Times New Roman" w:hint="eastAsia"/>
        </w:rPr>
        <w:t>来集中</w:t>
      </w:r>
      <w:r w:rsidR="009A3DB7" w:rsidRPr="007B048B">
        <w:rPr>
          <w:rFonts w:ascii="Times New Roman" w:eastAsia="宋体" w:hAnsi="Times New Roman" w:hint="eastAsia"/>
        </w:rPr>
        <w:t>设定</w:t>
      </w:r>
      <w:r w:rsidRPr="007B048B">
        <w:rPr>
          <w:rFonts w:ascii="Times New Roman" w:eastAsia="宋体" w:hAnsi="Times New Roman" w:hint="eastAsia"/>
        </w:rPr>
        <w:t>优先股的权利，该</w:t>
      </w:r>
      <w:r w:rsidRPr="007B048B">
        <w:rPr>
          <w:rFonts w:ascii="Times New Roman" w:eastAsia="宋体" w:hAnsi="Times New Roman" w:hint="eastAsia"/>
        </w:rPr>
        <w:t>MAA</w:t>
      </w:r>
      <w:r w:rsidRPr="007B048B">
        <w:rPr>
          <w:rFonts w:ascii="Times New Roman" w:eastAsia="宋体" w:hAnsi="Times New Roman" w:hint="eastAsia"/>
        </w:rPr>
        <w:t>优先股权利附件的主要组成部分包括：</w:t>
      </w:r>
      <w:r w:rsidR="00967948" w:rsidRPr="007B048B">
        <w:rPr>
          <w:rFonts w:ascii="Times New Roman" w:eastAsia="宋体" w:hAnsi="Times New Roman" w:hint="eastAsia"/>
        </w:rPr>
        <w:t xml:space="preserve"> </w:t>
      </w:r>
    </w:p>
    <w:p w14:paraId="6DA483DB" w14:textId="1BD051A0" w:rsidR="00081CCB" w:rsidRPr="007B048B" w:rsidRDefault="00814BC0" w:rsidP="00BB08CC">
      <w:pPr>
        <w:pStyle w:val="ListParagraph"/>
        <w:numPr>
          <w:ilvl w:val="0"/>
          <w:numId w:val="10"/>
        </w:numPr>
        <w:adjustRightInd w:val="0"/>
        <w:snapToGrid w:val="0"/>
        <w:spacing w:before="120" w:after="240" w:line="264" w:lineRule="auto"/>
        <w:contextualSpacing w:val="0"/>
        <w:jc w:val="both"/>
        <w:rPr>
          <w:rFonts w:ascii="Times New Roman" w:eastAsia="宋体" w:hAnsi="Times New Roman"/>
        </w:rPr>
      </w:pPr>
      <w:r w:rsidRPr="005F427E">
        <w:rPr>
          <w:rFonts w:ascii="Times New Roman" w:eastAsia="宋体" w:hAnsi="Times New Roman" w:hint="eastAsia"/>
          <w:b/>
        </w:rPr>
        <w:t>优先</w:t>
      </w:r>
      <w:r w:rsidR="009A3DB7" w:rsidRPr="005F427E">
        <w:rPr>
          <w:rFonts w:ascii="Times New Roman" w:eastAsia="宋体" w:hAnsi="Times New Roman" w:hint="eastAsia"/>
          <w:b/>
        </w:rPr>
        <w:t>分红</w:t>
      </w:r>
      <w:r w:rsidR="006245C5" w:rsidRPr="007B048B">
        <w:rPr>
          <w:rFonts w:ascii="Times New Roman" w:eastAsia="宋体" w:hAnsi="Times New Roman" w:hint="eastAsia"/>
        </w:rPr>
        <w:t>（开源模板</w:t>
      </w:r>
      <w:r w:rsidR="009A3DB7" w:rsidRPr="007B048B">
        <w:rPr>
          <w:rFonts w:ascii="Times New Roman" w:eastAsia="宋体" w:hAnsi="Times New Roman" w:hint="eastAsia"/>
        </w:rPr>
        <w:t>MAA</w:t>
      </w:r>
      <w:r w:rsidR="006245C5" w:rsidRPr="007B048B">
        <w:rPr>
          <w:rFonts w:ascii="Times New Roman" w:eastAsia="宋体" w:hAnsi="Times New Roman" w:hint="eastAsia"/>
        </w:rPr>
        <w:t>第</w:t>
      </w:r>
      <w:r w:rsidR="006245C5" w:rsidRPr="007B048B">
        <w:rPr>
          <w:rFonts w:ascii="Times New Roman" w:eastAsia="宋体" w:hAnsi="Times New Roman" w:hint="eastAsia"/>
        </w:rPr>
        <w:t>2</w:t>
      </w:r>
      <w:r w:rsidR="006245C5" w:rsidRPr="007B048B">
        <w:rPr>
          <w:rFonts w:ascii="Times New Roman" w:eastAsia="宋体" w:hAnsi="Times New Roman" w:hint="eastAsia"/>
        </w:rPr>
        <w:t>条</w:t>
      </w:r>
      <w:r w:rsidR="006245C5" w:rsidRPr="007B048B">
        <w:rPr>
          <w:rFonts w:ascii="Times New Roman" w:eastAsia="宋体" w:hAnsi="Times New Roman" w:hint="eastAsia"/>
        </w:rPr>
        <w:t xml:space="preserve"> </w:t>
      </w:r>
      <w:r w:rsidR="009A3DB7" w:rsidRPr="007B048B">
        <w:rPr>
          <w:rFonts w:ascii="Times New Roman" w:eastAsia="宋体" w:hAnsi="Times New Roman" w:hint="eastAsia"/>
        </w:rPr>
        <w:t>Dividend</w:t>
      </w:r>
      <w:r w:rsidR="006245C5" w:rsidRPr="007B048B">
        <w:rPr>
          <w:rFonts w:ascii="Times New Roman" w:eastAsia="宋体" w:hAnsi="Times New Roman" w:hint="eastAsia"/>
        </w:rPr>
        <w:t>）</w:t>
      </w:r>
    </w:p>
    <w:p w14:paraId="093F3261" w14:textId="12A17CF4" w:rsidR="00974761" w:rsidRPr="007B048B" w:rsidRDefault="00974761"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rPr>
        <w:t>MAA</w:t>
      </w:r>
      <w:r w:rsidR="00814BC0" w:rsidRPr="007B048B">
        <w:rPr>
          <w:rFonts w:ascii="Times New Roman" w:eastAsia="宋体" w:hAnsi="Times New Roman" w:hint="eastAsia"/>
        </w:rPr>
        <w:t>规</w:t>
      </w:r>
      <w:r w:rsidRPr="007B048B">
        <w:rPr>
          <w:rFonts w:ascii="Times New Roman" w:eastAsia="宋体" w:hAnsi="Times New Roman" w:hint="eastAsia"/>
        </w:rPr>
        <w:t>定</w:t>
      </w:r>
      <w:r w:rsidR="00FC5C22" w:rsidRPr="007B048B">
        <w:rPr>
          <w:rFonts w:ascii="Times New Roman" w:eastAsia="宋体" w:hAnsi="Times New Roman" w:hint="eastAsia"/>
        </w:rPr>
        <w:t>公司在向某一类型的股份分配红利时，应先向较该类型股份优先的股份分配等额的红利。各类型股份的优先性一般为优先股</w:t>
      </w:r>
      <w:r w:rsidR="00325CE4" w:rsidRPr="007B048B">
        <w:rPr>
          <w:rFonts w:ascii="Times New Roman" w:eastAsia="宋体" w:hAnsi="Times New Roman" w:hint="eastAsia"/>
        </w:rPr>
        <w:t>较</w:t>
      </w:r>
      <w:r w:rsidR="00FC5C22" w:rsidRPr="007B048B">
        <w:rPr>
          <w:rFonts w:ascii="Times New Roman" w:eastAsia="宋体" w:hAnsi="Times New Roman" w:hint="eastAsia"/>
        </w:rPr>
        <w:t>普通股</w:t>
      </w:r>
      <w:r w:rsidR="00325CE4" w:rsidRPr="007B048B">
        <w:rPr>
          <w:rFonts w:ascii="Times New Roman" w:eastAsia="宋体" w:hAnsi="Times New Roman" w:hint="eastAsia"/>
        </w:rPr>
        <w:t>优先</w:t>
      </w:r>
      <w:r w:rsidR="00FC5C22" w:rsidRPr="007B048B">
        <w:rPr>
          <w:rFonts w:ascii="Times New Roman" w:eastAsia="宋体" w:hAnsi="Times New Roman" w:hint="eastAsia"/>
        </w:rPr>
        <w:t>，各</w:t>
      </w:r>
      <w:r w:rsidR="00325CE4" w:rsidRPr="007B048B">
        <w:rPr>
          <w:rFonts w:ascii="Times New Roman" w:eastAsia="宋体" w:hAnsi="Times New Roman" w:hint="eastAsia"/>
        </w:rPr>
        <w:t>轮次</w:t>
      </w:r>
      <w:r w:rsidR="00FC5C22" w:rsidRPr="007B048B">
        <w:rPr>
          <w:rFonts w:ascii="Times New Roman" w:eastAsia="宋体" w:hAnsi="Times New Roman" w:hint="eastAsia"/>
        </w:rPr>
        <w:t>优先股之间，发较晚</w:t>
      </w:r>
      <w:r w:rsidR="00325CE4" w:rsidRPr="007B048B">
        <w:rPr>
          <w:rFonts w:ascii="Times New Roman" w:eastAsia="宋体" w:hAnsi="Times New Roman" w:hint="eastAsia"/>
        </w:rPr>
        <w:t>轮次</w:t>
      </w:r>
      <w:r w:rsidR="00FC5C22" w:rsidRPr="007B048B">
        <w:rPr>
          <w:rFonts w:ascii="Times New Roman" w:eastAsia="宋体" w:hAnsi="Times New Roman" w:hint="eastAsia"/>
        </w:rPr>
        <w:t>（一般发行价也更高）</w:t>
      </w:r>
      <w:r w:rsidR="00325CE4" w:rsidRPr="007B048B">
        <w:rPr>
          <w:rFonts w:ascii="Times New Roman" w:eastAsia="宋体" w:hAnsi="Times New Roman" w:hint="eastAsia"/>
        </w:rPr>
        <w:t>的优先股较为优先。</w:t>
      </w:r>
    </w:p>
    <w:p w14:paraId="5C0646B3" w14:textId="2F61F853" w:rsidR="002B39B9" w:rsidRPr="00F11A67" w:rsidRDefault="00325CE4"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sidRPr="007B048B">
        <w:rPr>
          <w:rFonts w:ascii="Times New Roman" w:eastAsia="宋体" w:hAnsi="Times New Roman" w:hint="eastAsia"/>
        </w:rPr>
        <w:t>在某些项目中，优先股享有按一定年利率计算的非累计红利（</w:t>
      </w:r>
      <w:r w:rsidRPr="007B048B">
        <w:rPr>
          <w:rFonts w:ascii="Times New Roman" w:eastAsia="宋体" w:hAnsi="Times New Roman" w:hint="eastAsia"/>
        </w:rPr>
        <w:t>non-cumulative</w:t>
      </w:r>
      <w:r w:rsidRPr="007B048B">
        <w:rPr>
          <w:rFonts w:ascii="Times New Roman" w:eastAsia="宋体" w:hAnsi="Times New Roman"/>
        </w:rPr>
        <w:t xml:space="preserve"> </w:t>
      </w:r>
      <w:r w:rsidRPr="007B048B">
        <w:rPr>
          <w:rFonts w:ascii="Times New Roman" w:eastAsia="宋体" w:hAnsi="Times New Roman" w:hint="eastAsia"/>
        </w:rPr>
        <w:t>dividend</w:t>
      </w:r>
      <w:r w:rsidRPr="007B048B">
        <w:rPr>
          <w:rFonts w:ascii="Times New Roman" w:eastAsia="宋体" w:hAnsi="Times New Roman" w:hint="eastAsia"/>
        </w:rPr>
        <w:t>）。</w:t>
      </w:r>
      <w:r w:rsidRPr="007B048B">
        <w:rPr>
          <w:rFonts w:ascii="Times New Roman" w:eastAsia="宋体" w:hAnsi="Times New Roman" w:hint="eastAsia"/>
        </w:rPr>
        <w:t xml:space="preserve"> </w:t>
      </w:r>
      <w:r w:rsidRPr="007B048B">
        <w:rPr>
          <w:rFonts w:ascii="Times New Roman" w:eastAsia="宋体" w:hAnsi="Times New Roman" w:hint="eastAsia"/>
        </w:rPr>
        <w:t>非累计红利不同于债权，只有在公司董事会决议宣派股利时，公司方有义务分配当年度的股利，过往年度未宣派的红利并不累计。</w:t>
      </w:r>
      <w:r w:rsidRPr="007B048B">
        <w:rPr>
          <w:rFonts w:ascii="Times New Roman" w:eastAsia="宋体" w:hAnsi="Times New Roman" w:hint="eastAsia"/>
        </w:rPr>
        <w:t xml:space="preserve"> </w:t>
      </w:r>
      <w:r w:rsidRPr="007B048B">
        <w:rPr>
          <w:rFonts w:ascii="Times New Roman" w:eastAsia="宋体" w:hAnsi="Times New Roman" w:hint="eastAsia"/>
        </w:rPr>
        <w:t>同样的，在公司向享有</w:t>
      </w:r>
      <w:r w:rsidR="00EB5FD0" w:rsidRPr="007B048B">
        <w:rPr>
          <w:rFonts w:ascii="Times New Roman" w:eastAsia="宋体" w:hAnsi="Times New Roman" w:hint="eastAsia"/>
        </w:rPr>
        <w:t>非累计红利的优先股分配红利之前，不得向较该类型优先股劣后的股份分配红利。</w:t>
      </w:r>
    </w:p>
    <w:p w14:paraId="4D55A3E7" w14:textId="7E7EF6F6" w:rsidR="002B39B9" w:rsidRPr="007B048B" w:rsidRDefault="00814BC0" w:rsidP="00BB08CC">
      <w:pPr>
        <w:pStyle w:val="ListParagraph"/>
        <w:numPr>
          <w:ilvl w:val="0"/>
          <w:numId w:val="10"/>
        </w:numPr>
        <w:adjustRightInd w:val="0"/>
        <w:snapToGrid w:val="0"/>
        <w:spacing w:before="120" w:after="240" w:line="264" w:lineRule="auto"/>
        <w:contextualSpacing w:val="0"/>
        <w:jc w:val="both"/>
        <w:rPr>
          <w:rFonts w:ascii="Times New Roman" w:eastAsia="宋体" w:hAnsi="Times New Roman"/>
        </w:rPr>
      </w:pPr>
      <w:r w:rsidRPr="005F427E">
        <w:rPr>
          <w:rFonts w:ascii="Times New Roman" w:eastAsia="宋体" w:hAnsi="Times New Roman" w:hint="eastAsia"/>
          <w:b/>
        </w:rPr>
        <w:t>优先清算分配</w:t>
      </w:r>
      <w:r w:rsidRPr="007B048B">
        <w:rPr>
          <w:rFonts w:ascii="Times New Roman" w:eastAsia="宋体" w:hAnsi="Times New Roman" w:hint="eastAsia"/>
          <w:bCs/>
        </w:rPr>
        <w:t>（</w:t>
      </w:r>
      <w:r w:rsidR="002B39B9" w:rsidRPr="007B048B">
        <w:rPr>
          <w:rFonts w:ascii="Times New Roman" w:eastAsia="宋体" w:hAnsi="Times New Roman" w:hint="eastAsia"/>
        </w:rPr>
        <w:t>开源模板</w:t>
      </w:r>
      <w:r w:rsidR="002B39B9" w:rsidRPr="007B048B">
        <w:rPr>
          <w:rFonts w:ascii="Times New Roman" w:eastAsia="宋体" w:hAnsi="Times New Roman" w:hint="eastAsia"/>
        </w:rPr>
        <w:t>MAA</w:t>
      </w:r>
      <w:r w:rsidR="002B39B9" w:rsidRPr="007B048B">
        <w:rPr>
          <w:rFonts w:ascii="Times New Roman" w:eastAsia="宋体" w:hAnsi="Times New Roman" w:hint="eastAsia"/>
        </w:rPr>
        <w:t>第</w:t>
      </w:r>
      <w:r w:rsidRPr="007B048B">
        <w:rPr>
          <w:rFonts w:ascii="Times New Roman" w:eastAsia="宋体" w:hAnsi="Times New Roman" w:hint="eastAsia"/>
        </w:rPr>
        <w:t>3</w:t>
      </w:r>
      <w:r w:rsidR="002B39B9" w:rsidRPr="007B048B">
        <w:rPr>
          <w:rFonts w:ascii="Times New Roman" w:eastAsia="宋体" w:hAnsi="Times New Roman" w:hint="eastAsia"/>
        </w:rPr>
        <w:t>条</w:t>
      </w:r>
      <w:r w:rsidR="002B39B9" w:rsidRPr="007B048B">
        <w:rPr>
          <w:rFonts w:ascii="Times New Roman" w:eastAsia="宋体" w:hAnsi="Times New Roman" w:hint="eastAsia"/>
        </w:rPr>
        <w:t xml:space="preserve"> </w:t>
      </w:r>
      <w:r w:rsidRPr="007B048B">
        <w:rPr>
          <w:rFonts w:ascii="Times New Roman" w:eastAsia="宋体" w:hAnsi="Times New Roman"/>
        </w:rPr>
        <w:t xml:space="preserve">Liquidation </w:t>
      </w:r>
      <w:r w:rsidRPr="007B048B">
        <w:rPr>
          <w:rFonts w:ascii="Times New Roman" w:eastAsia="宋体" w:hAnsi="Times New Roman" w:hint="eastAsia"/>
        </w:rPr>
        <w:t>Preference</w:t>
      </w:r>
      <w:r w:rsidR="002B39B9" w:rsidRPr="007B048B">
        <w:rPr>
          <w:rFonts w:ascii="Times New Roman" w:eastAsia="宋体" w:hAnsi="Times New Roman" w:hint="eastAsia"/>
        </w:rPr>
        <w:t>）</w:t>
      </w:r>
    </w:p>
    <w:p w14:paraId="00649CF7" w14:textId="7385D72B" w:rsidR="00236408" w:rsidRPr="007B048B" w:rsidRDefault="00814BC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MAA</w:t>
      </w:r>
      <w:r w:rsidRPr="007B048B">
        <w:rPr>
          <w:rFonts w:ascii="Times New Roman" w:eastAsia="宋体" w:hAnsi="Times New Roman" w:hint="eastAsia"/>
        </w:rPr>
        <w:t>规定在公司发生清算</w:t>
      </w:r>
      <w:r w:rsidR="009F4798" w:rsidRPr="007B048B">
        <w:rPr>
          <w:rFonts w:ascii="Times New Roman" w:eastAsia="宋体" w:hAnsi="Times New Roman" w:hint="eastAsia"/>
        </w:rPr>
        <w:t>事件</w:t>
      </w:r>
      <w:r w:rsidRPr="007B048B">
        <w:rPr>
          <w:rFonts w:ascii="Times New Roman" w:eastAsia="宋体" w:hAnsi="Times New Roman" w:hint="eastAsia"/>
        </w:rPr>
        <w:t>时，应将公司可向股东分配的财产按各类型股份的优先性逐次分配，先向</w:t>
      </w:r>
      <w:r w:rsidR="00683951" w:rsidRPr="007B048B">
        <w:rPr>
          <w:rFonts w:ascii="Times New Roman" w:eastAsia="宋体" w:hAnsi="Times New Roman" w:hint="eastAsia"/>
        </w:rPr>
        <w:t>各轮次</w:t>
      </w:r>
      <w:r w:rsidRPr="007B048B">
        <w:rPr>
          <w:rFonts w:ascii="Times New Roman" w:eastAsia="宋体" w:hAnsi="Times New Roman" w:hint="eastAsia"/>
        </w:rPr>
        <w:t>优先股</w:t>
      </w:r>
      <w:r w:rsidR="00683951" w:rsidRPr="007B048B">
        <w:rPr>
          <w:rFonts w:ascii="Times New Roman" w:eastAsia="宋体" w:hAnsi="Times New Roman" w:hint="eastAsia"/>
        </w:rPr>
        <w:t>按优先顺序</w:t>
      </w:r>
      <w:r w:rsidRPr="007B048B">
        <w:rPr>
          <w:rFonts w:ascii="Times New Roman" w:eastAsia="宋体" w:hAnsi="Times New Roman" w:hint="eastAsia"/>
        </w:rPr>
        <w:t>分配约定的按</w:t>
      </w:r>
      <w:r w:rsidR="00683951" w:rsidRPr="007B048B">
        <w:rPr>
          <w:rFonts w:ascii="Times New Roman" w:eastAsia="宋体" w:hAnsi="Times New Roman" w:hint="eastAsia"/>
        </w:rPr>
        <w:t>该轮次优先股发行价</w:t>
      </w:r>
      <w:r w:rsidRPr="007B048B">
        <w:rPr>
          <w:rFonts w:ascii="Times New Roman" w:eastAsia="宋体" w:hAnsi="Times New Roman" w:hint="eastAsia"/>
        </w:rPr>
        <w:t>计算（固定比例或年化</w:t>
      </w:r>
      <w:r w:rsidR="00683951" w:rsidRPr="007B048B">
        <w:rPr>
          <w:rFonts w:ascii="Times New Roman" w:eastAsia="宋体" w:hAnsi="Times New Roman" w:hint="eastAsia"/>
        </w:rPr>
        <w:t>回报率）的优先分配金额（</w:t>
      </w:r>
      <w:r w:rsidR="00683951" w:rsidRPr="007B048B">
        <w:rPr>
          <w:rFonts w:ascii="Times New Roman" w:eastAsia="宋体" w:hAnsi="Times New Roman" w:hint="eastAsia"/>
        </w:rPr>
        <w:t>Preference</w:t>
      </w:r>
      <w:r w:rsidR="00683951" w:rsidRPr="007B048B">
        <w:rPr>
          <w:rFonts w:ascii="Times New Roman" w:eastAsia="宋体" w:hAnsi="Times New Roman"/>
        </w:rPr>
        <w:t xml:space="preserve"> Amount</w:t>
      </w:r>
      <w:r w:rsidR="00683951" w:rsidRPr="007B048B">
        <w:rPr>
          <w:rFonts w:ascii="Times New Roman" w:eastAsia="宋体" w:hAnsi="Times New Roman"/>
        </w:rPr>
        <w:t>）</w:t>
      </w:r>
      <w:r w:rsidR="00683951" w:rsidRPr="007B048B">
        <w:rPr>
          <w:rFonts w:ascii="Times New Roman" w:eastAsia="宋体" w:hAnsi="Times New Roman" w:hint="eastAsia"/>
        </w:rPr>
        <w:t>,</w:t>
      </w:r>
      <w:r w:rsidR="00683951" w:rsidRPr="007B048B">
        <w:rPr>
          <w:rFonts w:ascii="Times New Roman" w:eastAsia="宋体" w:hAnsi="Times New Roman" w:hint="eastAsia"/>
        </w:rPr>
        <w:t>然后在将剩余的可分配财产（如有）按持股比例向股东分配。</w:t>
      </w:r>
    </w:p>
    <w:p w14:paraId="55F78B42" w14:textId="3E3973E0" w:rsidR="00236408" w:rsidRPr="007B048B" w:rsidRDefault="00236408"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优先清算分配有两种形式，参与型与非参与型。两者的区别在参与最后按股权比例分配剩余可分配财产的股东范围。参与型</w:t>
      </w:r>
      <w:r w:rsidR="009F4798" w:rsidRPr="007B048B">
        <w:rPr>
          <w:rFonts w:ascii="Times New Roman" w:eastAsia="宋体" w:hAnsi="Times New Roman" w:hint="eastAsia"/>
        </w:rPr>
        <w:t>下</w:t>
      </w:r>
      <w:r w:rsidRPr="007B048B">
        <w:rPr>
          <w:rFonts w:ascii="Times New Roman" w:eastAsia="宋体" w:hAnsi="Times New Roman" w:hint="eastAsia"/>
        </w:rPr>
        <w:t>，所有股东都</w:t>
      </w:r>
      <w:r w:rsidR="009F4798" w:rsidRPr="007B048B">
        <w:rPr>
          <w:rFonts w:ascii="Times New Roman" w:eastAsia="宋体" w:hAnsi="Times New Roman" w:hint="eastAsia"/>
        </w:rPr>
        <w:t>有权</w:t>
      </w:r>
      <w:r w:rsidRPr="007B048B">
        <w:rPr>
          <w:rFonts w:ascii="Times New Roman" w:eastAsia="宋体" w:hAnsi="Times New Roman" w:hint="eastAsia"/>
        </w:rPr>
        <w:t>参与</w:t>
      </w:r>
      <w:r w:rsidR="009F4798" w:rsidRPr="007B048B">
        <w:rPr>
          <w:rFonts w:ascii="Times New Roman" w:eastAsia="宋体" w:hAnsi="Times New Roman" w:hint="eastAsia"/>
        </w:rPr>
        <w:t>按股比</w:t>
      </w:r>
      <w:r w:rsidRPr="007B048B">
        <w:rPr>
          <w:rFonts w:ascii="Times New Roman" w:eastAsia="宋体" w:hAnsi="Times New Roman" w:hint="eastAsia"/>
        </w:rPr>
        <w:t>分配，这意味着优先股股东</w:t>
      </w:r>
      <w:r w:rsidR="009F4798" w:rsidRPr="007B048B">
        <w:rPr>
          <w:rFonts w:ascii="Times New Roman" w:eastAsia="宋体" w:hAnsi="Times New Roman" w:hint="eastAsia"/>
        </w:rPr>
        <w:t>将</w:t>
      </w:r>
      <w:r w:rsidRPr="007B048B">
        <w:rPr>
          <w:rFonts w:ascii="Times New Roman" w:eastAsia="宋体" w:hAnsi="Times New Roman" w:hint="eastAsia"/>
        </w:rPr>
        <w:t>获得优先分配金额和按股比分配金额</w:t>
      </w:r>
      <w:r w:rsidR="009F4798" w:rsidRPr="007B048B">
        <w:rPr>
          <w:rFonts w:ascii="Times New Roman" w:eastAsia="宋体" w:hAnsi="Times New Roman" w:hint="eastAsia"/>
        </w:rPr>
        <w:t>。在非参与型下，只有普通股股东有权参与按股比分配，由于优先股股东可以随时将其持有的优先股转换为普通股，实际上优先股股东将获得优先分配金额或按股比分配金额两者中较高的金额。</w:t>
      </w:r>
    </w:p>
    <w:p w14:paraId="3D1F2720" w14:textId="1EB480CE" w:rsidR="009F4798" w:rsidRPr="007B048B" w:rsidRDefault="009F4798"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lastRenderedPageBreak/>
        <w:t>MAA</w:t>
      </w:r>
      <w:r w:rsidRPr="007B048B">
        <w:rPr>
          <w:rFonts w:ascii="Times New Roman" w:eastAsia="宋体" w:hAnsi="Times New Roman" w:hint="eastAsia"/>
        </w:rPr>
        <w:t>也会约定公司的整体出售（包括通过股权收购、资产收购或合并等形式）会被视同为清算事件，整体出售的对价将</w:t>
      </w:r>
      <w:r w:rsidR="008314A4" w:rsidRPr="007B048B">
        <w:rPr>
          <w:rFonts w:ascii="Times New Roman" w:eastAsia="宋体" w:hAnsi="Times New Roman" w:hint="eastAsia"/>
        </w:rPr>
        <w:t>以同样方式在各类型股份之间分配。</w:t>
      </w:r>
    </w:p>
    <w:p w14:paraId="06C7E2BE" w14:textId="1658CB34" w:rsidR="00F11A67" w:rsidRPr="007B048B" w:rsidRDefault="00F11A67" w:rsidP="00BB08CC">
      <w:pPr>
        <w:pStyle w:val="ListParagraph"/>
        <w:numPr>
          <w:ilvl w:val="0"/>
          <w:numId w:val="10"/>
        </w:numPr>
        <w:adjustRightInd w:val="0"/>
        <w:snapToGrid w:val="0"/>
        <w:spacing w:before="120" w:after="240" w:line="264" w:lineRule="auto"/>
        <w:contextualSpacing w:val="0"/>
        <w:jc w:val="both"/>
        <w:rPr>
          <w:rFonts w:ascii="Times New Roman" w:eastAsia="宋体" w:hAnsi="Times New Roman"/>
        </w:rPr>
      </w:pPr>
      <w:r>
        <w:rPr>
          <w:rFonts w:ascii="Times New Roman" w:eastAsia="宋体" w:hAnsi="Times New Roman" w:hint="eastAsia"/>
          <w:b/>
        </w:rPr>
        <w:t>转换权</w:t>
      </w:r>
      <w:r w:rsidRPr="007B048B">
        <w:rPr>
          <w:rFonts w:ascii="Times New Roman" w:eastAsia="宋体" w:hAnsi="Times New Roman" w:hint="eastAsia"/>
          <w:bCs/>
        </w:rPr>
        <w:t>（</w:t>
      </w:r>
      <w:r w:rsidRPr="007B048B">
        <w:rPr>
          <w:rFonts w:ascii="Times New Roman" w:eastAsia="宋体" w:hAnsi="Times New Roman" w:hint="eastAsia"/>
        </w:rPr>
        <w:t>开源模板</w:t>
      </w:r>
      <w:r w:rsidRPr="007B048B">
        <w:rPr>
          <w:rFonts w:ascii="Times New Roman" w:eastAsia="宋体" w:hAnsi="Times New Roman" w:hint="eastAsia"/>
        </w:rPr>
        <w:t>MAA</w:t>
      </w:r>
      <w:r w:rsidRPr="007B048B">
        <w:rPr>
          <w:rFonts w:ascii="Times New Roman" w:eastAsia="宋体" w:hAnsi="Times New Roman" w:hint="eastAsia"/>
        </w:rPr>
        <w:t>第</w:t>
      </w:r>
      <w:r>
        <w:rPr>
          <w:rFonts w:ascii="Times New Roman" w:eastAsia="宋体" w:hAnsi="Times New Roman" w:hint="eastAsia"/>
        </w:rPr>
        <w:t>3</w:t>
      </w:r>
      <w:r w:rsidRPr="007B048B">
        <w:rPr>
          <w:rFonts w:ascii="Times New Roman" w:eastAsia="宋体" w:hAnsi="Times New Roman" w:hint="eastAsia"/>
        </w:rPr>
        <w:t>条</w:t>
      </w:r>
      <w:r>
        <w:rPr>
          <w:rFonts w:ascii="Times New Roman" w:eastAsia="宋体" w:hAnsi="Times New Roman" w:hint="eastAsia"/>
        </w:rPr>
        <w:t>Conversion</w:t>
      </w:r>
      <w:r>
        <w:rPr>
          <w:rFonts w:ascii="Times New Roman" w:eastAsia="宋体" w:hAnsi="Times New Roman"/>
        </w:rPr>
        <w:t xml:space="preserve"> </w:t>
      </w:r>
      <w:r>
        <w:rPr>
          <w:rFonts w:ascii="Times New Roman" w:eastAsia="宋体" w:hAnsi="Times New Roman" w:hint="eastAsia"/>
        </w:rPr>
        <w:t>Right</w:t>
      </w:r>
      <w:r w:rsidRPr="007B048B">
        <w:rPr>
          <w:rFonts w:ascii="Times New Roman" w:eastAsia="宋体" w:hAnsi="Times New Roman" w:hint="eastAsia"/>
        </w:rPr>
        <w:t>）</w:t>
      </w:r>
    </w:p>
    <w:p w14:paraId="3D5247C6" w14:textId="5F262F84" w:rsidR="00F11A67" w:rsidRDefault="00F11A67"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sidRPr="007B048B">
        <w:rPr>
          <w:rFonts w:ascii="Times New Roman" w:eastAsia="宋体" w:hAnsi="Times New Roman" w:hint="eastAsia"/>
        </w:rPr>
        <w:t>MAA</w:t>
      </w:r>
      <w:r w:rsidRPr="007B048B">
        <w:rPr>
          <w:rFonts w:ascii="Times New Roman" w:eastAsia="宋体" w:hAnsi="Times New Roman" w:hint="eastAsia"/>
        </w:rPr>
        <w:t>规定</w:t>
      </w:r>
      <w:r w:rsidR="00080A45">
        <w:rPr>
          <w:rFonts w:ascii="Times New Roman" w:eastAsia="宋体" w:hAnsi="Times New Roman" w:hint="eastAsia"/>
        </w:rPr>
        <w:t>了优先股对普通股的转换机制，包括：</w:t>
      </w:r>
    </w:p>
    <w:p w14:paraId="56F9C2A7" w14:textId="56890152" w:rsidR="00080A45" w:rsidRPr="00BB08CC" w:rsidRDefault="00080A45"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转</w:t>
      </w:r>
      <w:r w:rsidR="008D5B76" w:rsidRPr="00BB08CC">
        <w:rPr>
          <w:rFonts w:ascii="Times New Roman" w:eastAsia="宋体" w:hAnsi="Times New Roman" w:hint="eastAsia"/>
          <w:u w:val="single"/>
        </w:rPr>
        <w:t>换</w:t>
      </w:r>
      <w:r w:rsidRPr="00BB08CC">
        <w:rPr>
          <w:rFonts w:ascii="Times New Roman" w:eastAsia="宋体" w:hAnsi="Times New Roman" w:hint="eastAsia"/>
          <w:u w:val="single"/>
        </w:rPr>
        <w:t>比例</w:t>
      </w:r>
    </w:p>
    <w:p w14:paraId="57FE55E5" w14:textId="7B94D487" w:rsidR="00080A45" w:rsidRDefault="00080A45"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优先股对普通股转换比例由优先股的</w:t>
      </w:r>
      <w:r w:rsidR="00200B0D">
        <w:rPr>
          <w:rFonts w:ascii="Times New Roman" w:eastAsia="宋体" w:hAnsi="Times New Roman" w:hint="eastAsia"/>
        </w:rPr>
        <w:t>发行</w:t>
      </w:r>
      <w:r>
        <w:rPr>
          <w:rFonts w:ascii="Times New Roman" w:eastAsia="宋体" w:hAnsi="Times New Roman" w:hint="eastAsia"/>
        </w:rPr>
        <w:t>价除以其转换价所得。转换价（</w:t>
      </w:r>
      <w:r>
        <w:rPr>
          <w:rFonts w:ascii="Times New Roman" w:eastAsia="宋体" w:hAnsi="Times New Roman" w:hint="eastAsia"/>
        </w:rPr>
        <w:t>Conversion</w:t>
      </w:r>
      <w:r>
        <w:rPr>
          <w:rFonts w:ascii="Times New Roman" w:eastAsia="宋体" w:hAnsi="Times New Roman"/>
        </w:rPr>
        <w:t xml:space="preserve"> </w:t>
      </w:r>
      <w:r>
        <w:rPr>
          <w:rFonts w:ascii="Times New Roman" w:eastAsia="宋体" w:hAnsi="Times New Roman" w:hint="eastAsia"/>
        </w:rPr>
        <w:t>Price</w:t>
      </w:r>
      <w:r>
        <w:rPr>
          <w:rFonts w:ascii="Times New Roman" w:eastAsia="宋体" w:hAnsi="Times New Roman" w:hint="eastAsia"/>
        </w:rPr>
        <w:t>）是一个重要的概念，可以视作</w:t>
      </w:r>
      <w:r w:rsidR="008906DD">
        <w:rPr>
          <w:rFonts w:ascii="Times New Roman" w:eastAsia="宋体" w:hAnsi="Times New Roman" w:hint="eastAsia"/>
        </w:rPr>
        <w:t>公司每股价值</w:t>
      </w:r>
      <w:r>
        <w:rPr>
          <w:rFonts w:ascii="Times New Roman" w:eastAsia="宋体" w:hAnsi="Times New Roman" w:hint="eastAsia"/>
        </w:rPr>
        <w:t>在某个时点的一个价值标尺。初始</w:t>
      </w:r>
      <w:r w:rsidR="00200B0D">
        <w:rPr>
          <w:rFonts w:ascii="Times New Roman" w:eastAsia="宋体" w:hAnsi="Times New Roman" w:hint="eastAsia"/>
        </w:rPr>
        <w:t>的转换价等于发行价（即每股投资成本），故而优先股对普通股的初始转换比例为</w:t>
      </w:r>
      <w:r w:rsidR="00200B0D">
        <w:rPr>
          <w:rFonts w:ascii="Times New Roman" w:eastAsia="宋体" w:hAnsi="Times New Roman" w:hint="eastAsia"/>
        </w:rPr>
        <w:t>1</w:t>
      </w:r>
      <w:r w:rsidR="00200B0D">
        <w:rPr>
          <w:rFonts w:ascii="Times New Roman" w:eastAsia="宋体" w:hAnsi="Times New Roman" w:hint="eastAsia"/>
        </w:rPr>
        <w:t>：</w:t>
      </w:r>
      <w:r w:rsidR="00200B0D">
        <w:rPr>
          <w:rFonts w:ascii="Times New Roman" w:eastAsia="宋体" w:hAnsi="Times New Roman" w:hint="eastAsia"/>
        </w:rPr>
        <w:t>1</w:t>
      </w:r>
      <w:r w:rsidR="00200B0D">
        <w:rPr>
          <w:rFonts w:ascii="Times New Roman" w:eastAsia="宋体" w:hAnsi="Times New Roman" w:hint="eastAsia"/>
        </w:rPr>
        <w:t>。这一比例不会变化，除非发生</w:t>
      </w:r>
      <w:r w:rsidR="00200B0D">
        <w:rPr>
          <w:rFonts w:ascii="Times New Roman" w:eastAsia="宋体" w:hAnsi="Times New Roman" w:hint="eastAsia"/>
        </w:rPr>
        <w:t>MAA</w:t>
      </w:r>
      <w:r w:rsidR="00200B0D">
        <w:rPr>
          <w:rFonts w:ascii="Times New Roman" w:eastAsia="宋体" w:hAnsi="Times New Roman" w:hint="eastAsia"/>
        </w:rPr>
        <w:t>规定的对转换价的调整。</w:t>
      </w:r>
    </w:p>
    <w:p w14:paraId="695D71EA" w14:textId="78ADEC9D" w:rsidR="00200B0D" w:rsidRPr="00BB08CC" w:rsidRDefault="008906DD"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Pr>
          <w:rFonts w:ascii="Times New Roman" w:eastAsia="宋体" w:hAnsi="Times New Roman"/>
        </w:rPr>
        <w:t xml:space="preserve"> </w:t>
      </w:r>
      <w:r w:rsidRPr="00BB08CC">
        <w:rPr>
          <w:rFonts w:ascii="Times New Roman" w:eastAsia="宋体" w:hAnsi="Times New Roman" w:hint="eastAsia"/>
          <w:u w:val="single"/>
        </w:rPr>
        <w:t>等比例转换价调整</w:t>
      </w:r>
    </w:p>
    <w:p w14:paraId="6A192A88" w14:textId="6104989A" w:rsidR="008906DD" w:rsidRDefault="008906DD"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第一种转换价调整是发生在普通股发生拆股、合股等事项，优先股转换价会相应地等比例调整。例如，如果普通股发生</w:t>
      </w:r>
      <w:r>
        <w:rPr>
          <w:rFonts w:ascii="Times New Roman" w:eastAsia="宋体" w:hAnsi="Times New Roman" w:hint="eastAsia"/>
        </w:rPr>
        <w:t>1</w:t>
      </w: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的拆股，转换价会相应地减半，从而是优先股对普通股的</w:t>
      </w:r>
      <w:r w:rsidR="000A68F0">
        <w:rPr>
          <w:rFonts w:ascii="Times New Roman" w:eastAsia="宋体" w:hAnsi="Times New Roman" w:hint="eastAsia"/>
        </w:rPr>
        <w:t>转换比例由</w:t>
      </w:r>
      <w:r w:rsidR="000A68F0">
        <w:rPr>
          <w:rFonts w:ascii="Times New Roman" w:eastAsia="宋体" w:hAnsi="Times New Roman" w:hint="eastAsia"/>
        </w:rPr>
        <w:t>1</w:t>
      </w:r>
      <w:r w:rsidR="000A68F0">
        <w:rPr>
          <w:rFonts w:ascii="Times New Roman" w:eastAsia="宋体" w:hAnsi="Times New Roman" w:hint="eastAsia"/>
        </w:rPr>
        <w:t>；</w:t>
      </w:r>
      <w:r w:rsidR="000A68F0">
        <w:rPr>
          <w:rFonts w:ascii="Times New Roman" w:eastAsia="宋体" w:hAnsi="Times New Roman" w:hint="eastAsia"/>
        </w:rPr>
        <w:t>1</w:t>
      </w:r>
      <w:r w:rsidR="000A68F0">
        <w:rPr>
          <w:rFonts w:ascii="Times New Roman" w:eastAsia="宋体" w:hAnsi="Times New Roman" w:hint="eastAsia"/>
        </w:rPr>
        <w:t>调整为</w:t>
      </w:r>
      <w:r w:rsidR="000A68F0">
        <w:rPr>
          <w:rFonts w:ascii="Times New Roman" w:eastAsia="宋体" w:hAnsi="Times New Roman" w:hint="eastAsia"/>
        </w:rPr>
        <w:t>1</w:t>
      </w:r>
      <w:r w:rsidR="000A68F0">
        <w:rPr>
          <w:rFonts w:ascii="Times New Roman" w:eastAsia="宋体" w:hAnsi="Times New Roman" w:hint="eastAsia"/>
        </w:rPr>
        <w:t>；</w:t>
      </w:r>
      <w:r w:rsidR="000A68F0">
        <w:rPr>
          <w:rFonts w:ascii="Times New Roman" w:eastAsia="宋体" w:hAnsi="Times New Roman" w:hint="eastAsia"/>
        </w:rPr>
        <w:t>2</w:t>
      </w:r>
      <w:r w:rsidR="000A68F0">
        <w:rPr>
          <w:rFonts w:ascii="Times New Roman" w:eastAsia="宋体" w:hAnsi="Times New Roman" w:hint="eastAsia"/>
        </w:rPr>
        <w:t>。显而易见，这样的等比例调整并不改变优先股在公司的持股比例。</w:t>
      </w:r>
    </w:p>
    <w:p w14:paraId="11B87E90" w14:textId="4A77C54C" w:rsidR="000A68F0" w:rsidRPr="00BB08CC" w:rsidRDefault="000A68F0"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反稀释调整</w:t>
      </w:r>
    </w:p>
    <w:p w14:paraId="4F2C0CFC" w14:textId="75ADD17D" w:rsidR="000A68F0" w:rsidRDefault="000A68F0" w:rsidP="00BB08CC">
      <w:pPr>
        <w:pStyle w:val="ListParagraph"/>
        <w:adjustRightInd w:val="0"/>
        <w:snapToGrid w:val="0"/>
        <w:spacing w:before="120" w:after="240" w:line="264" w:lineRule="auto"/>
        <w:ind w:left="0" w:firstLine="720"/>
        <w:contextualSpacing w:val="0"/>
        <w:jc w:val="both"/>
        <w:rPr>
          <w:rFonts w:ascii="Times New Roman" w:eastAsia="宋体" w:hAnsi="Times New Roman"/>
        </w:rPr>
      </w:pPr>
      <w:r>
        <w:rPr>
          <w:rFonts w:ascii="Times New Roman" w:eastAsia="宋体" w:hAnsi="Times New Roman" w:hint="eastAsia"/>
        </w:rPr>
        <w:t>另一种</w:t>
      </w:r>
      <w:r w:rsidR="00BB08CC">
        <w:rPr>
          <w:rFonts w:ascii="Times New Roman" w:eastAsia="宋体" w:hAnsi="Times New Roman" w:hint="eastAsia"/>
        </w:rPr>
        <w:t>转换价</w:t>
      </w:r>
      <w:r>
        <w:rPr>
          <w:rFonts w:ascii="Times New Roman" w:eastAsia="宋体" w:hAnsi="Times New Roman" w:hint="eastAsia"/>
        </w:rPr>
        <w:t>调整发生在公司发生低价轮（</w:t>
      </w:r>
      <w:r>
        <w:rPr>
          <w:rFonts w:ascii="Times New Roman" w:eastAsia="宋体" w:hAnsi="Times New Roman"/>
        </w:rPr>
        <w:t>down round</w:t>
      </w:r>
      <w:r>
        <w:rPr>
          <w:rFonts w:ascii="Times New Roman" w:eastAsia="宋体" w:hAnsi="Times New Roman" w:hint="eastAsia"/>
        </w:rPr>
        <w:t>）融资时，即公司新发股份的发行价低于当时有效的转换价。在此情况下，优先股的价值（而不仅是持股比例）发生了稀释</w:t>
      </w:r>
      <w:r w:rsidR="00A272CF">
        <w:rPr>
          <w:rFonts w:ascii="Times New Roman" w:eastAsia="宋体" w:hAnsi="Times New Roman" w:hint="eastAsia"/>
        </w:rPr>
        <w:t>。</w:t>
      </w:r>
      <w:r w:rsidR="00A272CF">
        <w:rPr>
          <w:rFonts w:ascii="Times New Roman" w:eastAsia="宋体" w:hAnsi="Times New Roman" w:hint="eastAsia"/>
        </w:rPr>
        <w:t xml:space="preserve"> </w:t>
      </w:r>
      <w:r w:rsidR="00A272CF">
        <w:rPr>
          <w:rFonts w:ascii="Times New Roman" w:eastAsia="宋体" w:hAnsi="Times New Roman" w:hint="eastAsia"/>
        </w:rPr>
        <w:t>为了保护优先股的利益，会对转化价进行调整从而提高优先股对普通股的转换比例，增厚优先股的持股比例，从而对抗低价轮对优先股价值的稀释。市场上有两种反稀释调整方式，完全棘轮（</w:t>
      </w:r>
      <w:r w:rsidR="00A272CF">
        <w:rPr>
          <w:rFonts w:ascii="Times New Roman" w:eastAsia="宋体" w:hAnsi="Times New Roman" w:hint="eastAsia"/>
        </w:rPr>
        <w:t>f</w:t>
      </w:r>
      <w:r w:rsidR="00A272CF">
        <w:rPr>
          <w:rFonts w:ascii="Times New Roman" w:eastAsia="宋体" w:hAnsi="Times New Roman"/>
        </w:rPr>
        <w:t>ull rachet</w:t>
      </w:r>
      <w:r w:rsidR="00A272CF">
        <w:rPr>
          <w:rFonts w:ascii="Times New Roman" w:eastAsia="宋体" w:hAnsi="Times New Roman" w:hint="eastAsia"/>
        </w:rPr>
        <w:t>）调整和加权平均（</w:t>
      </w:r>
      <w:r w:rsidR="00A272CF">
        <w:rPr>
          <w:rFonts w:ascii="Times New Roman" w:eastAsia="宋体" w:hAnsi="Times New Roman" w:hint="eastAsia"/>
        </w:rPr>
        <w:t>weighted</w:t>
      </w:r>
      <w:r w:rsidR="00A272CF">
        <w:rPr>
          <w:rFonts w:ascii="Times New Roman" w:eastAsia="宋体" w:hAnsi="Times New Roman"/>
        </w:rPr>
        <w:t xml:space="preserve"> </w:t>
      </w:r>
      <w:r w:rsidR="00A272CF">
        <w:rPr>
          <w:rFonts w:ascii="Times New Roman" w:eastAsia="宋体" w:hAnsi="Times New Roman" w:hint="eastAsia"/>
        </w:rPr>
        <w:t>average</w:t>
      </w:r>
      <w:r w:rsidR="00A272CF">
        <w:rPr>
          <w:rFonts w:ascii="Times New Roman" w:eastAsia="宋体" w:hAnsi="Times New Roman" w:hint="eastAsia"/>
        </w:rPr>
        <w:t>）调整。</w:t>
      </w:r>
      <w:r w:rsidR="00A272CF">
        <w:rPr>
          <w:rFonts w:ascii="Times New Roman" w:eastAsia="宋体" w:hAnsi="Times New Roman" w:hint="eastAsia"/>
        </w:rPr>
        <w:t xml:space="preserve"> </w:t>
      </w:r>
      <w:r w:rsidR="00A272CF">
        <w:rPr>
          <w:rFonts w:ascii="Times New Roman" w:eastAsia="宋体" w:hAnsi="Times New Roman" w:hint="eastAsia"/>
        </w:rPr>
        <w:t>在完全棘轮调整下，</w:t>
      </w:r>
      <w:r w:rsidR="00697CE5">
        <w:rPr>
          <w:rFonts w:ascii="Times New Roman" w:eastAsia="宋体" w:hAnsi="Times New Roman" w:hint="eastAsia"/>
        </w:rPr>
        <w:t>转换价将被重置为低价轮的发行价，而在加权平均调整下，转换价将按照一个加权平均的公式调整为一个介于调整前转换价与</w:t>
      </w:r>
      <w:r w:rsidR="00697CE5">
        <w:rPr>
          <w:rFonts w:ascii="Times New Roman" w:eastAsia="宋体" w:hAnsi="Times New Roman" w:hint="eastAsia"/>
        </w:rPr>
        <w:t>低价轮的发行价</w:t>
      </w:r>
      <w:r w:rsidR="00697CE5">
        <w:rPr>
          <w:rFonts w:ascii="Times New Roman" w:eastAsia="宋体" w:hAnsi="Times New Roman" w:hint="eastAsia"/>
        </w:rPr>
        <w:t>之间的值。与等比例调整不同的是，反稀释调整本质上是在低价轮中对原有股东的持股比例重新分配，被调整的优先股的持股比例将上升，而其他股份的持股比例则相应下降。显然，完全棘轮调整的调整力度更大，对优先股更为有利。</w:t>
      </w:r>
    </w:p>
    <w:p w14:paraId="0F308401" w14:textId="6FD8C7A1" w:rsidR="001B64EB" w:rsidRPr="00BB08CC" w:rsidRDefault="001B64EB" w:rsidP="00BB08CC">
      <w:pPr>
        <w:pStyle w:val="ListParagraph"/>
        <w:numPr>
          <w:ilvl w:val="0"/>
          <w:numId w:val="4"/>
        </w:numPr>
        <w:adjustRightInd w:val="0"/>
        <w:snapToGrid w:val="0"/>
        <w:spacing w:before="120" w:after="240" w:line="264" w:lineRule="auto"/>
        <w:ind w:left="0" w:firstLine="720"/>
        <w:contextualSpacing w:val="0"/>
        <w:jc w:val="both"/>
        <w:rPr>
          <w:rFonts w:ascii="Times New Roman" w:eastAsia="宋体" w:hAnsi="Times New Roman"/>
          <w:u w:val="single"/>
        </w:rPr>
      </w:pPr>
      <w:r w:rsidRPr="00BB08CC">
        <w:rPr>
          <w:rFonts w:ascii="Times New Roman" w:eastAsia="宋体" w:hAnsi="Times New Roman" w:hint="eastAsia"/>
          <w:u w:val="single"/>
        </w:rPr>
        <w:t>转换方式</w:t>
      </w:r>
    </w:p>
    <w:p w14:paraId="63FF0194" w14:textId="6A6F4F37" w:rsidR="001B64EB" w:rsidRDefault="001B64EB"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Pr>
          <w:rFonts w:ascii="Times New Roman" w:eastAsia="宋体" w:hAnsi="Times New Roman" w:hint="eastAsia"/>
        </w:rPr>
        <w:t>优先股对普通股的转换有两种方式，自愿转换（</w:t>
      </w:r>
      <w:r>
        <w:rPr>
          <w:rFonts w:ascii="Times New Roman" w:eastAsia="宋体" w:hAnsi="Times New Roman"/>
        </w:rPr>
        <w:t>optional conversion</w:t>
      </w:r>
      <w:r>
        <w:rPr>
          <w:rFonts w:ascii="Times New Roman" w:eastAsia="宋体" w:hAnsi="Times New Roman" w:hint="eastAsia"/>
        </w:rPr>
        <w:t>）和自动转换（</w:t>
      </w:r>
      <w:r>
        <w:rPr>
          <w:rFonts w:ascii="Times New Roman" w:eastAsia="宋体" w:hAnsi="Times New Roman" w:hint="eastAsia"/>
        </w:rPr>
        <w:t>automatic</w:t>
      </w:r>
      <w:r>
        <w:rPr>
          <w:rFonts w:ascii="Times New Roman" w:eastAsia="宋体" w:hAnsi="Times New Roman"/>
        </w:rPr>
        <w:t xml:space="preserve"> conversion</w:t>
      </w:r>
      <w:r>
        <w:rPr>
          <w:rFonts w:ascii="Times New Roman" w:eastAsia="宋体" w:hAnsi="Times New Roman" w:hint="eastAsia"/>
        </w:rPr>
        <w:t>）。</w:t>
      </w:r>
      <w:r w:rsidR="009B7893">
        <w:rPr>
          <w:rFonts w:ascii="Times New Roman" w:eastAsia="宋体" w:hAnsi="Times New Roman" w:hint="eastAsia"/>
        </w:rPr>
        <w:t>优先股股东可在任何时候将持有的优先股转换为普通股。</w:t>
      </w:r>
      <w:r w:rsidR="009B7893">
        <w:rPr>
          <w:rFonts w:ascii="Times New Roman" w:eastAsia="宋体" w:hAnsi="Times New Roman" w:hint="eastAsia"/>
        </w:rPr>
        <w:t xml:space="preserve"> </w:t>
      </w:r>
      <w:r w:rsidR="009B7893">
        <w:rPr>
          <w:rFonts w:ascii="Times New Roman" w:eastAsia="宋体" w:hAnsi="Times New Roman" w:hint="eastAsia"/>
        </w:rPr>
        <w:t>在发生</w:t>
      </w:r>
      <w:r w:rsidR="00B2158D">
        <w:rPr>
          <w:rFonts w:ascii="Times New Roman" w:eastAsia="宋体" w:hAnsi="Times New Roman" w:hint="eastAsia"/>
        </w:rPr>
        <w:t>符合要求</w:t>
      </w:r>
      <w:r w:rsidR="009B7893">
        <w:rPr>
          <w:rFonts w:ascii="Times New Roman" w:eastAsia="宋体" w:hAnsi="Times New Roman" w:hint="eastAsia"/>
        </w:rPr>
        <w:t>的</w:t>
      </w:r>
      <w:r w:rsidR="009B7893">
        <w:rPr>
          <w:rFonts w:ascii="Times New Roman" w:eastAsia="宋体" w:hAnsi="Times New Roman" w:hint="eastAsia"/>
        </w:rPr>
        <w:t>IPO</w:t>
      </w:r>
      <w:r w:rsidR="00B2158D">
        <w:rPr>
          <w:rFonts w:ascii="Times New Roman" w:eastAsia="宋体" w:hAnsi="Times New Roman" w:hint="eastAsia"/>
        </w:rPr>
        <w:t>（往往对</w:t>
      </w:r>
      <w:r w:rsidR="00434A58">
        <w:rPr>
          <w:rFonts w:ascii="Times New Roman" w:eastAsia="宋体" w:hAnsi="Times New Roman" w:hint="eastAsia"/>
        </w:rPr>
        <w:t>IPO</w:t>
      </w:r>
      <w:r w:rsidR="00434A58">
        <w:rPr>
          <w:rFonts w:ascii="Times New Roman" w:eastAsia="宋体" w:hAnsi="Times New Roman" w:hint="eastAsia"/>
        </w:rPr>
        <w:t>的发行价和发行规模有要求）</w:t>
      </w:r>
      <w:r w:rsidR="009B7893">
        <w:rPr>
          <w:rFonts w:ascii="Times New Roman" w:eastAsia="宋体" w:hAnsi="Times New Roman" w:hint="eastAsia"/>
        </w:rPr>
        <w:t>时，所有优先股将自动转换为优先股</w:t>
      </w:r>
      <w:r w:rsidR="009B7893">
        <w:rPr>
          <w:rFonts w:ascii="Times New Roman" w:eastAsia="宋体" w:hAnsi="Times New Roman" w:hint="eastAsia"/>
        </w:rPr>
        <w:t xml:space="preserve"> </w:t>
      </w:r>
      <w:r w:rsidR="009B7893">
        <w:rPr>
          <w:rFonts w:ascii="Times New Roman" w:eastAsia="宋体" w:hAnsi="Times New Roman" w:hint="eastAsia"/>
        </w:rPr>
        <w:t>（有时在获得优先股股东多数的书面同意后，优先股也会自动转换为普通股。</w:t>
      </w:r>
      <w:r w:rsidR="009B7893">
        <w:rPr>
          <w:rFonts w:ascii="Times New Roman" w:eastAsia="宋体" w:hAnsi="Times New Roman" w:hint="eastAsia"/>
        </w:rPr>
        <w:t xml:space="preserve"> </w:t>
      </w:r>
      <w:r w:rsidR="009B7893">
        <w:rPr>
          <w:rFonts w:ascii="Times New Roman" w:eastAsia="宋体" w:hAnsi="Times New Roman" w:hint="eastAsia"/>
        </w:rPr>
        <w:t>一方面，当优先股转换为普通股时</w:t>
      </w:r>
      <w:r w:rsidR="00B2158D">
        <w:rPr>
          <w:rFonts w:ascii="Times New Roman" w:eastAsia="宋体" w:hAnsi="Times New Roman" w:hint="eastAsia"/>
        </w:rPr>
        <w:t>会失去优先股的权利，在正常情况下，优先股股东不会在上市前自愿转换为普通股。另一方方面，优先股的存在会阻碍公司的上市，所以需要有自动转换机制。</w:t>
      </w:r>
    </w:p>
    <w:p w14:paraId="34A6245D" w14:textId="71C4FE0A" w:rsidR="00434A58" w:rsidRDefault="00434A58" w:rsidP="00BB08CC">
      <w:pPr>
        <w:pStyle w:val="ListParagraph"/>
        <w:numPr>
          <w:ilvl w:val="0"/>
          <w:numId w:val="10"/>
        </w:numPr>
        <w:adjustRightInd w:val="0"/>
        <w:snapToGrid w:val="0"/>
        <w:spacing w:before="120" w:after="240" w:line="264" w:lineRule="auto"/>
        <w:contextualSpacing w:val="0"/>
        <w:jc w:val="both"/>
        <w:rPr>
          <w:rFonts w:ascii="Times New Roman" w:eastAsia="宋体" w:hAnsi="Times New Roman"/>
        </w:rPr>
      </w:pPr>
      <w:r>
        <w:rPr>
          <w:rFonts w:ascii="Times New Roman" w:eastAsia="宋体" w:hAnsi="Times New Roman" w:hint="eastAsia"/>
          <w:b/>
        </w:rPr>
        <w:lastRenderedPageBreak/>
        <w:t>投票权</w:t>
      </w:r>
      <w:r w:rsidRPr="007B048B">
        <w:rPr>
          <w:rFonts w:ascii="Times New Roman" w:eastAsia="宋体" w:hAnsi="Times New Roman" w:hint="eastAsia"/>
          <w:bCs/>
        </w:rPr>
        <w:t>（</w:t>
      </w:r>
      <w:r w:rsidRPr="007B048B">
        <w:rPr>
          <w:rFonts w:ascii="Times New Roman" w:eastAsia="宋体" w:hAnsi="Times New Roman" w:hint="eastAsia"/>
        </w:rPr>
        <w:t>开源模板</w:t>
      </w:r>
      <w:r w:rsidRPr="007B048B">
        <w:rPr>
          <w:rFonts w:ascii="Times New Roman" w:eastAsia="宋体" w:hAnsi="Times New Roman" w:hint="eastAsia"/>
        </w:rPr>
        <w:t>MAA</w:t>
      </w:r>
      <w:r w:rsidRPr="007B048B">
        <w:rPr>
          <w:rFonts w:ascii="Times New Roman" w:eastAsia="宋体" w:hAnsi="Times New Roman" w:hint="eastAsia"/>
        </w:rPr>
        <w:t>第</w:t>
      </w:r>
      <w:r>
        <w:rPr>
          <w:rFonts w:ascii="Times New Roman" w:eastAsia="宋体" w:hAnsi="Times New Roman" w:hint="eastAsia"/>
        </w:rPr>
        <w:t>4</w:t>
      </w:r>
      <w:r w:rsidRPr="007B048B">
        <w:rPr>
          <w:rFonts w:ascii="Times New Roman" w:eastAsia="宋体" w:hAnsi="Times New Roman" w:hint="eastAsia"/>
        </w:rPr>
        <w:t>条</w:t>
      </w:r>
      <w:r w:rsidRPr="007B048B">
        <w:rPr>
          <w:rFonts w:ascii="Times New Roman" w:eastAsia="宋体" w:hAnsi="Times New Roman" w:hint="eastAsia"/>
        </w:rPr>
        <w:t xml:space="preserve"> </w:t>
      </w:r>
      <w:r>
        <w:rPr>
          <w:rFonts w:ascii="Times New Roman" w:eastAsia="宋体" w:hAnsi="Times New Roman" w:hint="eastAsia"/>
        </w:rPr>
        <w:t>Voting</w:t>
      </w:r>
      <w:r>
        <w:rPr>
          <w:rFonts w:ascii="Times New Roman" w:eastAsia="宋体" w:hAnsi="Times New Roman"/>
        </w:rPr>
        <w:t xml:space="preserve"> </w:t>
      </w:r>
      <w:r>
        <w:rPr>
          <w:rFonts w:ascii="Times New Roman" w:eastAsia="宋体" w:hAnsi="Times New Roman" w:hint="eastAsia"/>
        </w:rPr>
        <w:t>Rights</w:t>
      </w:r>
      <w:r w:rsidRPr="007B048B">
        <w:rPr>
          <w:rFonts w:ascii="Times New Roman" w:eastAsia="宋体" w:hAnsi="Times New Roman" w:hint="eastAsia"/>
        </w:rPr>
        <w:t>）</w:t>
      </w:r>
    </w:p>
    <w:p w14:paraId="377DEDDD" w14:textId="0758F017" w:rsidR="008906DD" w:rsidRPr="00434A58" w:rsidRDefault="00434A58" w:rsidP="00BB08CC">
      <w:pPr>
        <w:pStyle w:val="ListParagraph"/>
        <w:adjustRightInd w:val="0"/>
        <w:snapToGrid w:val="0"/>
        <w:spacing w:before="120" w:after="240" w:line="264" w:lineRule="auto"/>
        <w:ind w:left="0" w:firstLine="720"/>
        <w:contextualSpacing w:val="0"/>
        <w:jc w:val="both"/>
        <w:rPr>
          <w:rFonts w:ascii="Times New Roman" w:eastAsia="宋体" w:hAnsi="Times New Roman" w:hint="eastAsia"/>
        </w:rPr>
      </w:pPr>
      <w:r w:rsidRPr="00434A58">
        <w:rPr>
          <w:rFonts w:ascii="Times New Roman" w:eastAsia="宋体" w:hAnsi="Times New Roman" w:hint="eastAsia"/>
        </w:rPr>
        <w:t>每股优先股的投票权等于其可转换的普通股的股数。在股东投票时，</w:t>
      </w:r>
      <w:r w:rsidRPr="00434A58">
        <w:rPr>
          <w:rFonts w:ascii="Times New Roman" w:eastAsia="宋体" w:hAnsi="Times New Roman" w:hint="eastAsia"/>
        </w:rPr>
        <w:t>优先股与普通股的票数合并计算</w:t>
      </w:r>
      <w:r w:rsidRPr="00434A58">
        <w:rPr>
          <w:rFonts w:ascii="Times New Roman" w:eastAsia="宋体" w:hAnsi="Times New Roman" w:hint="eastAsia"/>
        </w:rPr>
        <w:t>，除非章程与法律有</w:t>
      </w:r>
      <w:r w:rsidR="00566955">
        <w:rPr>
          <w:rFonts w:ascii="Times New Roman" w:eastAsia="宋体" w:hAnsi="Times New Roman" w:hint="eastAsia"/>
        </w:rPr>
        <w:t>特定</w:t>
      </w:r>
      <w:r w:rsidRPr="00434A58">
        <w:rPr>
          <w:rFonts w:ascii="Times New Roman" w:eastAsia="宋体" w:hAnsi="Times New Roman" w:hint="eastAsia"/>
        </w:rPr>
        <w:t>要求某一类型的股份的票数单独计算，</w:t>
      </w:r>
      <w:r w:rsidRPr="00434A58">
        <w:rPr>
          <w:rFonts w:ascii="Times New Roman" w:eastAsia="宋体" w:hAnsi="Times New Roman" w:hint="eastAsia"/>
        </w:rPr>
        <w:t xml:space="preserve"> </w:t>
      </w:r>
    </w:p>
    <w:p w14:paraId="6CB8D02D" w14:textId="58CB3BAD" w:rsidR="005232FF" w:rsidRPr="007B048B" w:rsidRDefault="005232FF" w:rsidP="00BB08CC">
      <w:pPr>
        <w:adjustRightInd w:val="0"/>
        <w:snapToGrid w:val="0"/>
        <w:spacing w:before="120" w:after="240" w:line="264" w:lineRule="auto"/>
        <w:ind w:firstLine="720"/>
        <w:jc w:val="both"/>
        <w:rPr>
          <w:rFonts w:ascii="Times New Roman" w:eastAsia="宋体" w:hAnsi="Times New Roman" w:hint="eastAsia"/>
        </w:rPr>
      </w:pPr>
      <w:r w:rsidRPr="007B048B">
        <w:rPr>
          <w:rFonts w:ascii="Times New Roman" w:eastAsia="宋体" w:hAnsi="Times New Roman" w:hint="eastAsia"/>
        </w:rPr>
        <w:t>（对</w:t>
      </w:r>
      <w:r w:rsidR="00BB08CC">
        <w:rPr>
          <w:rFonts w:ascii="Times New Roman" w:eastAsia="宋体" w:hAnsi="Times New Roman" w:hint="eastAsia"/>
        </w:rPr>
        <w:t>MA</w:t>
      </w:r>
      <w:r w:rsidRPr="007B048B">
        <w:rPr>
          <w:rFonts w:ascii="Times New Roman" w:eastAsia="宋体" w:hAnsi="Times New Roman"/>
        </w:rPr>
        <w:t>A</w:t>
      </w:r>
      <w:r w:rsidRPr="007B048B">
        <w:rPr>
          <w:rFonts w:ascii="Times New Roman" w:eastAsia="宋体" w:hAnsi="Times New Roman" w:hint="eastAsia"/>
        </w:rPr>
        <w:t>具体内容的注释请见内文脚注）</w:t>
      </w:r>
    </w:p>
    <w:p w14:paraId="2185091E" w14:textId="697DBB7E" w:rsidR="005475FF" w:rsidRPr="005232FF" w:rsidRDefault="005475FF" w:rsidP="005232FF">
      <w:pPr>
        <w:rPr>
          <w:rFonts w:ascii="宋体" w:eastAsia="宋体" w:hAnsi="宋体" w:hint="eastAsia"/>
        </w:rPr>
      </w:pPr>
    </w:p>
    <w:p w14:paraId="28DF168E" w14:textId="1170FC83" w:rsidR="00EB5FD0" w:rsidRDefault="00EB5FD0" w:rsidP="00325CE4">
      <w:pPr>
        <w:pStyle w:val="ListParagraph"/>
        <w:ind w:left="0" w:firstLine="720"/>
        <w:rPr>
          <w:rFonts w:ascii="宋体" w:eastAsia="宋体" w:hAnsi="宋体"/>
        </w:rPr>
      </w:pPr>
    </w:p>
    <w:p w14:paraId="6387396E" w14:textId="77777777" w:rsidR="009A3DB7" w:rsidRPr="008D5B76" w:rsidRDefault="009A3DB7" w:rsidP="008D5B76">
      <w:pPr>
        <w:rPr>
          <w:rFonts w:ascii="宋体" w:eastAsia="宋体" w:hAnsi="宋体"/>
        </w:rPr>
      </w:pPr>
    </w:p>
    <w:sectPr w:rsidR="009A3DB7" w:rsidRPr="008D5B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03EDD" w14:textId="77777777" w:rsidR="003E50AC" w:rsidRDefault="003E50AC" w:rsidP="00611858">
      <w:pPr>
        <w:spacing w:after="0" w:line="240" w:lineRule="auto"/>
      </w:pPr>
      <w:r>
        <w:separator/>
      </w:r>
    </w:p>
  </w:endnote>
  <w:endnote w:type="continuationSeparator" w:id="0">
    <w:p w14:paraId="1C3CC7E2" w14:textId="77777777" w:rsidR="003E50AC" w:rsidRDefault="003E50AC" w:rsidP="0061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C512E" w14:textId="77777777" w:rsidR="003E50AC" w:rsidRDefault="003E50AC" w:rsidP="00611858">
      <w:pPr>
        <w:spacing w:after="0" w:line="240" w:lineRule="auto"/>
      </w:pPr>
      <w:r>
        <w:separator/>
      </w:r>
    </w:p>
  </w:footnote>
  <w:footnote w:type="continuationSeparator" w:id="0">
    <w:p w14:paraId="36AF0E29" w14:textId="77777777" w:rsidR="003E50AC" w:rsidRDefault="003E50AC" w:rsidP="00611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75DB0"/>
    <w:multiLevelType w:val="hybridMultilevel"/>
    <w:tmpl w:val="F2F8C054"/>
    <w:name w:val="LegalAgreementStyle2"/>
    <w:lvl w:ilvl="0" w:tplc="B252A4A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B732B"/>
    <w:multiLevelType w:val="hybridMultilevel"/>
    <w:tmpl w:val="5624FADC"/>
    <w:lvl w:ilvl="0" w:tplc="F27C3FB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07561"/>
    <w:multiLevelType w:val="hybridMultilevel"/>
    <w:tmpl w:val="914C726A"/>
    <w:lvl w:ilvl="0" w:tplc="99AE50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A21"/>
    <w:multiLevelType w:val="hybridMultilevel"/>
    <w:tmpl w:val="29CA86E8"/>
    <w:lvl w:ilvl="0" w:tplc="D52ECB38">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4408"/>
    <w:multiLevelType w:val="hybridMultilevel"/>
    <w:tmpl w:val="914C726A"/>
    <w:lvl w:ilvl="0" w:tplc="99AE50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C3F02"/>
    <w:multiLevelType w:val="hybridMultilevel"/>
    <w:tmpl w:val="914C726A"/>
    <w:lvl w:ilvl="0" w:tplc="99AE50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90261"/>
    <w:multiLevelType w:val="hybridMultilevel"/>
    <w:tmpl w:val="914C726A"/>
    <w:lvl w:ilvl="0" w:tplc="99AE50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33C60"/>
    <w:multiLevelType w:val="hybridMultilevel"/>
    <w:tmpl w:val="FA7E78CA"/>
    <w:lvl w:ilvl="0" w:tplc="B252A4A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C60BE"/>
    <w:multiLevelType w:val="hybridMultilevel"/>
    <w:tmpl w:val="63647BCE"/>
    <w:lvl w:ilvl="0" w:tplc="1C8683F8">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92380"/>
    <w:multiLevelType w:val="hybridMultilevel"/>
    <w:tmpl w:val="29CA86E8"/>
    <w:lvl w:ilvl="0" w:tplc="D52ECB38">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6"/>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E2"/>
    <w:rsid w:val="00060891"/>
    <w:rsid w:val="00071D30"/>
    <w:rsid w:val="00080A45"/>
    <w:rsid w:val="00081CCB"/>
    <w:rsid w:val="000959F4"/>
    <w:rsid w:val="000A68F0"/>
    <w:rsid w:val="000D23E3"/>
    <w:rsid w:val="000F60DB"/>
    <w:rsid w:val="00103AE2"/>
    <w:rsid w:val="0018034A"/>
    <w:rsid w:val="00191932"/>
    <w:rsid w:val="00192C63"/>
    <w:rsid w:val="001B64EB"/>
    <w:rsid w:val="00200B0D"/>
    <w:rsid w:val="002041D1"/>
    <w:rsid w:val="0023394C"/>
    <w:rsid w:val="00236408"/>
    <w:rsid w:val="002A303C"/>
    <w:rsid w:val="002B39B9"/>
    <w:rsid w:val="002E0D22"/>
    <w:rsid w:val="002F373D"/>
    <w:rsid w:val="00317F94"/>
    <w:rsid w:val="00325CE4"/>
    <w:rsid w:val="00336B65"/>
    <w:rsid w:val="00351D74"/>
    <w:rsid w:val="00362204"/>
    <w:rsid w:val="00374E16"/>
    <w:rsid w:val="00383B4C"/>
    <w:rsid w:val="003C147D"/>
    <w:rsid w:val="003C6DE8"/>
    <w:rsid w:val="003E1284"/>
    <w:rsid w:val="003E50AC"/>
    <w:rsid w:val="00434A58"/>
    <w:rsid w:val="00435663"/>
    <w:rsid w:val="00477BF2"/>
    <w:rsid w:val="004C0CF0"/>
    <w:rsid w:val="004D138C"/>
    <w:rsid w:val="005037A1"/>
    <w:rsid w:val="005208DD"/>
    <w:rsid w:val="005232FF"/>
    <w:rsid w:val="005357B4"/>
    <w:rsid w:val="005475FF"/>
    <w:rsid w:val="00566955"/>
    <w:rsid w:val="00577436"/>
    <w:rsid w:val="00592F57"/>
    <w:rsid w:val="005941C1"/>
    <w:rsid w:val="005D57C0"/>
    <w:rsid w:val="005F427E"/>
    <w:rsid w:val="005F56C9"/>
    <w:rsid w:val="00611858"/>
    <w:rsid w:val="006245C5"/>
    <w:rsid w:val="0064461D"/>
    <w:rsid w:val="00674335"/>
    <w:rsid w:val="00683951"/>
    <w:rsid w:val="006878DF"/>
    <w:rsid w:val="00697CE5"/>
    <w:rsid w:val="006C0FF5"/>
    <w:rsid w:val="006F511F"/>
    <w:rsid w:val="00713DF1"/>
    <w:rsid w:val="00726871"/>
    <w:rsid w:val="00741C28"/>
    <w:rsid w:val="007B048B"/>
    <w:rsid w:val="007D48B1"/>
    <w:rsid w:val="007F497E"/>
    <w:rsid w:val="00814BC0"/>
    <w:rsid w:val="008314A4"/>
    <w:rsid w:val="00833E95"/>
    <w:rsid w:val="00835EC5"/>
    <w:rsid w:val="008416C2"/>
    <w:rsid w:val="00877112"/>
    <w:rsid w:val="008906DD"/>
    <w:rsid w:val="008916CE"/>
    <w:rsid w:val="008D5B76"/>
    <w:rsid w:val="008F0759"/>
    <w:rsid w:val="00926EB9"/>
    <w:rsid w:val="009407ED"/>
    <w:rsid w:val="00967948"/>
    <w:rsid w:val="00974761"/>
    <w:rsid w:val="009A3DB7"/>
    <w:rsid w:val="009B7893"/>
    <w:rsid w:val="009D7E56"/>
    <w:rsid w:val="009E2265"/>
    <w:rsid w:val="009F4798"/>
    <w:rsid w:val="00A272CF"/>
    <w:rsid w:val="00A40652"/>
    <w:rsid w:val="00A56EA2"/>
    <w:rsid w:val="00A61AFB"/>
    <w:rsid w:val="00A8692F"/>
    <w:rsid w:val="00A86C37"/>
    <w:rsid w:val="00A97389"/>
    <w:rsid w:val="00AF5A6D"/>
    <w:rsid w:val="00AF6EC6"/>
    <w:rsid w:val="00B12190"/>
    <w:rsid w:val="00B2158D"/>
    <w:rsid w:val="00B54998"/>
    <w:rsid w:val="00B55DC2"/>
    <w:rsid w:val="00B830DE"/>
    <w:rsid w:val="00B914DA"/>
    <w:rsid w:val="00BB08CC"/>
    <w:rsid w:val="00BE093E"/>
    <w:rsid w:val="00BE1CAB"/>
    <w:rsid w:val="00BF4044"/>
    <w:rsid w:val="00C12626"/>
    <w:rsid w:val="00C27C76"/>
    <w:rsid w:val="00C47200"/>
    <w:rsid w:val="00C6293F"/>
    <w:rsid w:val="00C63B58"/>
    <w:rsid w:val="00C7296B"/>
    <w:rsid w:val="00CC4F3D"/>
    <w:rsid w:val="00D14A39"/>
    <w:rsid w:val="00D27605"/>
    <w:rsid w:val="00D320AF"/>
    <w:rsid w:val="00D53990"/>
    <w:rsid w:val="00D73B57"/>
    <w:rsid w:val="00DE1453"/>
    <w:rsid w:val="00E073D0"/>
    <w:rsid w:val="00E16EFB"/>
    <w:rsid w:val="00E23463"/>
    <w:rsid w:val="00E64B0E"/>
    <w:rsid w:val="00E75416"/>
    <w:rsid w:val="00E90853"/>
    <w:rsid w:val="00EA376A"/>
    <w:rsid w:val="00EB2BFE"/>
    <w:rsid w:val="00EB5FD0"/>
    <w:rsid w:val="00ED1095"/>
    <w:rsid w:val="00EE3BAF"/>
    <w:rsid w:val="00F00BA9"/>
    <w:rsid w:val="00F07303"/>
    <w:rsid w:val="00F11A67"/>
    <w:rsid w:val="00F25E6B"/>
    <w:rsid w:val="00FC1908"/>
    <w:rsid w:val="00FC5B71"/>
    <w:rsid w:val="00FC5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0B5E1"/>
  <w15:chartTrackingRefBased/>
  <w15:docId w15:val="{5E15B724-93C4-4362-9866-B049258E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E2"/>
    <w:pPr>
      <w:ind w:left="720"/>
      <w:contextualSpacing/>
    </w:pPr>
  </w:style>
  <w:style w:type="paragraph" w:styleId="Header">
    <w:name w:val="header"/>
    <w:basedOn w:val="Normal"/>
    <w:link w:val="HeaderChar"/>
    <w:uiPriority w:val="99"/>
    <w:unhideWhenUsed/>
    <w:rsid w:val="006118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1858"/>
  </w:style>
  <w:style w:type="paragraph" w:styleId="Footer">
    <w:name w:val="footer"/>
    <w:basedOn w:val="Normal"/>
    <w:link w:val="FooterChar"/>
    <w:uiPriority w:val="99"/>
    <w:unhideWhenUsed/>
    <w:rsid w:val="006118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1858"/>
  </w:style>
  <w:style w:type="paragraph" w:styleId="BalloonText">
    <w:name w:val="Balloon Text"/>
    <w:basedOn w:val="Normal"/>
    <w:link w:val="BalloonTextChar"/>
    <w:uiPriority w:val="99"/>
    <w:semiHidden/>
    <w:unhideWhenUsed/>
    <w:rsid w:val="00A86C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C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Kaichen Xu</dc:creator>
  <cp:keywords/>
  <dc:description/>
  <cp:lastModifiedBy>Kaichen Xu</cp:lastModifiedBy>
  <cp:revision>2</cp:revision>
  <dcterms:created xsi:type="dcterms:W3CDTF">2019-12-06T08:54:00Z</dcterms:created>
  <dcterms:modified xsi:type="dcterms:W3CDTF">2019-12-06T08:54:00Z</dcterms:modified>
</cp:coreProperties>
</file>