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Komunikacja z dźwigiem: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orzeczenie + podmiot + okolicznik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Przedmioty: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skrzynia, kontener, </w:t>
      </w:r>
      <w:r w:rsidDel="00000000" w:rsidR="00000000" w:rsidRPr="00000000">
        <w:rPr>
          <w:color w:val="00ff00"/>
          <w:rtl w:val="0"/>
        </w:rPr>
        <w:t xml:space="preserve">samochód</w:t>
      </w:r>
      <w:r w:rsidDel="00000000" w:rsidR="00000000" w:rsidRPr="00000000">
        <w:rPr>
          <w:rtl w:val="0"/>
        </w:rPr>
        <w:t xml:space="preserve">, beczka, karton, drzwi, okno, piłka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wg mnie powinniśmy mieć przedmioty mniej więcej tych samych rozmiarów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Kolory: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niebieski, zielony, czerwony, czarny, fioletowy, szary, granatowy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podnieś() - podnosi przedmiot nad którym “stoi” (? - już coś trzymam)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podnieś( kolor, przedmiot) - podnosi zdefiniowany przedmiot (? - nie ma takiego przedmiotu)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podnieś(przedmiot) - (? - jeśli &gt;1 to jakiego koloru)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odłóż()- odkłada w miejsce nad którym “stoi” (? - nic nie trzymam)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połóż obok (kolor, przedmiot) - odkłada obok przedmiotu (? - po której stronie)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połóż obok (przedmiot) - (? - jeśli &gt;1 to jakiego koloru)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//opcjonalnie na koniec: przenieś(przedmiot1, kolor1, przedmiot2, kolor2) i wszystkie inne możliwe przeładowania tej funkcji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Przyimki: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lewo, lewej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prawo, prawej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pod, przed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nad, 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na (możliwość układania w stos np. kontenerów)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(podnieś, obok)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beczkę, beczki, beczką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karton, kartonu, kartonem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drzwi, drzwiami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okno, okna,oknem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skrzynię, skrzyni, skrzynią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kontener, kontenera, kontenerem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piłkę, piłki, piłką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*w zasadzie każdy przedmiot będzie trzeba odmienić przez wszystkie przypadki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(kontener, skrzynię, okno, okna, skrzyni, drzwi)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niebieski, niebieską, niebieskie, niebieskiego, niebieskiej, niebieskich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zielony, zieloną, zielone, zielonego, zielonej, zielonych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czerwony, czerwoną, czerwone, czerwonego, czerwonej, czerwonych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czarny, czarną, czarne, czarnego, czarnej, czarnych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fioletowy, fioletową, fioletowe, fioletowego, fioletowej, fioletowych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szary, szarą, szare, szarego, szarej, szarych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granatowy, granatową, granatowe, granatowego, granatowej, granatowych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