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дорожная-карта-и-план-проекта"/>
      <w:r>
        <w:t xml:space="preserve">Дорожная карта и план проекта</w:t>
      </w:r>
      <w:bookmarkEnd w:id="20"/>
    </w:p>
    <w:p>
      <w:pPr>
        <w:pStyle w:val="FirstParagraph"/>
      </w:pPr>
      <w:r>
        <w:rPr>
          <w:b/>
        </w:rPr>
        <w:t xml:space="preserve">Проект:</w:t>
      </w:r>
      <w:r>
        <w:t xml:space="preserve"> </w:t>
      </w:r>
      <w:r>
        <w:t xml:space="preserve">«Сквозной учёт» — контроль исполнения капитальных вложений</w:t>
      </w:r>
      <w:r>
        <w:t xml:space="preserve"> </w:t>
      </w:r>
      <w:r>
        <w:rPr>
          <w:b/>
        </w:rPr>
        <w:t xml:space="preserve">Версия:</w:t>
      </w:r>
      <w:r>
        <w:t xml:space="preserve"> </w:t>
      </w:r>
      <w:r>
        <w:t xml:space="preserve">2.0 ·</w:t>
      </w:r>
      <w:r>
        <w:t xml:space="preserve"> </w:t>
      </w:r>
      <w:r>
        <w:rPr>
          <w:b/>
        </w:rPr>
        <w:t xml:space="preserve">Дата:</w:t>
      </w:r>
      <w:r>
        <w:t xml:space="preserve"> </w:t>
      </w:r>
      <w:r>
        <w:t xml:space="preserve">25.07.2026 · Горизонт: 24–30 месяцев до тиражируемого продукта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стратегия-якорный-клиент-продукт"/>
      <w:r>
        <w:t xml:space="preserve">1. Стратегия: якорный клиент → продукт</w:t>
      </w:r>
      <w:bookmarkEnd w:id="21"/>
    </w:p>
    <w:p>
      <w:pPr>
        <w:pStyle w:val="FirstParagraph"/>
      </w:pPr>
      <w:r>
        <w:t xml:space="preserve">Это стартап, но идущий не через продажу до продукта, а через</w:t>
      </w:r>
      <w:r>
        <w:t xml:space="preserve"> </w:t>
      </w:r>
      <w:r>
        <w:rPr>
          <w:b/>
        </w:rPr>
        <w:t xml:space="preserve">якорного клиента</w:t>
      </w:r>
      <w:r>
        <w:t xml:space="preserve">. Единственный жизнеспособный путь: внедрить внутри одного оператора, получить измеренный результат и только потом продуктизировать.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Этап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Что происходит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Горизонт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Якорный клиент</w:t>
            </w:r>
          </w:p>
        </w:tc>
        <w:tc>
          <w:p>
            <w:pPr>
              <w:pStyle w:val="Compact"/>
              <w:jc w:val="left"/>
            </w:pPr>
            <w:r>
              <w:t xml:space="preserve">Внедрение у одного оператора. Цель — не продукт, а</w:t>
            </w:r>
            <w:r>
              <w:t xml:space="preserve"> </w:t>
            </w:r>
            <w:r>
              <w:rPr>
                <w:b/>
              </w:rPr>
              <w:t xml:space="preserve">измеренный результат</w:t>
            </w:r>
          </w:p>
        </w:tc>
        <w:tc>
          <w:p>
            <w:pPr>
              <w:pStyle w:val="Compact"/>
              <w:jc w:val="left"/>
            </w:pPr>
            <w:r>
              <w:t xml:space="preserve">9–12 мес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Обобщение</w:t>
            </w:r>
          </w:p>
        </w:tc>
        <w:tc>
          <w:p>
            <w:pPr>
              <w:pStyle w:val="Compact"/>
              <w:jc w:val="left"/>
            </w:pPr>
            <w:r>
              <w:t xml:space="preserve">Отделение специфики оператора от универсального ядра, появляется настраиваемость</w:t>
            </w:r>
          </w:p>
        </w:tc>
        <w:tc>
          <w:p>
            <w:pPr>
              <w:pStyle w:val="Compact"/>
              <w:jc w:val="left"/>
            </w:pPr>
            <w:r>
              <w:t xml:space="preserve">+6 мес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Второй клиент</w:t>
            </w:r>
          </w:p>
        </w:tc>
        <w:tc>
          <w:p>
            <w:pPr>
              <w:pStyle w:val="Compact"/>
              <w:jc w:val="left"/>
            </w:pPr>
            <w:r>
              <w:t xml:space="preserve">Первое внешнее внедрение. Проверка переносимости</w:t>
            </w:r>
          </w:p>
        </w:tc>
        <w:tc>
          <w:p>
            <w:pPr>
              <w:pStyle w:val="Compact"/>
              <w:jc w:val="left"/>
            </w:pPr>
            <w:r>
              <w:t xml:space="preserve">+6–9 мес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Продукт</w:t>
            </w:r>
          </w:p>
        </w:tc>
        <w:tc>
          <w:p>
            <w:pPr>
              <w:pStyle w:val="Compact"/>
              <w:jc w:val="left"/>
            </w:pPr>
            <w:r>
              <w:t xml:space="preserve">Тиражируемое решение с моделью лицензирования</w:t>
            </w:r>
          </w:p>
        </w:tc>
        <w:tc>
          <w:p>
            <w:pPr>
              <w:pStyle w:val="Compact"/>
              <w:jc w:val="left"/>
            </w:pPr>
            <w:r>
              <w:t xml:space="preserve">24–30 мес от старта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</w:rPr>
        <w:t xml:space="preserve">Коммерческий риск №1, снимаемый на первой неделе: права на интеллектуальную собственность.</w:t>
      </w:r>
      <w:r>
        <w:t xml:space="preserve"> </w:t>
      </w:r>
      <w:r>
        <w:t xml:space="preserve">Если продукт разрабатывается в рабочее время, на инфраструктуре работодателя и на его данных — по умолчанию он принадлежит работодателю. Варианты: внутренний венчур с долей; лицензионное соглашение; разделение на «внедрение у оператора» (его) и «продуктовое ядро» (ваше). Это юридический вопрос, решаемый письменно и заранее.</w:t>
      </w:r>
    </w:p>
    <w:p>
      <w:pPr>
        <w:pStyle w:val="Heading2"/>
      </w:pPr>
      <w:bookmarkStart w:id="22" w:name="общая-логика-последовательности"/>
      <w:r>
        <w:t xml:space="preserve">2. Общая логика последовательности</w:t>
      </w:r>
      <w:bookmarkEnd w:id="22"/>
    </w:p>
    <w:p>
      <w:pPr>
        <w:pStyle w:val="FirstParagraph"/>
      </w:pPr>
      <w:r>
        <w:rPr>
          <w:b/>
        </w:rPr>
        <w:t xml:space="preserve">Сначала достоверность, потом оптимизация. Сначала реестр, потом контроль поля, потом компьютерное зрение.</w:t>
      </w:r>
    </w:p>
    <w:p>
      <w:pPr>
        <w:pStyle w:val="BodyText"/>
      </w:pPr>
      <w:r>
        <w:t xml:space="preserve">Ценность распределена обратно пропорционально технологической привлекательности: скучный реестр и сверка дают около двух третей эффекта, эффектное компьютерное зрение — около десятой части. Оптимизировать закупку по недостоверным данным о наличии — значит получить формально красивый расчёт с неверным результатом и потерять доверие на первом же пилоте.</w:t>
      </w:r>
    </w:p>
    <w:p>
      <w:pPr>
        <w:pStyle w:val="Heading3"/>
      </w:pPr>
      <w:bookmarkStart w:id="23" w:name="две-шкалы-определяющие-очерёдность"/>
      <w:r>
        <w:t xml:space="preserve">2.1. Две шкалы, определяющие очерёдность</w:t>
      </w:r>
      <w:bookmarkEnd w:id="23"/>
    </w:p>
    <w:p>
      <w:pPr>
        <w:pStyle w:val="FirstParagraph"/>
      </w:pPr>
      <w:r>
        <w:t xml:space="preserve">Внутри этой логики работает второе правило, вытекающее из устройства трёх контуров:</w:t>
      </w:r>
      <w:r>
        <w:t xml:space="preserve"> </w:t>
      </w:r>
      <w:r>
        <w:rPr>
          <w:b/>
        </w:rPr>
        <w:t xml:space="preserve">где больше всего денег, там дольше всего наводить порядок</w:t>
      </w:r>
      <w:r>
        <w:t xml:space="preserve">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Контур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Доля денег [Оценка]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Срок до прозрачности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Очередь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 оператора</w:t>
            </w:r>
          </w:p>
        </w:tc>
        <w:tc>
          <w:p>
            <w:pPr>
              <w:pStyle w:val="Compact"/>
              <w:jc w:val="left"/>
            </w:pPr>
            <w:r>
              <w:t xml:space="preserve">15–20%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Быстрая победа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Склад подрядчика</w:t>
            </w:r>
          </w:p>
        </w:tc>
        <w:tc>
          <w:p>
            <w:pPr>
              <w:pStyle w:val="Compact"/>
              <w:jc w:val="left"/>
            </w:pPr>
            <w:r>
              <w:t xml:space="preserve">15–20% по учёту</w:t>
            </w:r>
          </w:p>
        </w:tc>
        <w:tc>
          <w:p>
            <w:pPr>
              <w:pStyle w:val="Compact"/>
              <w:jc w:val="left"/>
            </w:pPr>
            <w:r>
              <w:t xml:space="preserve">Недели, затем месяцы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Быстрая, затем средняя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Площадка, активное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Недели — сверка с сетью без выездов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Быстрая победа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Площадка, пассивное оборудование</w:t>
            </w:r>
          </w:p>
        </w:tc>
        <w:tc>
          <w:p>
            <w:pPr>
              <w:pStyle w:val="Compact"/>
              <w:jc w:val="left"/>
            </w:pPr>
            <w:r>
              <w:t xml:space="preserve">основная часть от 60–70%</w:t>
            </w:r>
          </w:p>
        </w:tc>
        <w:tc>
          <w:p>
            <w:pPr>
              <w:pStyle w:val="Compact"/>
              <w:jc w:val="left"/>
            </w:pPr>
            <w:r>
              <w:t xml:space="preserve">Месяцы и годы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Долгая победа</w:t>
            </w:r>
          </w:p>
        </w:tc>
      </w:tr>
    </w:tbl>
    <w:p>
      <w:pPr>
        <w:pStyle w:val="BodyText"/>
      </w:pPr>
      <w:r>
        <w:rPr>
          <w:b/>
        </w:rPr>
        <w:t xml:space="preserve">Практический вывод.</w:t>
      </w:r>
      <w:r>
        <w:t xml:space="preserve"> </w:t>
      </w:r>
      <w:r>
        <w:t xml:space="preserve">Начинаем с трёх быстрых побед одновременно: сверка складов между финансовой и складской системами, сверка активного оборудования площадок с сетевой системой, отчёт о разрыве между работой в сети и признанием в учёте. Пассивная инфраструктура площадок — самая дорогая и самая медленная — идёт последней.</w:t>
      </w:r>
    </w:p>
    <w:p>
      <w:pPr>
        <w:pStyle w:val="BodyText"/>
      </w:pPr>
      <w:r>
        <w:rPr>
          <w:b/>
        </w:rPr>
        <w:t xml:space="preserve">Ошибка, которой это помогает избежать.</w:t>
      </w:r>
      <w:r>
        <w:t xml:space="preserve"> </w:t>
      </w:r>
      <w:r>
        <w:t xml:space="preserve">Соблазн начать с площадок понятен: там лежит основная сумма. Но пассивная инфраструктура не даёт результата раньше чем через год, и весь этот год проект нечем защищать перед спонсором. Быстрые победы дают результат за квартал и покупают время для долгих.</w:t>
      </w:r>
    </w:p>
    <w:p>
      <w:pPr>
        <w:pStyle w:val="Heading3"/>
      </w:pPr>
      <w:bookmarkStart w:id="24" w:name="X3d885e3fa4d02e3e0841832131144ea38b6930e"/>
      <w:r>
        <w:t xml:space="preserve">2.2. Граница по дате внедрения для пассивной инфраструктуры</w:t>
      </w:r>
      <w:bookmarkEnd w:id="24"/>
    </w:p>
    <w:p>
      <w:pPr>
        <w:pStyle w:val="FirstParagraph"/>
      </w:pPr>
      <w:r>
        <w:t xml:space="preserve">Отдельное правило, радикально сокращающее объём первой версии.</w:t>
      </w:r>
    </w:p>
    <w:p>
      <w:pPr>
        <w:pStyle w:val="BodyText"/>
      </w:pPr>
      <w:r>
        <w:t xml:space="preserve">Пассивная несерийная номенклатура разделяется на</w:t>
      </w:r>
      <w:r>
        <w:t xml:space="preserve"> </w:t>
      </w:r>
      <w:r>
        <w:rPr>
          <w:b/>
        </w:rPr>
        <w:t xml:space="preserve">унаследованную</w:t>
      </w:r>
      <w:r>
        <w:t xml:space="preserve"> </w:t>
      </w:r>
      <w:r>
        <w:t xml:space="preserve">(смонтирована до внедрения) и</w:t>
      </w:r>
      <w:r>
        <w:t xml:space="preserve"> </w:t>
      </w:r>
      <w:r>
        <w:rPr>
          <w:b/>
        </w:rPr>
        <w:t xml:space="preserve">новую</w:t>
      </w:r>
      <w:r>
        <w:t xml:space="preserve"> </w:t>
      </w:r>
      <w:r>
        <w:t xml:space="preserve">(выходит со склада после внедрения). Восстанавливать состав унаследованной задним числом почти невозможно — она не серийная, не видна в сети и физически недоступна. Новая проходит через контролируемую точку: приёмку на склад и выдачу подрядчику.</w:t>
      </w:r>
    </w:p>
    <w:p>
      <w:pPr>
        <w:pStyle w:val="BodyText"/>
      </w:pPr>
      <w:r>
        <w:rPr>
          <w:b/>
        </w:rPr>
        <w:t xml:space="preserve">Решение: не пытаться восстановить историю.</w:t>
      </w:r>
      <w:r>
        <w:t xml:space="preserve"> </w:t>
      </w:r>
      <w:r>
        <w:t xml:space="preserve">Всё, что проходит через склад после даты внедрения, учитывается корректно с первого дня. Унаследованное восстанавливается постепенно, выборочно и по мере необходимости — в фазе 3 и позже.</w:t>
      </w:r>
    </w:p>
    <w:p>
      <w:pPr>
        <w:pStyle w:val="SourceCode"/>
      </w:pPr>
      <w:r>
        <w:rPr>
          <w:rStyle w:val="VerbatimChar"/>
        </w:rPr>
        <w:t xml:space="preserve">Фаза 0            Фаза 1          Фаза 2            Фаза 3           Фаза 4</w:t>
      </w:r>
      <w:r>
        <w:br/>
      </w:r>
      <w:r>
        <w:rPr>
          <w:rStyle w:val="VerbatimChar"/>
        </w:rPr>
        <w:t xml:space="preserve">обследование  →   первая версия → масштабирование → автоматизация →  продукт</w:t>
      </w:r>
      <w:r>
        <w:br/>
      </w:r>
      <w:r>
        <w:rPr>
          <w:rStyle w:val="VerbatimChar"/>
        </w:rPr>
        <w:t xml:space="preserve">4–6 недель        12–16 недель    4–6 месяцев       6+ месяцев       параллельно</w:t>
      </w:r>
      <w:r>
        <w:br/>
      </w:r>
      <w:r>
        <w:rPr>
          <w:rStyle w:val="VerbatimChar"/>
        </w:rPr>
        <w:t xml:space="preserve">   ↓                  ↓                ↓                 ↓</w:t>
      </w:r>
      <w:r>
        <w:br/>
      </w:r>
      <w:r>
        <w:rPr>
          <w:rStyle w:val="VerbatimChar"/>
        </w:rPr>
        <w:t xml:space="preserve"> ГЕЙТ 0            ГЕЙТ 1           ГЕЙТ 2</w:t>
      </w:r>
      <w:r>
        <w:br/>
      </w:r>
      <w:r>
        <w:rPr>
          <w:rStyle w:val="VerbatimChar"/>
        </w:rPr>
        <w:t xml:space="preserve"> останов          останов</w:t>
      </w:r>
      <w:r>
        <w:br/>
      </w:r>
      <w:r>
        <w:rPr>
          <w:rStyle w:val="VerbatimChar"/>
        </w:rPr>
        <w:t xml:space="preserve"> возможен         возможен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bd1f583115a0b62ca2c7ab0dff09009cdb668f9"/>
      <w:r>
        <w:t xml:space="preserve">3. Фаза 0 · Обследование и базовая линия (4–6 недель)</w:t>
      </w:r>
      <w:bookmarkEnd w:id="25"/>
    </w:p>
    <w:p>
      <w:pPr>
        <w:pStyle w:val="FirstParagraph"/>
      </w:pPr>
      <w:r>
        <w:rPr>
          <w:b/>
        </w:rPr>
        <w:t xml:space="preserve">Главный результат фазы: доказанная или опровергнутая экономика проекта.</w:t>
      </w:r>
      <w:r>
        <w:t xml:space="preserve"> </w:t>
      </w:r>
      <w:r>
        <w:t xml:space="preserve">Не презентация, не концепция — измеренные цифры.</w:t>
      </w:r>
    </w:p>
    <w:p>
      <w:pPr>
        <w:pStyle w:val="Heading3"/>
      </w:pPr>
      <w:bookmarkStart w:id="26" w:name="задачи"/>
      <w:r>
        <w:t xml:space="preserve">3.1. Задачи</w:t>
      </w:r>
      <w:bookmarkEnd w:id="2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Задача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Результат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Замер шести метрик базовой линии (раздел 3.2)</w:t>
            </w:r>
          </w:p>
        </w:tc>
        <w:tc>
          <w:p>
            <w:pPr>
              <w:pStyle w:val="Compact"/>
              <w:jc w:val="left"/>
            </w:pPr>
            <w:r>
              <w:t xml:space="preserve">Цифры, а не оценки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8–12 интервью: склад, технический департамент, подрядчики, бухгалтерия, внутренний аудит, налоги, ИТ</w:t>
            </w:r>
          </w:p>
        </w:tc>
        <w:tc>
          <w:p>
            <w:pPr>
              <w:pStyle w:val="Compact"/>
              <w:jc w:val="left"/>
            </w:pPr>
            <w:r>
              <w:t xml:space="preserve">Понимание процессов и болей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Аудит доступности данных: что реально можно выгрузить из финансовой, сетевой и складской систем</w:t>
            </w:r>
          </w:p>
        </w:tc>
        <w:tc>
          <w:p>
            <w:pPr>
              <w:pStyle w:val="Compact"/>
              <w:jc w:val="left"/>
            </w:pPr>
            <w:r>
              <w:t xml:space="preserve">Карта источников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Классификация номенклатуры по классам А/Б/В/Г</w:t>
            </w:r>
          </w:p>
        </w:tc>
        <w:tc>
          <w:p>
            <w:pPr>
              <w:pStyle w:val="Compact"/>
              <w:jc w:val="left"/>
            </w:pPr>
            <w:r>
              <w:t xml:space="preserve">Периметр автоматизации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Четыре учётных решения — вынести на согласование бухгалтерии и аудитора</w:t>
            </w:r>
          </w:p>
        </w:tc>
        <w:tc>
          <w:p>
            <w:pPr>
              <w:pStyle w:val="Compact"/>
              <w:jc w:val="left"/>
            </w:pPr>
            <w:r>
              <w:t xml:space="preserve">Методическая основа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Урегулирование прав на интеллектуальную собственность</w:t>
            </w:r>
          </w:p>
        </w:tc>
        <w:tc>
          <w:p>
            <w:pPr>
              <w:pStyle w:val="Compact"/>
              <w:jc w:val="left"/>
            </w:pPr>
            <w:r>
              <w:t xml:space="preserve">Письменный документ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p>
            <w:pPr>
              <w:pStyle w:val="Compact"/>
              <w:jc w:val="left"/>
            </w:pPr>
            <w:r>
              <w:t xml:space="preserve">Выбор пилотного периметра</w:t>
            </w:r>
          </w:p>
        </w:tc>
        <w:tc>
          <w:p>
            <w:pPr>
              <w:pStyle w:val="Compact"/>
              <w:jc w:val="left"/>
            </w:pPr>
            <w:r>
              <w:t xml:space="preserve">1 проект, 30–50 площадок, 2–3 подрядчика, топ-50 позиций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p>
            <w:pPr>
              <w:pStyle w:val="Compact"/>
              <w:jc w:val="left"/>
            </w:pPr>
            <w:r>
              <w:t xml:space="preserve">Проверка фактического разделения полномочий по правам доступа в финансовой системе</w:t>
            </w:r>
          </w:p>
        </w:tc>
        <w:tc>
          <w:p>
            <w:pPr>
              <w:pStyle w:val="Compact"/>
              <w:jc w:val="left"/>
            </w:pPr>
            <w:r>
              <w:t xml:space="preserve">Оценка контрольной среды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Проверка готовности систем управления сетью отдавать серийные номера</w:t>
            </w:r>
          </w:p>
        </w:tc>
        <w:tc>
          <w:p>
            <w:pPr>
              <w:pStyle w:val="Compact"/>
              <w:jc w:val="left"/>
            </w:pPr>
            <w:r>
              <w:t xml:space="preserve">Ответ «да, отдают» или «требуется донастройка и сколько времени она займёт»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Разбор 20–30 образцов проектной документации по площадкам</w:t>
            </w:r>
          </w:p>
        </w:tc>
        <w:tc>
          <w:p>
            <w:pPr>
              <w:pStyle w:val="Compact"/>
              <w:jc w:val="left"/>
            </w:pPr>
            <w:r>
              <w:t xml:space="preserve">Оценка единообразия форм и трудоёмкости извлечения проектных спецификаций</w:t>
            </w:r>
          </w:p>
        </w:tc>
      </w:tr>
    </w:tbl>
    <w:p>
      <w:pPr>
        <w:pStyle w:val="BodyText"/>
      </w:pPr>
      <w:r>
        <w:t xml:space="preserve">Детальный перечень запрашиваемых данных с полями и приоритетом — в отдельном документе</w:t>
      </w:r>
      <w:r>
        <w:t xml:space="preserve"> </w:t>
      </w:r>
      <w:r>
        <w:rPr>
          <w:rStyle w:val="VerbatimChar"/>
        </w:rPr>
        <w:t xml:space="preserve">06_Запрос_данных_для_фазы_0.md</w:t>
      </w:r>
      <w:r>
        <w:t xml:space="preserve">.</w:t>
      </w:r>
    </w:p>
    <w:p>
      <w:pPr>
        <w:pStyle w:val="Heading3"/>
      </w:pPr>
      <w:bookmarkStart w:id="27" w:name="шесть-метрик-базовой-линии"/>
      <w:r>
        <w:t xml:space="preserve">3.2. Шесть метрик базовой линии</w:t>
      </w:r>
      <w:bookmarkEnd w:id="27"/>
    </w:p>
    <w:p>
      <w:pPr>
        <w:pStyle w:val="FirstParagraph"/>
      </w:pPr>
      <w:r>
        <w:rPr>
          <w:b/>
        </w:rPr>
        <w:t xml:space="preserve">Без этих замеров эффект проекта будет недоказуем, и на защите бюджета проект проиграет любому конкуренту с цифрами.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№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Как измерить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Источник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Точность запасов, %</w:t>
            </w:r>
          </w:p>
        </w:tc>
        <w:tc>
          <w:p>
            <w:pPr>
              <w:pStyle w:val="Compact"/>
              <w:jc w:val="left"/>
            </w:pPr>
            <w:r>
              <w:t xml:space="preserve">Выборочная инвентаризация 100–200 позиций: физическое против учётного</w:t>
            </w:r>
          </w:p>
        </w:tc>
        <w:tc>
          <w:p>
            <w:pPr>
              <w:pStyle w:val="Compact"/>
              <w:jc w:val="left"/>
            </w:pPr>
            <w:r>
              <w:t xml:space="preserve">Склад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Стоимость материала у подрядчиков</w:t>
            </w:r>
          </w:p>
        </w:tc>
        <w:tc>
          <w:p>
            <w:pPr>
              <w:pStyle w:val="Compact"/>
              <w:jc w:val="left"/>
            </w:pPr>
            <w:r>
              <w:t xml:space="preserve">Выгрузка особого вида запаса + подтверждение подрядчиками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 + подрядчики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Возраст запасов по корзинам</w:t>
            </w:r>
          </w:p>
        </w:tc>
        <w:tc>
          <w:p>
            <w:pPr>
              <w:pStyle w:val="Compact"/>
              <w:jc w:val="left"/>
            </w:pPr>
            <w:r>
              <w:t xml:space="preserve">Отчёт по дате поступления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Средний разрыв «включено в работу → основные средства», дней</w:t>
            </w:r>
          </w:p>
        </w:tc>
        <w:tc>
          <w:p>
            <w:pPr>
              <w:pStyle w:val="Compact"/>
              <w:jc w:val="left"/>
            </w:pPr>
            <w:r>
              <w:t xml:space="preserve">Сопоставить 100 объектов: сетевая система против реестра основных средств</w:t>
            </w:r>
          </w:p>
        </w:tc>
        <w:tc>
          <w:p>
            <w:pPr>
              <w:pStyle w:val="Compact"/>
              <w:jc w:val="left"/>
            </w:pPr>
            <w:r>
              <w:t xml:space="preserve">Сетевая + финансовая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Объём незавершённого строительства старше 12 месяцев</w:t>
            </w:r>
          </w:p>
        </w:tc>
        <w:tc>
          <w:p>
            <w:pPr>
              <w:pStyle w:val="Compact"/>
              <w:jc w:val="left"/>
            </w:pPr>
            <w:r>
              <w:t xml:space="preserve">Отчёт по незавершённому строительству</w:t>
            </w:r>
          </w:p>
        </w:tc>
        <w:tc>
          <w:p>
            <w:pPr>
              <w:pStyle w:val="Compact"/>
              <w:jc w:val="left"/>
            </w:pPr>
            <w:r>
              <w:t xml:space="preserve">Финансовая система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Доля закупок при наличии на складе</w:t>
            </w:r>
          </w:p>
        </w:tc>
        <w:tc>
          <w:p>
            <w:pPr>
              <w:pStyle w:val="Compact"/>
              <w:jc w:val="left"/>
            </w:pPr>
            <w:r>
              <w:t xml:space="preserve">Выборка 50 заявок против остатков на дату заявки</w:t>
            </w:r>
          </w:p>
        </w:tc>
        <w:tc>
          <w:p>
            <w:pPr>
              <w:pStyle w:val="Compact"/>
              <w:jc w:val="left"/>
            </w:pPr>
            <w:r>
              <w:t xml:space="preserve">Закупки + финансовая система</w:t>
            </w:r>
          </w:p>
        </w:tc>
      </w:tr>
    </w:tbl>
    <w:p>
      <w:pPr>
        <w:pStyle w:val="BodyText"/>
      </w:pPr>
      <w:r>
        <w:rPr>
          <w:b/>
        </w:rPr>
        <w:t xml:space="preserve">Метрики 4 и 6 — самые убедительные для финансового директора и самые быстрые в замере. Начинать с них.</w:t>
      </w:r>
    </w:p>
    <w:p>
      <w:pPr>
        <w:pStyle w:val="Heading3"/>
      </w:pPr>
      <w:bookmarkStart w:id="28" w:name="календарь-фазы-0"/>
      <w:r>
        <w:t xml:space="preserve">3.3. Календарь фазы 0</w:t>
      </w:r>
      <w:bookmarkEnd w:id="2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Недели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Работа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1–2</w:t>
            </w:r>
          </w:p>
        </w:tc>
        <w:tc>
          <w:p>
            <w:pPr>
              <w:pStyle w:val="Compact"/>
              <w:jc w:val="left"/>
            </w:pPr>
            <w:r>
              <w:t xml:space="preserve">Урегулировать права на интеллектуальную собственность. Запросить доступ к сетевой системе письменно. Стартовать интервью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3–4</w:t>
            </w:r>
          </w:p>
        </w:tc>
        <w:tc>
          <w:p>
            <w:pPr>
              <w:pStyle w:val="Compact"/>
              <w:jc w:val="left"/>
            </w:pPr>
            <w:r>
              <w:t xml:space="preserve">Замер метрик 4 и 6 — самые быстрые и убедительные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5–6</w:t>
            </w:r>
          </w:p>
        </w:tc>
        <w:tc>
          <w:p>
            <w:pPr>
              <w:pStyle w:val="Compact"/>
              <w:jc w:val="left"/>
            </w:pPr>
            <w:r>
              <w:t xml:space="preserve">Инвентаризация выборки: точность запасов. Выгрузка материала у подрядчиков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7–8</w:t>
            </w:r>
          </w:p>
        </w:tc>
        <w:tc>
          <w:p>
            <w:pPr>
              <w:pStyle w:val="Compact"/>
              <w:jc w:val="left"/>
            </w:pPr>
            <w:r>
              <w:t xml:space="preserve">Классификация номенклатуры А/Б/В/Г. Согласование пилотного периметра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9–10</w:t>
            </w:r>
          </w:p>
        </w:tc>
        <w:tc>
          <w:p>
            <w:pPr>
              <w:pStyle w:val="Compact"/>
              <w:jc w:val="left"/>
            </w:pPr>
            <w:r>
              <w:t xml:space="preserve">Четыре учётных решения — вынести на бухгалтерию и аудитора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11–12</w:t>
            </w:r>
          </w:p>
        </w:tc>
        <w:tc>
          <w:p>
            <w:pPr>
              <w:pStyle w:val="Compact"/>
              <w:jc w:val="left"/>
            </w:pPr>
            <w:r>
              <w:t xml:space="preserve">Сборка результатов. Бизнес-кейс на фактических цифрах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Гейт 0.</w:t>
            </w:r>
            <w:r>
              <w:t xml:space="preserve"> </w:t>
            </w:r>
            <w:r>
              <w:t xml:space="preserve">Защита перед финансовым директором. Решение о фазе 1</w:t>
            </w:r>
          </w:p>
        </w:tc>
      </w:tr>
    </w:tbl>
    <w:p>
      <w:pPr>
        <w:pStyle w:val="Heading3"/>
      </w:pPr>
      <w:bookmarkStart w:id="29" w:name="гейт-0"/>
      <w:r>
        <w:t xml:space="preserve">3.4. 🚪 Гейт 0</w:t>
      </w:r>
      <w:bookmarkEnd w:id="29"/>
    </w:p>
    <w:p>
      <w:pPr>
        <w:pStyle w:val="FirstParagraph"/>
      </w:pPr>
      <w:r>
        <w:rPr>
          <w:b/>
        </w:rPr>
        <w:t xml:space="preserve">Проходим, если:</w:t>
      </w:r>
      <w:r>
        <w:t xml:space="preserve"> </w:t>
      </w:r>
      <w:r>
        <w:t xml:space="preserve">- ✅ Все шесть метрик измерены; доля покрытия подтверждена как ненулевая</w:t>
      </w:r>
      <w:r>
        <w:t xml:space="preserve"> </w:t>
      </w:r>
      <w:r>
        <w:t xml:space="preserve">- ✅ Технический департамент письменно подтвердил возможность доступа к сетевой системе</w:t>
      </w:r>
      <w:r>
        <w:t xml:space="preserve"> </w:t>
      </w:r>
      <w:r>
        <w:t xml:space="preserve">- ✅ Главный бухгалтер согласен обсуждать критерий готовности к использованию</w:t>
      </w:r>
      <w:r>
        <w:t xml:space="preserve"> </w:t>
      </w:r>
      <w:r>
        <w:t xml:space="preserve">- ✅ Вопрос прав на интеллектуальную собственность урегулирован письменно</w:t>
      </w:r>
      <w:r>
        <w:t xml:space="preserve"> </w:t>
      </w:r>
      <w:r>
        <w:t xml:space="preserve">- ✅ Найден методолог справочных данных</w:t>
      </w:r>
    </w:p>
    <w:p>
      <w:pPr>
        <w:pStyle w:val="BodyText"/>
      </w:pPr>
      <w:r>
        <w:rPr>
          <w:b/>
        </w:rPr>
        <w:t xml:space="preserve">Останавливаемся, если:</w:t>
      </w:r>
      <w:r>
        <w:t xml:space="preserve"> </w:t>
      </w:r>
      <w:r>
        <w:t xml:space="preserve">- ❌ Доля закупок при наличии на складе близка к нулю — исчезает главный драйвер</w:t>
      </w:r>
      <w:r>
        <w:t xml:space="preserve"> </w:t>
      </w:r>
      <w:r>
        <w:t xml:space="preserve">- ❌ Доступ к сетевой системе невозможен и нет альтернативы — экономика падает примерно вдвое</w:t>
      </w:r>
      <w:r>
        <w:t xml:space="preserve"> </w:t>
      </w:r>
      <w:r>
        <w:t xml:space="preserve">- ❌ Бухгалтерия отказывается пересм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2026-07-25T19:08:33Z</dcterms:created>
  <dcterms:modified xsi:type="dcterms:W3CDTF">2026-07-25T19:08:33Z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