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pPr>
        <w:pStyle w:val="Heading1"/>
      </w:pPr>
      <w:bookmarkStart w:id="20" w:name="Xb162fa5f19807cee9b0a47594ece433ea58763b"/>
      <w:r>
        <w:t xml:space="preserve">Рейтинг решений: кто силён, в чём и по какой методике</w:t>
      </w:r>
      <w:bookmarkEnd w:id="20"/>
    </w:p>
    <w:p>
      <w:pPr>
        <w:pStyle w:val="FirstParagraph"/>
      </w:pPr>
      <w:r>
        <w:rPr>
          <w:b/>
        </w:rPr>
        <w:t xml:space="preserve">Проект:</w:t>
      </w:r>
      <w:r>
        <w:t xml:space="preserve"> </w:t>
      </w:r>
      <w:r>
        <w:t xml:space="preserve">«Сквозной учёт» — контроль исполнения капитальных вложений</w:t>
      </w:r>
      <w:r>
        <w:t xml:space="preserve"> </w:t>
      </w:r>
      <w:r>
        <w:rPr>
          <w:b/>
        </w:rPr>
        <w:t xml:space="preserve">Версия:</w:t>
      </w:r>
      <w:r>
        <w:t xml:space="preserve"> </w:t>
      </w:r>
      <w:r>
        <w:t xml:space="preserve">2.0 ·</w:t>
      </w:r>
      <w:r>
        <w:t xml:space="preserve"> </w:t>
      </w:r>
      <w:r>
        <w:rPr>
          <w:b/>
        </w:rPr>
        <w:t xml:space="preserve">Дата:</w:t>
      </w:r>
      <w:r>
        <w:t xml:space="preserve"> </w:t>
      </w:r>
      <w:r>
        <w:t xml:space="preserve">25.07.2026</w:t>
      </w:r>
    </w:p>
    <w:p>
      <w:pPr>
        <w:pStyle w:val="BodyText"/>
      </w:pPr>
      <w:r>
        <w:t xml:space="preserve">Для каждой области: лидеры, применяемая методика, сильные стороны, ограничения и наш вывод — конкурировать, партнёриться или интегрировать.</w:t>
      </w:r>
    </w:p>
    <w:p>
      <w:pPr>
        <w:pStyle w:val="BlockText"/>
      </w:pPr>
      <w:r>
        <w:rPr>
          <w:b/>
        </w:rPr>
        <w:t xml:space="preserve">Дисклеймер о рейтинге.</w:t>
      </w:r>
      <w:r>
        <w:t xml:space="preserve"> </w:t>
      </w:r>
      <w:r>
        <w:t xml:space="preserve">Ранжирование основано на публичных источниках и распространённости решений, а не на сравнительном тестировании. Перед выбором партнёра требуется отдельный запрос информации с реальными сценариями и ценами. Позиция отражает распространённость и зрелость, а не гарантию пригодности.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X084e930e9c41d15077e2fde4bd103c841ec22a2"/>
      <w:r>
        <w:t xml:space="preserve">1. Планирование инвестиций — область, в которую мы не заходим</w:t>
      </w:r>
      <w:bookmarkEnd w:id="21"/>
    </w:p>
    <w:tbl>
      <w:tblPr>
        <w:tblStyle w:val="Table"/>
        <w:tblW w:type="pct" w:w="5000.0"/>
        <w:tblLook w:firstRow="1"/>
      </w:tblPr>
      <w:tblGrid>
        <w:gridCol w:w="1584"/>
        <w:gridCol w:w="1584"/>
        <w:gridCol w:w="1584"/>
        <w:gridCol w:w="1584"/>
        <w:gridCol w:w="1584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№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Решение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Методика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Сильные стороны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Ограничения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Riaktr (Smart Capex)</w:t>
            </w:r>
          </w:p>
        </w:tc>
        <w:tc>
          <w:p>
            <w:pPr>
              <w:pStyle w:val="Compact"/>
              <w:jc w:val="left"/>
            </w:pPr>
            <w:r>
              <w:t xml:space="preserve">Аналитика инвестиционных решений на данных о трафике, покрытии, отдаче. Основана в 2009, приобретена Seamless Distribution Systems в 2021</w:t>
            </w:r>
          </w:p>
        </w:tc>
        <w:tc>
          <w:p>
            <w:pPr>
              <w:pStyle w:val="Compact"/>
              <w:jc w:val="left"/>
            </w:pPr>
            <w:r>
              <w:t xml:space="preserve">Клиенты Orange, Proximus, MTN, Glo. Зрелая методология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Цена продажи всего бизнеса — 10,4 млн евро.</w:t>
            </w:r>
            <w:r>
              <w:t xml:space="preserve"> </w:t>
            </w:r>
            <w:r>
              <w:t xml:space="preserve">Показатель размера рынка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Infovista Smart CAPEX</w:t>
            </w:r>
          </w:p>
        </w:tc>
        <w:tc>
          <w:p>
            <w:pPr>
              <w:pStyle w:val="Compact"/>
              <w:jc w:val="left"/>
            </w:pPr>
            <w:r>
              <w:t xml:space="preserve">Планирование сети с бизнес-слоем: прогноз совокупной стоимости владения, инкрементальной выручки, оттока и отдачи наряду с покрытием и ёмкостью</w:t>
            </w:r>
          </w:p>
        </w:tc>
        <w:tc>
          <w:p>
            <w:pPr>
              <w:pStyle w:val="Compact"/>
              <w:jc w:val="left"/>
            </w:pPr>
            <w:r>
              <w:t xml:space="preserve">Сдвиг от технических показателей сети к бизнес-результату</w:t>
            </w:r>
          </w:p>
        </w:tc>
        <w:tc>
          <w:p>
            <w:pPr>
              <w:pStyle w:val="Compact"/>
              <w:jc w:val="left"/>
            </w:pPr>
            <w:r>
              <w:t xml:space="preserve">Не отвечает на вопрос «нужно ли покупать»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Intellias Smart CapEx</w:t>
            </w:r>
          </w:p>
        </w:tc>
        <w:tc>
          <w:p>
            <w:pPr>
              <w:pStyle w:val="Compact"/>
              <w:jc w:val="left"/>
            </w:pPr>
            <w:r>
              <w:t xml:space="preserve">Машинное обучение на данных о трафике, качестве и монетизации по соте; ранжирование по отдаче</w:t>
            </w:r>
          </w:p>
        </w:tc>
        <w:tc>
          <w:p>
            <w:pPr>
              <w:pStyle w:val="Compact"/>
              <w:jc w:val="left"/>
            </w:pPr>
            <w:r>
              <w:t xml:space="preserve">Артикулированный подход, заявленный эффект 15–25%</w:t>
            </w:r>
          </w:p>
        </w:tc>
        <w:tc>
          <w:p>
            <w:pPr>
              <w:pStyle w:val="Compact"/>
              <w:jc w:val="left"/>
            </w:pPr>
            <w:r>
              <w:t xml:space="preserve">Консалтинг и кастомная разработка, а не коробочный продукт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Инициатива TM Forum по умному капексу</w:t>
            </w:r>
          </w:p>
        </w:tc>
        <w:tc>
          <w:p>
            <w:pPr>
              <w:pStyle w:val="Compact"/>
              <w:jc w:val="left"/>
            </w:pPr>
            <w:r>
              <w:t xml:space="preserve">Отраслевая рамка: от радиодоступа к транспорту и ядру, далее к сквозной оркестрации</w:t>
            </w:r>
          </w:p>
        </w:tc>
        <w:tc>
          <w:p>
            <w:pPr>
              <w:pStyle w:val="Compact"/>
              <w:jc w:val="left"/>
            </w:pPr>
            <w:r>
              <w:t xml:space="preserve">Стандартизация, легитимность подхода</w:t>
            </w:r>
          </w:p>
        </w:tc>
        <w:tc>
          <w:p>
            <w:pPr>
              <w:pStyle w:val="Compact"/>
              <w:jc w:val="left"/>
            </w:pPr>
            <w:r>
              <w:t xml:space="preserve">Не продукт, а методология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Внутренние разработки крупных операторов</w:t>
            </w:r>
          </w:p>
        </w:tc>
        <w:tc>
          <w:p>
            <w:pPr>
              <w:pStyle w:val="Compact"/>
              <w:jc w:val="left"/>
            </w:pPr>
            <w:r>
              <w:t xml:space="preserve">Собственные модели на своих данных</w:t>
            </w:r>
          </w:p>
        </w:tc>
        <w:tc>
          <w:p>
            <w:pPr>
              <w:pStyle w:val="Compact"/>
              <w:jc w:val="left"/>
            </w:pPr>
            <w:r>
              <w:t xml:space="preserve">Максимальная точность</w:t>
            </w:r>
          </w:p>
        </w:tc>
        <w:tc>
          <w:p>
            <w:pPr>
              <w:pStyle w:val="Compact"/>
              <w:jc w:val="left"/>
            </w:pPr>
            <w:r>
              <w:t xml:space="preserve">Не тиражируются</w:t>
            </w:r>
          </w:p>
        </w:tc>
      </w:tr>
    </w:tbl>
    <w:p>
      <w:pPr>
        <w:pStyle w:val="Heading3"/>
      </w:pPr>
      <w:bookmarkStart w:id="22" w:name="X944d582180d6a922358635f8ae36a0e37a9a882"/>
      <w:r>
        <w:t xml:space="preserve">Наш вывод: не конкурируем, а поставляем данные</w:t>
      </w:r>
      <w:bookmarkEnd w:id="22"/>
    </w:p>
    <w:p>
      <w:pPr>
        <w:pStyle w:val="FirstParagraph"/>
      </w:pPr>
      <w:r>
        <w:t xml:space="preserve">Формулировка для рынка:</w:t>
      </w:r>
    </w:p>
    <w:p>
      <w:pPr>
        <w:pStyle w:val="BlockText"/>
      </w:pPr>
      <w:r>
        <w:rPr>
          <w:b/>
        </w:rPr>
        <w:t xml:space="preserve">Мы поставляем Infovista и Riaktr данные, которых у них нет.</w:t>
      </w:r>
    </w:p>
    <w:p>
      <w:pPr>
        <w:pStyle w:val="FirstParagraph"/>
      </w:pPr>
      <w:r>
        <w:t xml:space="preserve">Три причины не заходить:</w:t>
      </w:r>
      <w:r>
        <w:t xml:space="preserve"> </w:t>
      </w:r>
      <w:r>
        <w:t xml:space="preserve">1. Проиграем сравнение по прогнозу трафика, гео-прогнозу выручки и моделированию оттока —</w:t>
      </w:r>
      <w:r>
        <w:t xml:space="preserve"> </w:t>
      </w:r>
      <w:r>
        <w:rPr>
          <w:b/>
        </w:rPr>
        <w:t xml:space="preserve">справедливо</w:t>
      </w:r>
      <w:r>
        <w:t xml:space="preserve">, потому что это не наши данные.</w:t>
      </w:r>
      <w:r>
        <w:t xml:space="preserve"> </w:t>
      </w:r>
      <w:r>
        <w:t xml:space="preserve">2. Продажа Riaktr целиком за 10,4 млн евро показывает размер рынка.</w:t>
      </w:r>
      <w:r>
        <w:t xml:space="preserve"> </w:t>
      </w:r>
      <w:r>
        <w:t xml:space="preserve">3. Атрибуция выручки к конкретной инвестиции — спор, который нельзя выиграть.</w:t>
      </w:r>
    </w:p>
    <w:p>
      <w:pPr>
        <w:pStyle w:val="BodyText"/>
      </w:pPr>
      <w:r>
        <w:rPr>
          <w:b/>
        </w:rPr>
        <w:t xml:space="preserve">Модель продажи, которую стоит скопировать:</w:t>
      </w:r>
      <w:r>
        <w:t xml:space="preserve"> </w:t>
      </w:r>
      <w:r>
        <w:t xml:space="preserve">сделка на развёртывание в Саудовской Аравии пришла к поставщику</w:t>
      </w:r>
      <w:r>
        <w:t xml:space="preserve"> </w:t>
      </w:r>
      <w:r>
        <w:rPr>
          <w:b/>
        </w:rPr>
        <w:t xml:space="preserve">через Strategy&amp; (PwC)</w:t>
      </w:r>
      <w:r>
        <w:t xml:space="preserve">; Riaktr продвигается</w:t>
      </w:r>
      <w:r>
        <w:t xml:space="preserve"> </w:t>
      </w:r>
      <w:r>
        <w:rPr>
          <w:b/>
        </w:rPr>
        <w:t xml:space="preserve">через Deloitte</w:t>
      </w:r>
      <w:r>
        <w:t xml:space="preserve">. Консалтинговая практика владеет отношениями и методологией, платформа даёт движок. См. документ по выходу на рынок.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3" w:name="X6e61a59d06076ce0c628f6a91f942a3e24e5a9a"/>
      <w:r>
        <w:t xml:space="preserve">2. Сетевой инвентарь и обнаружение — ближайшие соседи</w:t>
      </w:r>
      <w:bookmarkEnd w:id="23"/>
    </w:p>
    <w:tbl>
      <w:tblPr>
        <w:tblStyle w:val="Table"/>
        <w:tblW w:type="pct" w:w="5000.0"/>
        <w:tblLook w:firstRow="1"/>
      </w:tblPr>
      <w:tblGrid>
        <w:gridCol w:w="1584"/>
        <w:gridCol w:w="1584"/>
        <w:gridCol w:w="1584"/>
        <w:gridCol w:w="1584"/>
        <w:gridCol w:w="1584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№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Решение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Методика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Сильные стороны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Ограничения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Netcracker (NEC)</w:t>
            </w:r>
            <w:r>
              <w:t xml:space="preserve"> </w:t>
            </w:r>
            <w:r>
              <w:t xml:space="preserve">— активный инвентарь ресурсов и инвентарь услуг</w:t>
            </w:r>
          </w:p>
        </w:tc>
        <w:tc>
          <w:p>
            <w:pPr>
              <w:pStyle w:val="Compact"/>
              <w:jc w:val="left"/>
            </w:pPr>
            <w:r>
              <w:t xml:space="preserve">Федеративная модель ресурсов, автообнаружение, оркестрация</w:t>
            </w:r>
          </w:p>
        </w:tc>
        <w:tc>
          <w:p>
            <w:pPr>
              <w:pStyle w:val="Compact"/>
              <w:jc w:val="left"/>
            </w:pPr>
            <w:r>
              <w:t xml:space="preserve">Глубина функций, доверие крупнейших операторов, зрелость</w:t>
            </w:r>
          </w:p>
        </w:tc>
        <w:tc>
          <w:p>
            <w:pPr>
              <w:pStyle w:val="Compact"/>
              <w:jc w:val="left"/>
            </w:pPr>
            <w:r>
              <w:t xml:space="preserve">Тяжёлое и дорогое внедрение; логическая сеть, а не физический экземпляр и его стоимость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Oracle UIM</w:t>
            </w:r>
            <w:r>
              <w:t xml:space="preserve"> </w:t>
            </w:r>
            <w:r>
              <w:t xml:space="preserve">— унифицированное управление инвентарём</w:t>
            </w:r>
          </w:p>
        </w:tc>
        <w:tc>
          <w:p>
            <w:pPr>
              <w:pStyle w:val="Compact"/>
              <w:jc w:val="left"/>
            </w:pPr>
            <w:r>
              <w:t xml:space="preserve">Инвентарь ресурсов,</w:t>
            </w:r>
            <w:r>
              <w:t xml:space="preserve"> </w:t>
            </w:r>
            <w:r>
              <w:rPr>
                <w:b/>
              </w:rPr>
              <w:t xml:space="preserve">интерфейс по стандарту TMF639</w:t>
            </w:r>
          </w:p>
        </w:tc>
        <w:tc>
          <w:p>
            <w:pPr>
              <w:pStyle w:val="Compact"/>
              <w:jc w:val="left"/>
            </w:pPr>
            <w:r>
              <w:t xml:space="preserve">Фактический отраслевой стандарт по интерфейсу</w:t>
            </w:r>
          </w:p>
        </w:tc>
        <w:tc>
          <w:p>
            <w:pPr>
              <w:pStyle w:val="Compact"/>
              <w:jc w:val="left"/>
            </w:pPr>
            <w:r>
              <w:t xml:space="preserve">Тот же предел домена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Amdocs Network Inventory</w:t>
            </w:r>
          </w:p>
        </w:tc>
        <w:tc>
          <w:p>
            <w:pPr>
              <w:pStyle w:val="Compact"/>
              <w:jc w:val="left"/>
            </w:pPr>
            <w:r>
              <w:t xml:space="preserve">Инвентарь для 5G и облачных сетей</w:t>
            </w:r>
          </w:p>
        </w:tc>
        <w:tc>
          <w:p>
            <w:pPr>
              <w:pStyle w:val="Compact"/>
              <w:jc w:val="left"/>
            </w:pPr>
            <w:r>
              <w:t xml:space="preserve">Сильная связь с бизнес-контуром</w:t>
            </w:r>
          </w:p>
        </w:tc>
        <w:tc>
          <w:p>
            <w:pPr>
              <w:pStyle w:val="Compact"/>
              <w:jc w:val="left"/>
            </w:pPr>
            <w:r>
              <w:t xml:space="preserve">Финансовый и складской контуры вне периметра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ServiceNow Telecom Network Inventory</w:t>
            </w:r>
          </w:p>
        </w:tc>
        <w:tc>
          <w:p>
            <w:pPr>
              <w:pStyle w:val="Compact"/>
              <w:jc w:val="left"/>
            </w:pPr>
            <w:r>
              <w:t xml:space="preserve">Обнаружение и инвентарь на платформе управления ИТ-активами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Ближайшая стратегическая угроза:</w:t>
            </w:r>
            <w:r>
              <w:t xml:space="preserve"> </w:t>
            </w:r>
            <w:r>
              <w:t xml:space="preserve">платформа уже стоит у многих операторов, есть управление активами, есть телеком-предложение</w:t>
            </w:r>
          </w:p>
        </w:tc>
        <w:tc>
          <w:p>
            <w:pPr>
              <w:pStyle w:val="Compact"/>
              <w:jc w:val="left"/>
            </w:pPr>
            <w:r>
              <w:t xml:space="preserve">Пока не покрывает материальный поток и капитализацию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Comarch OSS Resource Inventory</w:t>
            </w:r>
          </w:p>
        </w:tc>
        <w:tc>
          <w:p>
            <w:pPr>
              <w:pStyle w:val="Compact"/>
              <w:jc w:val="left"/>
            </w:pPr>
            <w:r>
              <w:t xml:space="preserve">Компонент открытой цифровой архитектуры: каталог и инвентарь</w:t>
            </w:r>
          </w:p>
        </w:tc>
        <w:tc>
          <w:p>
            <w:pPr>
              <w:pStyle w:val="Compact"/>
              <w:jc w:val="left"/>
            </w:pPr>
            <w:r>
              <w:t xml:space="preserve">Соответствие стандартам, сильные позиции в Европе и СНГ</w:t>
            </w:r>
          </w:p>
        </w:tc>
        <w:tc>
          <w:p>
            <w:pPr>
              <w:pStyle w:val="Compact"/>
              <w:jc w:val="left"/>
            </w:pPr>
            <w:r>
              <w:t xml:space="preserve">Тот же предел домена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VC4 Integrated Management Suite</w:t>
            </w:r>
          </w:p>
        </w:tc>
        <w:tc>
          <w:p>
            <w:pPr>
              <w:pStyle w:val="Compact"/>
              <w:jc w:val="left"/>
            </w:pPr>
            <w:r>
              <w:t xml:space="preserve">Обнаружение и</w:t>
            </w:r>
            <w:r>
              <w:t xml:space="preserve"> </w:t>
            </w:r>
            <w:r>
              <w:rPr>
                <w:b/>
              </w:rPr>
              <w:t xml:space="preserve">сверка между сетью и инвентарём</w:t>
            </w:r>
            <w:r>
              <w:t xml:space="preserve">, аудит инвентаря как отдельный продукт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Прямо адресует сверку</w:t>
            </w:r>
            <w:r>
              <w:t xml:space="preserve">; компактнее и дешевле крупных вендоров</w:t>
            </w:r>
          </w:p>
        </w:tc>
        <w:tc>
          <w:p>
            <w:pPr>
              <w:pStyle w:val="Compact"/>
              <w:jc w:val="left"/>
            </w:pPr>
            <w:r>
              <w:t xml:space="preserve">Не покрывает финансовый контур, склад и подрядчика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Sunvizion Network Inventory</w:t>
            </w:r>
          </w:p>
        </w:tc>
        <w:tc>
          <w:p>
            <w:pPr>
              <w:pStyle w:val="Compact"/>
              <w:jc w:val="left"/>
            </w:pPr>
            <w:r>
              <w:t xml:space="preserve">Инвентарь физических и логических ресурсов, геопространственный контур</w:t>
            </w:r>
          </w:p>
        </w:tc>
        <w:tc>
          <w:p>
            <w:pPr>
              <w:pStyle w:val="Compact"/>
              <w:jc w:val="left"/>
            </w:pPr>
            <w:r>
              <w:t xml:space="preserve">Хорош по пассивной инфраструктуре и оптике</w:t>
            </w:r>
          </w:p>
        </w:tc>
        <w:tc>
          <w:p>
            <w:pPr>
              <w:pStyle w:val="Compact"/>
              <w:jc w:val="left"/>
            </w:pPr>
            <w:r>
              <w:t xml:space="preserve">Ограниченная экосистема</w:t>
            </w:r>
          </w:p>
        </w:tc>
      </w:tr>
    </w:tbl>
    <w:p>
      <w:pPr>
        <w:pStyle w:val="BodyText"/>
      </w:pPr>
      <w:r>
        <w:rPr>
          <w:b/>
        </w:rPr>
        <w:t xml:space="preserve">Наш вывод: интегрируемся, не конкурируем.</w:t>
      </w:r>
      <w:r>
        <w:t xml:space="preserve"> </w:t>
      </w:r>
      <w:r>
        <w:t xml:space="preserve">Все перечисленные видят сеть, но не видят деньги, склад, подрядчика и момент капитализации.</w:t>
      </w:r>
      <w:r>
        <w:t xml:space="preserve"> </w:t>
      </w:r>
      <w:r>
        <w:rPr>
          <w:b/>
        </w:rPr>
        <w:t xml:space="preserve">VC4 — ближайший аналог по идее сверки и лучший кандидат в бенчмарк.</w:t>
      </w:r>
      <w:r>
        <w:t xml:space="preserve"> </w:t>
      </w:r>
      <w:r>
        <w:t xml:space="preserve">ServiceNow — за ним следить внимательнее всех.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4" w:name="управление-площадками-и-развёртыванием"/>
      <w:r>
        <w:t xml:space="preserve">3. Управление площадками и развёртыванием</w:t>
      </w:r>
      <w:bookmarkEnd w:id="24"/>
    </w:p>
    <w:tbl>
      <w:tblPr>
        <w:tblStyle w:val="Table"/>
        <w:tblW w:type="pct" w:w="5000.0"/>
        <w:tblLook w:firstRow="1"/>
      </w:tblPr>
      <w:tblGrid>
        <w:gridCol w:w="1584"/>
        <w:gridCol w:w="1584"/>
        <w:gridCol w:w="1584"/>
        <w:gridCol w:w="1584"/>
        <w:gridCol w:w="1584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№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Решение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Методика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Сильные стороны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Ограничения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Sitetracker</w:t>
            </w:r>
          </w:p>
        </w:tc>
        <w:tc>
          <w:p>
            <w:pPr>
              <w:pStyle w:val="Compact"/>
              <w:jc w:val="left"/>
            </w:pPr>
            <w:r>
              <w:t xml:space="preserve">Управление проектами развёртывания, вехи строительства, площадки</w:t>
            </w:r>
          </w:p>
        </w:tc>
        <w:tc>
          <w:p>
            <w:pPr>
              <w:pStyle w:val="Compact"/>
              <w:jc w:val="left"/>
            </w:pPr>
            <w:r>
              <w:t xml:space="preserve">Лидер сегмента, зрелые процессы строительства</w:t>
            </w:r>
          </w:p>
        </w:tc>
        <w:tc>
          <w:p>
            <w:pPr>
              <w:pStyle w:val="Compact"/>
              <w:jc w:val="left"/>
            </w:pPr>
            <w:r>
              <w:t xml:space="preserve">Не ведёт номенклатуру и серийники, не ведёт склад, не ведёт деньги на уровне позиции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Accruent Siterra</w:t>
            </w:r>
          </w:p>
        </w:tc>
        <w:tc>
          <w:p>
            <w:pPr>
              <w:pStyle w:val="Compact"/>
              <w:jc w:val="left"/>
            </w:pPr>
            <w:r>
              <w:t xml:space="preserve">Управление площадками, арендой, проектами</w:t>
            </w:r>
          </w:p>
        </w:tc>
        <w:tc>
          <w:p>
            <w:pPr>
              <w:pStyle w:val="Compact"/>
              <w:jc w:val="left"/>
            </w:pPr>
            <w:r>
              <w:t xml:space="preserve">Сильный контур аренды и недвижимости</w:t>
            </w:r>
          </w:p>
        </w:tc>
        <w:tc>
          <w:p>
            <w:pPr>
              <w:pStyle w:val="Compact"/>
              <w:jc w:val="left"/>
            </w:pPr>
            <w:r>
              <w:t xml:space="preserve">То же ограничение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Atrebo</w:t>
            </w:r>
            <w:r>
              <w:t xml:space="preserve">,</w:t>
            </w:r>
            <w:r>
              <w:t xml:space="preserve"> </w:t>
            </w:r>
            <w:r>
              <w:rPr>
                <w:b/>
              </w:rPr>
              <w:t xml:space="preserve">Tarantula</w:t>
            </w:r>
          </w:p>
        </w:tc>
        <w:tc>
          <w:p>
            <w:pPr>
              <w:pStyle w:val="Compact"/>
              <w:jc w:val="left"/>
            </w:pPr>
            <w:r>
              <w:t xml:space="preserve">Управление башенной инфраструктурой и арендой</w:t>
            </w:r>
          </w:p>
        </w:tc>
        <w:tc>
          <w:p>
            <w:pPr>
              <w:pStyle w:val="Compact"/>
              <w:jc w:val="left"/>
            </w:pPr>
            <w:r>
              <w:t xml:space="preserve">Специализация на башенных компаниях</w:t>
            </w:r>
          </w:p>
        </w:tc>
        <w:tc>
          <w:p>
            <w:pPr>
              <w:pStyle w:val="Compact"/>
              <w:jc w:val="left"/>
            </w:pPr>
            <w:r>
              <w:t xml:space="preserve">То же ограничение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Rakuten Symphony Site Management</w:t>
            </w:r>
          </w:p>
        </w:tc>
        <w:tc>
          <w:p>
            <w:pPr>
              <w:pStyle w:val="Compact"/>
              <w:jc w:val="left"/>
            </w:pPr>
            <w:r>
              <w:t xml:space="preserve">Жизненный цикл площадки, интеллектуальный аудит по фотографиям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Ближе всех к сквозному покрытию.</w:t>
            </w:r>
            <w:r>
              <w:t xml:space="preserve"> </w:t>
            </w:r>
            <w:r>
              <w:t xml:space="preserve">Механизм «принято автоматически → оплата сразу»</w:t>
            </w:r>
          </w:p>
        </w:tc>
        <w:tc>
          <w:p>
            <w:pPr>
              <w:pStyle w:val="Compact"/>
              <w:jc w:val="left"/>
            </w:pPr>
            <w:r>
              <w:t xml:space="preserve">Заточен под собственную операционную модель, тяжёлый вход, слабая привязка к чужому учёту</w:t>
            </w:r>
          </w:p>
        </w:tc>
      </w:tr>
    </w:tbl>
    <w:p>
      <w:pPr>
        <w:pStyle w:val="BodyText"/>
      </w:pPr>
      <w:r>
        <w:rPr>
          <w:b/>
        </w:rPr>
        <w:t xml:space="preserve">Наш вывод: соседняя область, потенциальный партнёр и источник процессных идей.</w:t>
      </w:r>
      <w:r>
        <w:t xml:space="preserve"> </w:t>
      </w:r>
      <w:r>
        <w:t xml:space="preserve">Механизм стимулирования подрядчика через быструю оплату стоит скопировать напрямую.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5" w:name="технологии-идентификации"/>
      <w:r>
        <w:t xml:space="preserve">4. Технологии идентификации</w:t>
      </w:r>
      <w:bookmarkEnd w:id="25"/>
    </w:p>
    <w:p>
      <w:pPr>
        <w:pStyle w:val="Heading3"/>
      </w:pPr>
      <w:bookmarkStart w:id="26" w:name="сравнение-методов"/>
      <w:r>
        <w:t xml:space="preserve">4.1. Сравнение методов</w:t>
      </w:r>
      <w:bookmarkEnd w:id="26"/>
    </w:p>
    <w:tbl>
      <w:tblPr>
        <w:tblStyle w:val="Table"/>
        <w:tblW w:type="pct" w:w="5000.0"/>
        <w:tblLook w:firstRow="1"/>
      </w:tblPr>
      <w:tblGrid>
        <w:gridCol w:w="1584"/>
        <w:gridCol w:w="1584"/>
        <w:gridCol w:w="1584"/>
        <w:gridCol w:w="1584"/>
        <w:gridCol w:w="1584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Метод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Стоимость метки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Дальность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Массовое считывание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Применимость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Двумерный штрихкод на стойкой основе</w:t>
            </w:r>
          </w:p>
        </w:tc>
        <w:tc>
          <w:p>
            <w:pPr>
              <w:pStyle w:val="Compact"/>
              <w:jc w:val="left"/>
            </w:pPr>
            <w:r>
              <w:t xml:space="preserve">Низкая</w:t>
            </w:r>
          </w:p>
        </w:tc>
        <w:tc>
          <w:p>
            <w:pPr>
              <w:pStyle w:val="Compact"/>
              <w:jc w:val="left"/>
            </w:pPr>
            <w:r>
              <w:t xml:space="preserve">сантиметры</w:t>
            </w:r>
          </w:p>
        </w:tc>
        <w:tc>
          <w:p>
            <w:pPr>
              <w:pStyle w:val="Compact"/>
              <w:jc w:val="left"/>
            </w:pPr>
            <w:r>
              <w:t xml:space="preserve">Нет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Базовый выбор первой версии.</w:t>
            </w:r>
            <w:r>
              <w:t xml:space="preserve"> </w:t>
            </w:r>
            <w:r>
              <w:t xml:space="preserve">Дёшево, работает всегда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Распознавание серийника с фото таблички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сантиметры</w:t>
            </w:r>
          </w:p>
        </w:tc>
        <w:tc>
          <w:p>
            <w:pPr>
              <w:pStyle w:val="Compact"/>
              <w:jc w:val="left"/>
            </w:pPr>
            <w:r>
              <w:t xml:space="preserve">Нет</w:t>
            </w:r>
          </w:p>
        </w:tc>
        <w:tc>
          <w:p>
            <w:pPr>
              <w:pStyle w:val="Compact"/>
              <w:jc w:val="left"/>
            </w:pPr>
            <w:r>
              <w:t xml:space="preserve">Резервный метод: таблички выцветают, залиты, недоступны на высоте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Радиочастотная метка пассивная дальнего действия</w:t>
            </w:r>
          </w:p>
        </w:tc>
        <w:tc>
          <w:p>
            <w:pPr>
              <w:pStyle w:val="Compact"/>
              <w:jc w:val="left"/>
            </w:pPr>
            <w:r>
              <w:t xml:space="preserve">Средняя</w:t>
            </w:r>
          </w:p>
        </w:tc>
        <w:tc>
          <w:p>
            <w:pPr>
              <w:pStyle w:val="Compact"/>
              <w:jc w:val="left"/>
            </w:pPr>
            <w:r>
              <w:t xml:space="preserve">1–12 м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Да, сотни в секунду</w:t>
            </w:r>
          </w:p>
        </w:tc>
        <w:tc>
          <w:p>
            <w:pPr>
              <w:pStyle w:val="Compact"/>
              <w:jc w:val="left"/>
            </w:pPr>
            <w:r>
              <w:t xml:space="preserve">Склад и ворота,</w:t>
            </w:r>
            <w:r>
              <w:t xml:space="preserve"> </w:t>
            </w:r>
            <w:r>
              <w:rPr>
                <w:b/>
              </w:rPr>
              <w:t xml:space="preserve">только после обследования радиочастотного окружения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Радиомаяк с батареей</w:t>
            </w:r>
          </w:p>
        </w:tc>
        <w:tc>
          <w:p>
            <w:pPr>
              <w:pStyle w:val="Compact"/>
              <w:jc w:val="left"/>
            </w:pPr>
            <w:r>
              <w:t xml:space="preserve">Высокая</w:t>
            </w:r>
          </w:p>
        </w:tc>
        <w:tc>
          <w:p>
            <w:pPr>
              <w:pStyle w:val="Compact"/>
              <w:jc w:val="left"/>
            </w:pPr>
            <w:r>
              <w:t xml:space="preserve">10–50 м</w:t>
            </w:r>
          </w:p>
        </w:tc>
        <w:tc>
          <w:p>
            <w:pPr>
              <w:pStyle w:val="Compact"/>
              <w:jc w:val="left"/>
            </w:pPr>
            <w:r>
              <w:t xml:space="preserve">Да</w:t>
            </w:r>
          </w:p>
        </w:tc>
        <w:tc>
          <w:p>
            <w:pPr>
              <w:pStyle w:val="Compact"/>
              <w:jc w:val="left"/>
            </w:pPr>
            <w:r>
              <w:t xml:space="preserve">Высокоценные мобильные активы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Спутниковый трекер</w:t>
            </w:r>
          </w:p>
        </w:tc>
        <w:tc>
          <w:p>
            <w:pPr>
              <w:pStyle w:val="Compact"/>
              <w:jc w:val="left"/>
            </w:pPr>
            <w:r>
              <w:t xml:space="preserve">Очень высокая + связь</w:t>
            </w:r>
          </w:p>
        </w:tc>
        <w:tc>
          <w:p>
            <w:pPr>
              <w:pStyle w:val="Compact"/>
              <w:jc w:val="left"/>
            </w:pPr>
            <w:r>
              <w:t xml:space="preserve">глобально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Транспорт, генераторы, оборудование в пути</w:t>
            </w:r>
          </w:p>
        </w:tc>
      </w:tr>
    </w:tbl>
    <w:p>
      <w:pPr>
        <w:pStyle w:val="BodyText"/>
      </w:pPr>
      <w:r>
        <w:rPr>
          <w:b/>
        </w:rPr>
        <w:t xml:space="preserve">Предупреждение по радиочастотной идентификации.</w:t>
      </w:r>
      <w:r>
        <w:t xml:space="preserve"> </w:t>
      </w:r>
      <w:r>
        <w:t xml:space="preserve">Обобщение практики более чем 500 внедрений: установка без профессионального обследования радиочастотного окружения даёт считывание</w:t>
      </w:r>
      <w:r>
        <w:t xml:space="preserve"> </w:t>
      </w:r>
      <w:r>
        <w:rPr>
          <w:b/>
        </w:rPr>
        <w:t xml:space="preserve">60–80% вместо 99%+</w:t>
      </w:r>
      <w:r>
        <w:t xml:space="preserve">, избыточные ложные считывания и часто требует полной переустановки. Для склада с металлическими стеллажами и металлическим оборудованием это критично.</w:t>
      </w:r>
      <w:r>
        <w:t xml:space="preserve"> </w:t>
      </w:r>
      <w:r>
        <w:rPr>
          <w:b/>
        </w:rPr>
        <w:t xml:space="preserve">В первую версию не входит.</w:t>
      </w:r>
    </w:p>
    <w:p>
      <w:pPr>
        <w:pStyle w:val="Heading3"/>
      </w:pPr>
      <w:bookmarkStart w:id="27" w:name="поставщики-оборудования-идентификации"/>
      <w:r>
        <w:t xml:space="preserve">4.2. Поставщики оборудования идентификации</w:t>
      </w:r>
      <w:bookmarkEnd w:id="27"/>
    </w:p>
    <w:p>
      <w:pPr>
        <w:pStyle w:val="FirstParagraph"/>
      </w:pPr>
      <w:r>
        <w:t xml:space="preserve">Рынок фрагментирован и во многом локален. Ключевые имена:</w:t>
      </w:r>
      <w:r>
        <w:t xml:space="preserve"> </w:t>
      </w:r>
      <w:r>
        <w:rPr>
          <w:b/>
        </w:rPr>
        <w:t xml:space="preserve">Zebra Technologies</w:t>
      </w:r>
      <w:r>
        <w:t xml:space="preserve"> </w:t>
      </w:r>
      <w:r>
        <w:t xml:space="preserve">(считыватели и инфраструктура, фактический стандарт),</w:t>
      </w:r>
      <w:r>
        <w:t xml:space="preserve"> </w:t>
      </w:r>
      <w:r>
        <w:rPr>
          <w:b/>
        </w:rPr>
        <w:t xml:space="preserve">Impinj</w:t>
      </w:r>
      <w:r>
        <w:t xml:space="preserve"> </w:t>
      </w:r>
      <w:r>
        <w:t xml:space="preserve">(чипы и считыватели),</w:t>
      </w:r>
      <w:r>
        <w:t xml:space="preserve"> </w:t>
      </w:r>
      <w:r>
        <w:rPr>
          <w:b/>
        </w:rPr>
        <w:t xml:space="preserve">Camcode</w:t>
      </w:r>
      <w:r>
        <w:t xml:space="preserve"> </w:t>
      </w:r>
      <w:r>
        <w:t xml:space="preserve">(промышленная маркировка, в том числе для телеком-опор),</w:t>
      </w:r>
      <w:r>
        <w:t xml:space="preserve"> </w:t>
      </w:r>
      <w:r>
        <w:rPr>
          <w:b/>
        </w:rPr>
        <w:t xml:space="preserve">Litum</w:t>
      </w:r>
      <w:r>
        <w:t xml:space="preserve">,</w:t>
      </w:r>
      <w:r>
        <w:t xml:space="preserve"> </w:t>
      </w:r>
      <w:r>
        <w:rPr>
          <w:b/>
        </w:rPr>
        <w:t xml:space="preserve">AssetPulse</w:t>
      </w:r>
      <w:r>
        <w:t xml:space="preserve">.</w:t>
      </w:r>
    </w:p>
    <w:p>
      <w:pPr>
        <w:pStyle w:val="BodyText"/>
      </w:pPr>
      <w:r>
        <w:rPr>
          <w:b/>
        </w:rPr>
        <w:t xml:space="preserve">Наш вывод: закупаем оборудование, не производим.</w:t>
      </w:r>
      <w:r>
        <w:t xml:space="preserve"> </w:t>
      </w:r>
      <w:r>
        <w:t xml:space="preserve">Наша задача — быть платформой, принимающей события от любого считывателя.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8" w:name="компьютерное-зрение-фаза-3-не-раньше"/>
      <w:r>
        <w:t xml:space="preserve">5. Компьютерное зрение — фаза 3, не раньше</w:t>
      </w:r>
      <w:bookmarkEnd w:id="28"/>
    </w:p>
    <w:tbl>
      <w:tblPr>
        <w:tblStyle w:val="Table"/>
        <w:tblW w:type="pct" w:w="5000.0"/>
        <w:tblLook w:firstRow="1"/>
      </w:tblPr>
      <w:tblGrid>
        <w:gridCol w:w="1584"/>
        <w:gridCol w:w="1584"/>
        <w:gridCol w:w="1584"/>
        <w:gridCol w:w="1584"/>
        <w:gridCol w:w="1584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№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Решение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Методика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Сильные стороны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Ограничения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Deepomatic</w:t>
            </w:r>
          </w:p>
        </w:tc>
        <w:tc>
          <w:p>
            <w:pPr>
              <w:pStyle w:val="Compact"/>
              <w:jc w:val="left"/>
            </w:pPr>
            <w:r>
              <w:t xml:space="preserve">Распознавание образов для верификации работы полевых бригад в реальном времени; работает онлайн и офлайн; читает этикетки и распознаёт артикулы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Наиболее близкое к нашей задаче:</w:t>
            </w:r>
            <w:r>
              <w:t xml:space="preserve"> </w:t>
            </w:r>
            <w:r>
              <w:t xml:space="preserve">обнаружение ошибок монтажа и отсутствующих компонентов</w:t>
            </w:r>
          </w:p>
        </w:tc>
        <w:tc>
          <w:p>
            <w:pPr>
              <w:pStyle w:val="Compact"/>
              <w:jc w:val="left"/>
            </w:pPr>
            <w:r>
              <w:t xml:space="preserve">Верификация, а не учёт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Ericsson (инспекция площадок)</w:t>
            </w:r>
          </w:p>
        </w:tc>
        <w:tc>
          <w:p>
            <w:pPr>
              <w:pStyle w:val="Compact"/>
              <w:jc w:val="left"/>
            </w:pPr>
            <w:r>
              <w:t xml:space="preserve">Автоматическая генерация инвентаря оборудования площадки, трёхмерная модель с распознанным оборудованием, обнаружение аномалий: коррозия, неправильно подключённые кабели, наклонённые антенны</w:t>
            </w:r>
          </w:p>
        </w:tc>
        <w:tc>
          <w:p>
            <w:pPr>
              <w:pStyle w:val="Compact"/>
              <w:jc w:val="left"/>
            </w:pPr>
            <w:r>
              <w:t xml:space="preserve">Отраслевая экспертиза, ускоренная приёмка заказчиком</w:t>
            </w:r>
          </w:p>
        </w:tc>
        <w:tc>
          <w:p>
            <w:pPr>
              <w:pStyle w:val="Compact"/>
              <w:jc w:val="left"/>
            </w:pPr>
            <w:r>
              <w:t xml:space="preserve">Привязка к экосистеме вендора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Bentley OpenTower iQ</w:t>
            </w:r>
          </w:p>
        </w:tc>
        <w:tc>
          <w:p>
            <w:pPr>
              <w:pStyle w:val="Compact"/>
              <w:jc w:val="left"/>
            </w:pPr>
            <w:r>
              <w:t xml:space="preserve">Съёмка с беспилотника → цифровой двойник вышки; удалённая оценка антенн, креплений, кабелей</w:t>
            </w:r>
          </w:p>
        </w:tc>
        <w:tc>
          <w:p>
            <w:pPr>
              <w:pStyle w:val="Compact"/>
              <w:jc w:val="left"/>
            </w:pPr>
            <w:r>
              <w:t xml:space="preserve">Наиболее зрелое решение для башен</w:t>
            </w:r>
          </w:p>
        </w:tc>
        <w:tc>
          <w:p>
            <w:pPr>
              <w:pStyle w:val="Compact"/>
              <w:jc w:val="left"/>
            </w:pPr>
            <w:r>
              <w:t xml:space="preserve">Фокус на конструкции и инспекции, не на учётной единице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vHive</w:t>
            </w:r>
          </w:p>
        </w:tc>
        <w:tc>
          <w:p>
            <w:pPr>
              <w:pStyle w:val="Compact"/>
              <w:jc w:val="left"/>
            </w:pPr>
            <w:r>
              <w:t xml:space="preserve">Автономная съёмка и цифровые двойники площадок</w:t>
            </w:r>
          </w:p>
        </w:tc>
        <w:tc>
          <w:p>
            <w:pPr>
              <w:pStyle w:val="Compact"/>
              <w:jc w:val="left"/>
            </w:pPr>
            <w:r>
              <w:t xml:space="preserve">Масштабируемость съёмки</w:t>
            </w:r>
          </w:p>
        </w:tc>
        <w:tc>
          <w:p>
            <w:pPr>
              <w:pStyle w:val="Compact"/>
              <w:jc w:val="left"/>
            </w:pPr>
            <w:r>
              <w:t xml:space="preserve">Сервисная модель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Pointivo</w:t>
            </w:r>
          </w:p>
        </w:tc>
        <w:tc>
          <w:p>
            <w:pPr>
              <w:pStyle w:val="Compact"/>
              <w:jc w:val="left"/>
            </w:pPr>
            <w:r>
              <w:t xml:space="preserve">Размерно точные трёхмерные двойники и аналитика для телеком-аудита</w:t>
            </w:r>
          </w:p>
        </w:tc>
        <w:tc>
          <w:p>
            <w:pPr>
              <w:pStyle w:val="Compact"/>
              <w:jc w:val="left"/>
            </w:pPr>
            <w:r>
              <w:t xml:space="preserve">Специализация на телеком-аудите</w:t>
            </w:r>
          </w:p>
        </w:tc>
        <w:tc>
          <w:p>
            <w:pPr>
              <w:pStyle w:val="Compact"/>
              <w:jc w:val="left"/>
            </w:pPr>
            <w:r>
              <w:t xml:space="preserve">Зависимость от съёмки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IQGeo</w:t>
            </w:r>
          </w:p>
        </w:tc>
        <w:tc>
          <w:p>
            <w:pPr>
              <w:pStyle w:val="Compact"/>
              <w:jc w:val="left"/>
            </w:pPr>
            <w:r>
              <w:t xml:space="preserve">Геопространственное управление сетевой инфраструктурой</w:t>
            </w:r>
          </w:p>
        </w:tc>
        <w:tc>
          <w:p>
            <w:pPr>
              <w:pStyle w:val="Compact"/>
              <w:jc w:val="left"/>
            </w:pPr>
            <w:r>
              <w:t xml:space="preserve">Сильный геоконтур</w:t>
            </w:r>
          </w:p>
        </w:tc>
        <w:tc>
          <w:p>
            <w:pPr>
              <w:pStyle w:val="Compact"/>
              <w:jc w:val="left"/>
            </w:pPr>
            <w:r>
              <w:t xml:space="preserve">Не про экземпляры и деньги</w:t>
            </w:r>
          </w:p>
        </w:tc>
      </w:tr>
    </w:tbl>
    <w:p>
      <w:pPr>
        <w:pStyle w:val="Heading3"/>
      </w:pPr>
      <w:bookmarkStart w:id="29" w:name="честное-разграничение-возможностей"/>
      <w:r>
        <w:t xml:space="preserve">Честное разграничение возможностей</w:t>
      </w:r>
      <w:bookmarkEnd w:id="29"/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Задача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Выполнима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Комментарий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«На фото есть антенна»</w:t>
            </w:r>
          </w:p>
        </w:tc>
        <w:tc>
          <w:p>
            <w:pPr>
              <w:pStyle w:val="Compact"/>
              <w:jc w:val="left"/>
            </w:pPr>
            <w:r>
              <w:t xml:space="preserve">✅ Да</w:t>
            </w:r>
          </w:p>
        </w:tc>
        <w:tc>
          <w:p>
            <w:pPr>
              <w:pStyle w:val="Compact"/>
              <w:jc w:val="left"/>
            </w:pPr>
            <w:r>
              <w:t xml:space="preserve">Классификация — зрелая задача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«Это антенна модели Х»</w:t>
            </w:r>
          </w:p>
        </w:tc>
        <w:tc>
          <w:p>
            <w:pPr>
              <w:pStyle w:val="Compact"/>
              <w:jc w:val="left"/>
            </w:pPr>
            <w:r>
              <w:t xml:space="preserve">✅ Скорее да</w:t>
            </w:r>
          </w:p>
        </w:tc>
        <w:tc>
          <w:p>
            <w:pPr>
              <w:pStyle w:val="Compact"/>
              <w:jc w:val="left"/>
            </w:pPr>
            <w:r>
              <w:t xml:space="preserve">Требует обучения на вашем парке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«Смонтировано согласно проекту»</w:t>
            </w:r>
          </w:p>
        </w:tc>
        <w:tc>
          <w:p>
            <w:pPr>
              <w:pStyle w:val="Compact"/>
              <w:jc w:val="left"/>
            </w:pPr>
            <w:r>
              <w:t xml:space="preserve">✅ Да</w:t>
            </w:r>
          </w:p>
        </w:tc>
        <w:tc>
          <w:p>
            <w:pPr>
              <w:pStyle w:val="Compact"/>
              <w:jc w:val="left"/>
            </w:pPr>
            <w:r>
              <w:t xml:space="preserve">Сравнение с шаблоном работает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«Это конкретный экземпляр с серийником 4711»</w:t>
            </w:r>
          </w:p>
        </w:tc>
        <w:tc>
          <w:p>
            <w:pPr>
              <w:pStyle w:val="Compact"/>
              <w:jc w:val="left"/>
            </w:pPr>
            <w:r>
              <w:t xml:space="preserve">❌</w:t>
            </w:r>
            <w:r>
              <w:t xml:space="preserve"> </w:t>
            </w:r>
            <w:r>
              <w:rPr>
                <w:b/>
              </w:rPr>
              <w:t xml:space="preserve">Нет</w:t>
            </w:r>
          </w:p>
        </w:tc>
        <w:tc>
          <w:p>
            <w:pPr>
              <w:pStyle w:val="Compact"/>
              <w:jc w:val="left"/>
            </w:pPr>
            <w:r>
              <w:t xml:space="preserve">Только распознавание читаемой таблички или скан метки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«Всё оборудование на площадке учтено»</w:t>
            </w:r>
          </w:p>
        </w:tc>
        <w:tc>
          <w:p>
            <w:pPr>
              <w:pStyle w:val="Compact"/>
              <w:jc w:val="left"/>
            </w:pPr>
            <w:r>
              <w:t xml:space="preserve">❌ Нет</w:t>
            </w:r>
          </w:p>
        </w:tc>
        <w:tc>
          <w:p>
            <w:pPr>
              <w:pStyle w:val="Compact"/>
              <w:jc w:val="left"/>
            </w:pPr>
            <w:r>
              <w:t xml:space="preserve">Камера видит то, что в кадре, а не то, что есть</w:t>
            </w:r>
          </w:p>
        </w:tc>
      </w:tr>
    </w:tbl>
    <w:p>
      <w:pPr>
        <w:pStyle w:val="BodyText"/>
      </w:pPr>
      <w:r>
        <w:rPr>
          <w:b/>
        </w:rPr>
        <w:t xml:space="preserve">Наш вывод: партнёрство на фазе 3, собственные дообученные модели — не раньше фазы 4.</w:t>
      </w:r>
      <w:r>
        <w:t xml:space="preserve"> </w:t>
      </w:r>
      <w:r>
        <w:t xml:space="preserve">Компьютерное зрение — инструмент верификации и приёмки, а не идентификации и учёта. Строить своё зрение до подтверждения спроса — классическая ошибка распределения ресурсов.</w:t>
      </w:r>
    </w:p>
    <w:p>
      <w:pPr>
        <w:pStyle w:val="BodyText"/>
      </w:pPr>
      <w:r>
        <w:rPr>
          <w:b/>
        </w:rPr>
        <w:t xml:space="preserve">Про умные очки отдельно:</w:t>
      </w:r>
      <w:r>
        <w:t xml:space="preserve"> </w:t>
      </w:r>
      <w:r>
        <w:t xml:space="preserve">батарея разряжается примерно за 2,5 часа при заявленных до 8; вопросы техники безопасности при работе на высоте; стоимость против имеющегося смартфона; сопротивление персонала.</w:t>
      </w:r>
      <w:r>
        <w:t xml:space="preserve"> </w:t>
      </w:r>
      <w:r>
        <w:rPr>
          <w:b/>
        </w:rPr>
        <w:t xml:space="preserve">Rakuten — компания с наибольшим опытом в этой области — использует смартфон.</w:t>
      </w:r>
      <w:r>
        <w:t xml:space="preserve"> </w:t>
      </w:r>
      <w:r>
        <w:t xml:space="preserve">Это сильный сигнал.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0" w:name="Xafc5fbbc2a9b5ccca83a8b149098d54b4736b6c"/>
      <w:r>
        <w:t xml:space="preserve">6. Оптимизация запасов и запчастей — отложенная область</w:t>
      </w:r>
      <w:bookmarkEnd w:id="30"/>
    </w:p>
    <w:tbl>
      <w:tblPr>
        <w:tblStyle w:val="Table"/>
        <w:tblW w:type="pct" w:w="5000.0"/>
        <w:tblLook w:firstRow="1"/>
      </w:tblPr>
      <w:tblGrid>
        <w:gridCol w:w="1584"/>
        <w:gridCol w:w="1584"/>
        <w:gridCol w:w="1584"/>
        <w:gridCol w:w="1584"/>
        <w:gridCol w:w="1584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№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Решение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Методика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Сильные стороны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Ограничения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PTC Servigistics</w:t>
            </w:r>
          </w:p>
        </w:tc>
        <w:tc>
          <w:p>
            <w:pPr>
              <w:pStyle w:val="Compact"/>
              <w:jc w:val="left"/>
            </w:pPr>
            <w:r>
              <w:t xml:space="preserve">Многоуровневая оптимизация сервисной цепи, прогноз доступности деталей</w:t>
            </w:r>
          </w:p>
        </w:tc>
        <w:tc>
          <w:p>
            <w:pPr>
              <w:pStyle w:val="Compact"/>
              <w:jc w:val="left"/>
            </w:pPr>
            <w:r>
              <w:t xml:space="preserve">Признанный лидер, глубокая математика</w:t>
            </w:r>
          </w:p>
        </w:tc>
        <w:tc>
          <w:p>
            <w:pPr>
              <w:pStyle w:val="Compact"/>
              <w:jc w:val="left"/>
            </w:pPr>
            <w:r>
              <w:t xml:space="preserve">Ориентация на производителей оборудования; дорого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Baxter Planning</w:t>
            </w:r>
          </w:p>
        </w:tc>
        <w:tc>
          <w:p>
            <w:pPr>
              <w:pStyle w:val="Compact"/>
              <w:jc w:val="left"/>
            </w:pPr>
            <w:r>
              <w:t xml:space="preserve">Прогноз спроса и целевых уровней, интеграция в существующий ландшафт</w:t>
            </w:r>
          </w:p>
        </w:tc>
        <w:tc>
          <w:p>
            <w:pPr>
              <w:pStyle w:val="Compact"/>
              <w:jc w:val="left"/>
            </w:pPr>
            <w:r>
              <w:t xml:space="preserve">Лидер по оценке независимых аналитиков (2025); хорошо работает поверх существующих систем, не требуя их замены</w:t>
            </w:r>
          </w:p>
        </w:tc>
        <w:tc>
          <w:p>
            <w:pPr>
              <w:pStyle w:val="Compact"/>
              <w:jc w:val="left"/>
            </w:pPr>
            <w:r>
              <w:t xml:space="preserve">Требует чистых исторических данных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Syncron Inventory</w:t>
            </w:r>
          </w:p>
        </w:tc>
        <w:tc>
          <w:p>
            <w:pPr>
              <w:pStyle w:val="Compact"/>
              <w:jc w:val="left"/>
            </w:pPr>
            <w:r>
              <w:t xml:space="preserve">Оптимизация уровней запаса при заданном уровне сервиса</w:t>
            </w:r>
          </w:p>
        </w:tc>
        <w:tc>
          <w:p>
            <w:pPr>
              <w:pStyle w:val="Compact"/>
              <w:jc w:val="left"/>
            </w:pPr>
            <w:r>
              <w:t xml:space="preserve">Зрелая экспертиза послепродажного обслуживания</w:t>
            </w:r>
          </w:p>
        </w:tc>
        <w:tc>
          <w:p>
            <w:pPr>
              <w:pStyle w:val="Compact"/>
              <w:jc w:val="left"/>
            </w:pPr>
            <w:r>
              <w:t xml:space="preserve">Мир дилеров, не телеком-площадок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Verusen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Гармонизация справочных данных материалов машинным обучением</w:t>
            </w:r>
            <w:r>
              <w:t xml:space="preserve">, затем оптимизация запаса по критичности активов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Самая близкая к нам философия: сначала данные, потом оптимизация</w:t>
            </w:r>
          </w:p>
        </w:tc>
        <w:tc>
          <w:p>
            <w:pPr>
              <w:pStyle w:val="Compact"/>
              <w:jc w:val="left"/>
            </w:pPr>
            <w:r>
              <w:t xml:space="preserve">Промышленность и энергетика, не телеком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Lokad</w:t>
            </w:r>
          </w:p>
        </w:tc>
        <w:tc>
          <w:p>
            <w:pPr>
              <w:pStyle w:val="Compact"/>
              <w:jc w:val="left"/>
            </w:pPr>
            <w:r>
              <w:t xml:space="preserve">Вероятностное прогнозирование, экономическая оптимизация вместо уровней сервиса</w:t>
            </w:r>
          </w:p>
        </w:tc>
        <w:tc>
          <w:p>
            <w:pPr>
              <w:pStyle w:val="Compact"/>
              <w:jc w:val="left"/>
            </w:pPr>
            <w:r>
              <w:t xml:space="preserve">Методологически сильный нестандартный подход</w:t>
            </w:r>
          </w:p>
        </w:tc>
        <w:tc>
          <w:p>
            <w:pPr>
              <w:pStyle w:val="Compact"/>
              <w:jc w:val="left"/>
            </w:pPr>
            <w:r>
              <w:t xml:space="preserve">Требует высокой аналитической зрелости заказчика</w:t>
            </w:r>
          </w:p>
        </w:tc>
      </w:tr>
    </w:tbl>
    <w:p>
      <w:pPr>
        <w:pStyle w:val="BodyText"/>
      </w:pPr>
      <w:r>
        <w:rPr>
          <w:b/>
        </w:rPr>
        <w:t xml:space="preserve">Наш вывод: область отложена после фазы 3.</w:t>
      </w:r>
      <w:r>
        <w:t xml:space="preserve"> </w:t>
      </w:r>
      <w:r>
        <w:t xml:space="preserve">Ценность не в математике — она зрелая и воспроизводимая, — а в качестве входных данных, которое даём мы.</w:t>
      </w:r>
      <w:r>
        <w:t xml:space="preserve"> </w:t>
      </w:r>
      <w:r>
        <w:rPr>
          <w:b/>
        </w:rPr>
        <w:t xml:space="preserve">Verusen — эталон подхода «сначала справочные данные, потом оптимизация»</w:t>
      </w:r>
      <w:r>
        <w:t xml:space="preserve">, изучить их позиционирование: это наша логика в соседней отрасли.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1" w:name="обратная-логистика-и-вторичный-рынок"/>
      <w:r>
        <w:t xml:space="preserve">7. Обратная логистика и вторичный рынок</w:t>
      </w:r>
      <w:bookmarkEnd w:id="31"/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№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Игрок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Методика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Роль для нас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TXO</w:t>
            </w:r>
            <w:r>
              <w:t xml:space="preserve">,</w:t>
            </w:r>
            <w:r>
              <w:t xml:space="preserve"> </w:t>
            </w:r>
            <w:r>
              <w:rPr>
                <w:b/>
              </w:rPr>
              <w:t xml:space="preserve">PICS Telecom</w:t>
            </w:r>
          </w:p>
        </w:tc>
        <w:tc>
          <w:p>
            <w:pPr>
              <w:pStyle w:val="Compact"/>
              <w:jc w:val="left"/>
            </w:pPr>
            <w:r>
              <w:t xml:space="preserve">Глобальный вторичный рынок: выкуп, восстановление, перепродажа, утилизация с отчётностью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Ключевой тип партнёра:</w:t>
            </w:r>
            <w:r>
              <w:t xml:space="preserve"> </w:t>
            </w:r>
            <w:r>
              <w:t xml:space="preserve">дают рыночную цену для оценки возвратной стоимости и канал реализации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Telefónica MAIA</w:t>
            </w:r>
          </w:p>
        </w:tc>
        <w:tc>
          <w:p>
            <w:pPr>
              <w:pStyle w:val="Compact"/>
              <w:jc w:val="left"/>
            </w:pPr>
            <w:r>
              <w:t xml:space="preserve">Внутренний маркетплейс: визуализация доступного к переиспользованию оборудования, связывание спроса и предложения между компаниями группы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Эталонная практика.</w:t>
            </w:r>
            <w:r>
              <w:t xml:space="preserve"> </w:t>
            </w:r>
            <w:r>
              <w:t xml:space="preserve">43% переиспользовано, 57% переработано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Vodafone (внутренний маркетплейс активов)</w:t>
            </w:r>
          </w:p>
        </w:tc>
        <w:tc>
          <w:p>
            <w:pPr>
              <w:pStyle w:val="Compact"/>
              <w:jc w:val="left"/>
            </w:pPr>
            <w:r>
              <w:t xml:space="preserve">Та же модель</w:t>
            </w:r>
          </w:p>
        </w:tc>
        <w:tc>
          <w:p>
            <w:pPr>
              <w:pStyle w:val="Compact"/>
              <w:jc w:val="left"/>
            </w:pPr>
            <w:r>
              <w:t xml:space="preserve">Заявлено сокращение выбросов на 2 500 тонн и экономия 10,8 млн евро за счёт отказа от закупки нового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Nefab</w:t>
            </w:r>
          </w:p>
        </w:tc>
        <w:tc>
          <w:p>
            <w:pPr>
              <w:pStyle w:val="Compact"/>
              <w:jc w:val="left"/>
            </w:pPr>
            <w:r>
              <w:t xml:space="preserve">Возвратная упаковка и цифровое отслеживание в обратной логистике</w:t>
            </w:r>
          </w:p>
        </w:tc>
        <w:tc>
          <w:p>
            <w:pPr>
              <w:pStyle w:val="Compact"/>
              <w:jc w:val="left"/>
            </w:pPr>
            <w:r>
              <w:t xml:space="preserve">Партнёр по физической логистике возврата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Локальные операторы утилизации</w:t>
            </w:r>
          </w:p>
        </w:tc>
        <w:tc>
          <w:p>
            <w:pPr>
              <w:pStyle w:val="Compact"/>
              <w:jc w:val="left"/>
            </w:pPr>
            <w:r>
              <w:t xml:space="preserve">Утилизация с документами</w:t>
            </w:r>
          </w:p>
        </w:tc>
        <w:tc>
          <w:p>
            <w:pPr>
              <w:pStyle w:val="Compact"/>
              <w:jc w:val="left"/>
            </w:pPr>
            <w:r>
              <w:t xml:space="preserve">Обязательный элемент контура, требует локального анализа</w:t>
            </w:r>
          </w:p>
        </w:tc>
      </w:tr>
    </w:tbl>
    <w:p>
      <w:pPr>
        <w:pStyle w:val="BodyText"/>
      </w:pPr>
      <w:r>
        <w:rPr>
          <w:b/>
        </w:rPr>
        <w:t xml:space="preserve">Наш вывод: строим свой контур решений, партнёримся по каналам реализации и утилизации.</w:t>
      </w:r>
      <w:r>
        <w:t xml:space="preserve"> </w:t>
      </w:r>
      <w:r>
        <w:t xml:space="preserve">Ценность — в дисциплине принятия решения «ремонт / переиспользование / продажа / лом» и в связи этого решения с планированием закупки, а не в самой перепродаже.</w:t>
      </w:r>
    </w:p>
    <w:p>
      <w:pPr>
        <w:pStyle w:val="BodyText"/>
      </w:pPr>
      <w:r>
        <w:rPr>
          <w:b/>
        </w:rPr>
        <w:t xml:space="preserve">Внутренний маркетплейс переиспользования — сильная идея для фазы 3.</w:t>
      </w:r>
      <w:r>
        <w:t xml:space="preserve"> </w:t>
      </w:r>
      <w:r>
        <w:t xml:space="preserve">Модель Telefónica и Vodafone показывает, что визуализация доступного к переиспользованию оборудования сама по себе создаёт спрос внутри группы.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2" w:name="сводная-стратегия"/>
      <w:r>
        <w:t xml:space="preserve">8. Сводная стратегия</w:t>
      </w:r>
      <w:bookmarkEnd w:id="32"/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Область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Решение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Ближайший ориентир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Действие в ближайшие 3 месяца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Планирование инвестиций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Не строим</w:t>
            </w:r>
          </w:p>
        </w:tc>
        <w:tc>
          <w:p>
            <w:pPr>
              <w:pStyle w:val="Compact"/>
              <w:jc w:val="left"/>
            </w:pPr>
            <w:r>
              <w:t xml:space="preserve">Riaktr, Infovista</w:t>
            </w:r>
          </w:p>
        </w:tc>
        <w:tc>
          <w:p>
            <w:pPr>
              <w:pStyle w:val="Compact"/>
              <w:jc w:val="left"/>
            </w:pPr>
            <w:r>
              <w:t xml:space="preserve">Сформулировать границу в одном слайде;</w:t>
            </w:r>
          </w:p>
        </w:tc>
      </w:tr>
    </w:tbl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ru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2026-07-25T19:08:33Z</dcterms:created>
  <dcterms:modified xsi:type="dcterms:W3CDTF">2026-07-25T19:08:33Z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