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реестр-рисков"/>
      <w:r>
        <w:t xml:space="preserve">Реестр рисков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25.07.2026</w:t>
      </w:r>
      <w:r>
        <w:t xml:space="preserve"> </w:t>
      </w:r>
      <w:r>
        <w:rPr>
          <w:b/>
        </w:rPr>
        <w:t xml:space="preserve">Шкала:</w:t>
      </w:r>
      <w:r>
        <w:t xml:space="preserve"> </w:t>
      </w:r>
      <w:r>
        <w:t xml:space="preserve">вероятность и влияние — 1 низкое, 2 среднее, 3 высокое. Ранг = произведение.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21c84b330e46a12f476c4e051eda178a7434e9"/>
      <w:r>
        <w:t xml:space="preserve">1. Топ-5 рисков: с чего начинать каждый месяц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Почему первый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 снимается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Ю1, Ю3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Права на разработку и конфликт интересов не урегулированы</w:t>
            </w:r>
          </w:p>
        </w:tc>
        <w:tc>
          <w:p>
            <w:pPr>
              <w:pStyle w:val="Compact"/>
              <w:jc w:val="left"/>
            </w:pPr>
            <w:r>
              <w:t xml:space="preserve">Построите продукт, который вам не принадлежит, либо не сможете продать его собственному работодателю</w:t>
            </w:r>
          </w:p>
        </w:tc>
        <w:tc>
          <w:p>
            <w:pPr>
              <w:pStyle w:val="Compact"/>
              <w:jc w:val="left"/>
            </w:pPr>
            <w:r>
              <w:t xml:space="preserve">Первые 2 недели, письменно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Т1, Т11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Нет доступа к сетевой системе или она не отдаёт серийные номера</w:t>
            </w:r>
          </w:p>
        </w:tc>
        <w:tc>
          <w:p>
            <w:pPr>
              <w:pStyle w:val="Compact"/>
              <w:jc w:val="left"/>
            </w:pPr>
            <w:r>
              <w:t xml:space="preserve">Теряется самое дешёвое и сильное доказательство; экономика падает примерно вдвое</w:t>
            </w:r>
          </w:p>
        </w:tc>
        <w:tc>
          <w:p>
            <w:pPr>
              <w:pStyle w:val="Compact"/>
              <w:jc w:val="left"/>
            </w:pPr>
            <w:r>
              <w:t xml:space="preserve">Первая неделя — письменный запрос и фактическая проверка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Т2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Качество справочных данных ниже ожидаемого</w:t>
            </w:r>
          </w:p>
        </w:tc>
        <w:tc>
          <w:p>
            <w:pPr>
              <w:pStyle w:val="Compact"/>
              <w:jc w:val="left"/>
            </w:pPr>
            <w:r>
              <w:t xml:space="preserve">Без единого справочника все сверки дают мусор. Проект будет «почти работать» вечно</w:t>
            </w:r>
          </w:p>
        </w:tc>
        <w:tc>
          <w:p>
            <w:pPr>
              <w:pStyle w:val="Compact"/>
              <w:jc w:val="left"/>
            </w:pPr>
            <w:r>
              <w:t xml:space="preserve">Фаза 0, методолог справочных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Доля покрытия близка к нулю</w:t>
            </w:r>
          </w:p>
        </w:tc>
        <w:tc>
          <w:p>
            <w:pPr>
              <w:pStyle w:val="Compact"/>
              <w:jc w:val="left"/>
            </w:pPr>
            <w:r>
              <w:t xml:space="preserve">Исчезает главный драйвер ценности</w:t>
            </w:r>
          </w:p>
        </w:tc>
        <w:tc>
          <w:p>
            <w:pPr>
              <w:pStyle w:val="Compact"/>
              <w:jc w:val="left"/>
            </w:pPr>
            <w:r>
              <w:t xml:space="preserve">Первые 4 недели, замер метрики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Сопротивление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Данных не будет; контур подрядчика даёт четверть эффекта и почти весь контроль потерь</w:t>
            </w:r>
          </w:p>
        </w:tc>
        <w:tc>
          <w:p>
            <w:pPr>
              <w:pStyle w:val="Compact"/>
              <w:jc w:val="left"/>
            </w:pPr>
            <w:r>
              <w:t xml:space="preserve">Фаза 1, через компенсирующую выгоду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юридические-и-коммерческие-риски"/>
      <w:r>
        <w:t xml:space="preserve">2. Юридические и коммерческие риски</w:t>
      </w:r>
      <w:bookmarkEnd w:id="22"/>
    </w:p>
    <w:tbl>
      <w:tblPr>
        <w:tblStyle w:val="Table"/>
        <w:tblW w:type="pct" w:w="4999.999999999999"/>
        <w:tblLook w:firstRow="1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Вер.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Вл.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Ранг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Владелец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Права на разработку.</w:t>
            </w:r>
            <w:r>
              <w:t xml:space="preserve"> </w:t>
            </w:r>
            <w:r>
              <w:t xml:space="preserve">Архитектор решения работает в операторе и одновременно создаёт продукт во внешней компании. Если разработка ведётся в рабочее время, на инфраструктуре или на данных работодателя, работодатель может претендовать на результат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Письменно, до первой строки кода.</w:t>
            </w:r>
            <w:r>
              <w:t xml:space="preserve"> </w:t>
            </w:r>
            <w:r>
              <w:t xml:space="preserve">Раздельно фиксируются: принадлежность продуктового ядра внешней компании; режим использования данных оператора; порядок оплаты работ по внедрению</w:t>
            </w:r>
          </w:p>
        </w:tc>
        <w:tc>
          <w:p>
            <w:pPr>
              <w:pStyle w:val="Compact"/>
              <w:jc w:val="left"/>
            </w:pPr>
            <w:r>
              <w:t xml:space="preserve">Основатели + юрист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Ю2</w:t>
            </w:r>
          </w:p>
        </w:tc>
        <w:tc>
          <w:p>
            <w:pPr>
              <w:pStyle w:val="Compact"/>
              <w:jc w:val="left"/>
            </w:pPr>
            <w:r>
              <w:t xml:space="preserve">Использование данных оператора при работе с другими клиентами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Данные клиента остаются клиенту; нам принадлежат модели, правила сопоставления и код. Обезличивание закрепляется договором</w:t>
            </w:r>
          </w:p>
        </w:tc>
        <w:tc>
          <w:p>
            <w:pPr>
              <w:pStyle w:val="Compact"/>
              <w:jc w:val="left"/>
            </w:pPr>
            <w:r>
              <w:t xml:space="preserve">Юрист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Конфликт интересов: работодатель становится якорным клиентом.</w:t>
            </w:r>
            <w:r>
              <w:t xml:space="preserve"> </w:t>
            </w:r>
            <w:r>
              <w:t xml:space="preserve">Сотрудник оператора выступает поставщиком услуг этому же оператору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Явное раскрытие и согласование сделки со связанной стороной по внутренним процедурам оператора. Отстранение архитектора от принятия решения о закупке на стороне оператора.</w:t>
            </w:r>
            <w:r>
              <w:t xml:space="preserve"> </w:t>
            </w:r>
            <w:r>
              <w:rPr>
                <w:b/>
              </w:rPr>
              <w:t xml:space="preserve">Если процедура не проходится — искать другого якорного клиента</w:t>
            </w:r>
          </w:p>
        </w:tc>
        <w:tc>
          <w:p>
            <w:pPr>
              <w:pStyle w:val="Compact"/>
              <w:jc w:val="left"/>
            </w:pPr>
            <w:r>
              <w:t xml:space="preserve">Основатели + юрист + комплаенс оператора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Ю4</w:t>
            </w:r>
          </w:p>
        </w:tc>
        <w:tc>
          <w:p>
            <w:pPr>
              <w:pStyle w:val="Compact"/>
              <w:jc w:val="left"/>
            </w:pPr>
            <w:r>
              <w:t xml:space="preserve">Требования к локализации данных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Проектировать контур на территории страны с самого начала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Ю5</w:t>
            </w:r>
          </w:p>
        </w:tc>
        <w:tc>
          <w:p>
            <w:pPr>
              <w:pStyle w:val="Compact"/>
              <w:jc w:val="left"/>
            </w:pPr>
            <w:r>
              <w:t xml:space="preserve">Договоры с подрядчиками нельзя изменить в течение 12 месяцев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Юристы в проекте с фазы 0. При невозможности — ограничиться контуром склада</w:t>
            </w:r>
          </w:p>
        </w:tc>
        <w:tc>
          <w:p>
            <w:pPr>
              <w:pStyle w:val="Compact"/>
              <w:jc w:val="left"/>
            </w:pPr>
            <w:r>
              <w:t xml:space="preserve">Юрист заказчика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технические-риски"/>
      <w:r>
        <w:t xml:space="preserve">3. Технические риски</w:t>
      </w:r>
      <w:bookmarkEnd w:id="23"/>
    </w:p>
    <w:tbl>
      <w:tblPr>
        <w:tblStyle w:val="Table"/>
        <w:tblW w:type="pct" w:w="4999.999999999999"/>
        <w:tblLook w:firstRow="1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Вер.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Вл.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Ранг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Владелец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Нет доступа к сетевой системе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Письменный запрос на первой неделе с эскалацией к техническому директору. Запасной путь — ручная выгрузка активных секторов раз в месяц.</w:t>
            </w:r>
            <w:r>
              <w:t xml:space="preserve"> </w:t>
            </w:r>
            <w:r>
              <w:rPr>
                <w:b/>
              </w:rPr>
              <w:t xml:space="preserve">Критерий остановки на гейте 0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продукта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Качество справочных данных ниже ожидаемого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Методолог справочных данных с фазы 0; ограничение первой версии топ-50 позициями</w:t>
            </w:r>
          </w:p>
        </w:tc>
        <w:tc>
          <w:p>
            <w:pPr>
              <w:pStyle w:val="Compact"/>
              <w:jc w:val="left"/>
            </w:pPr>
            <w:r>
              <w:t xml:space="preserve">Методолог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Т3</w:t>
            </w:r>
          </w:p>
        </w:tc>
        <w:tc>
          <w:p>
            <w:pPr>
              <w:pStyle w:val="Compact"/>
              <w:jc w:val="left"/>
            </w:pPr>
            <w:r>
              <w:t xml:space="preserve">Закрытость сетевой системы вендора, нет программного интерфейса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Файловые выгрузки как основной путь; обнаружение по сетевым протоколам как обход; ссылка на стандарт TMF639 в переговорах с вендором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Т4</w:t>
            </w:r>
          </w:p>
        </w:tc>
        <w:tc>
          <w:p>
            <w:pPr>
              <w:pStyle w:val="Compact"/>
              <w:jc w:val="left"/>
            </w:pPr>
            <w:r>
              <w:t xml:space="preserve">Отсутствие серийной маркировки на значительной части парка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Кампания маркировки как отдельный бюджет; ограничение первой версии классами А и Б</w:t>
            </w:r>
          </w:p>
        </w:tc>
        <w:tc>
          <w:p>
            <w:pPr>
              <w:pStyle w:val="Compact"/>
              <w:jc w:val="left"/>
            </w:pPr>
            <w:r>
              <w:t xml:space="preserve">Внедрение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Т5</w:t>
            </w:r>
          </w:p>
        </w:tc>
        <w:tc>
          <w:p>
            <w:pPr>
              <w:pStyle w:val="Compact"/>
              <w:jc w:val="left"/>
            </w:pPr>
            <w:r>
              <w:t xml:space="preserve">Правила сопоставления не масштабируются между клиентами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Разделение правил на универсальные и клиентские с самого начала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Т6</w:t>
            </w:r>
          </w:p>
        </w:tc>
        <w:tc>
          <w:p>
            <w:pPr>
              <w:pStyle w:val="Compact"/>
              <w:jc w:val="left"/>
            </w:pPr>
            <w:r>
              <w:t xml:space="preserve">Форк кодовой базы под якорного клиента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Запрет на уровне архитектурного принципа; настройка только через конфигурацию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продукта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Т7</w:t>
            </w:r>
          </w:p>
        </w:tc>
        <w:tc>
          <w:p>
            <w:pPr>
              <w:pStyle w:val="Compact"/>
              <w:jc w:val="left"/>
            </w:pPr>
            <w:r>
              <w:t xml:space="preserve">Требования информационной безопасности блокируют интеграции и доступ подрядчиков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Служба безопасности в проекте с фазы 0; локальное развёртывание; отдельный контур доступа для внешних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Т8</w:t>
            </w:r>
          </w:p>
        </w:tc>
        <w:tc>
          <w:p>
            <w:pPr>
              <w:pStyle w:val="Compact"/>
              <w:jc w:val="left"/>
            </w:pPr>
            <w:r>
              <w:t xml:space="preserve">Отсутствие связи на площадках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Офлайн-режим приложения как обязательное требование, а не опция</w:t>
            </w:r>
          </w:p>
        </w:tc>
        <w:tc>
          <w:p>
            <w:pPr>
              <w:pStyle w:val="Compact"/>
              <w:jc w:val="left"/>
            </w:pPr>
            <w:r>
              <w:t xml:space="preserve">Мобильный разработчик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Т9</w:t>
            </w:r>
          </w:p>
        </w:tc>
        <w:tc>
          <w:p>
            <w:pPr>
              <w:pStyle w:val="Compact"/>
              <w:jc w:val="left"/>
            </w:pPr>
            <w:r>
              <w:t xml:space="preserve">Радиочастотные метки не работают в реальном окружении склада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Обследование радиочастотного окружения до закупки; двумерный штрихкод как базовый выбор</w:t>
            </w:r>
          </w:p>
        </w:tc>
        <w:tc>
          <w:p>
            <w:pPr>
              <w:pStyle w:val="Compact"/>
              <w:jc w:val="left"/>
            </w:pPr>
            <w:r>
              <w:t xml:space="preserve">Внедрение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Т10</w:t>
            </w:r>
          </w:p>
        </w:tc>
        <w:tc>
          <w:p>
            <w:pPr>
              <w:pStyle w:val="Compact"/>
              <w:jc w:val="left"/>
            </w:pPr>
            <w:r>
              <w:t xml:space="preserve">Производительность при 2 млн экземпляров и 50 млн событий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Нагрузочное тестирование на синтетике до первого крупного клиента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Системы управления сетью не отдают серийные номера без донастройки.</w:t>
            </w:r>
            <w:r>
              <w:t xml:space="preserve"> </w:t>
            </w:r>
            <w:r>
              <w:t xml:space="preserve">У якорного клиента возможность обозначена как теоретическая: «могут быть настроены»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Проверить фактически на первой неделе фазы 0. При отсутствии серийников связь с учётом строится через площадку и тип оборудования — менее точно и требует признания этого ограничения в оценке эффекта. Донастройка на стороне оператора закладывается в план как отдельная работа технического департамента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продукта + технический департамент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Заказ на работу не содержит материального листа</w:t>
            </w:r>
            <w:r>
              <w:t xml:space="preserve">, только описание работ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Проверить в фазе 0. При отсутствии — материальный лист формируется в нашем продукте из проектной спецификации, что увеличивает объём первой версии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Проектная документация по площадкам оформлена разнородно</w:t>
            </w:r>
            <w:r>
              <w:t xml:space="preserve">, извлечение спецификаций не автоматизируется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Разобрать 20–30 реальных образцов в фазе 0. При разнородности — вынести извлечение за периметр первой версии, использовать общий норматив «штук на площадку»</w:t>
            </w:r>
          </w:p>
        </w:tc>
        <w:tc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Т14</w:t>
            </w:r>
          </w:p>
        </w:tc>
        <w:tc>
          <w:p>
            <w:pPr>
              <w:pStyle w:val="Compact"/>
              <w:jc w:val="left"/>
            </w:pPr>
            <w:r>
              <w:t xml:space="preserve">Унаследованная пассивная инфраструктура не восстанавливается в разумные сроки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Принятое ограничение:</w:t>
            </w:r>
            <w:r>
              <w:t xml:space="preserve"> </w:t>
            </w:r>
            <w:r>
              <w:t xml:space="preserve">граница проводится по дате внедрения. Корректный учёт гарантируется для нового, унаследованное восстанавливается выборочно в фазе 3 и позже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продукта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организационные-риски"/>
      <w:r>
        <w:t xml:space="preserve">4. Организационные риски</w:t>
      </w:r>
      <w:bookmarkEnd w:id="24"/>
    </w:p>
    <w:tbl>
      <w:tblPr>
        <w:tblStyle w:val="Table"/>
        <w:tblW w:type="pct" w:w="4999.999999999999"/>
        <w:tblLook w:firstRow="1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Вер.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Вл.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Ранг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Владелец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Сопротивление подрядчиков; приложением не пользуются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Компенсирующая выгода: работа принята → оплата сразу.</w:t>
            </w:r>
            <w:r>
              <w:t xml:space="preserve"> </w:t>
            </w:r>
            <w:r>
              <w:t xml:space="preserve">Пилот с лояльным подрядчиком плюс один сложный. Договорное закрепление. Интерфейс не более 30 секунд на операцию</w:t>
            </w:r>
          </w:p>
        </w:tc>
        <w:tc>
          <w:p>
            <w:pPr>
              <w:pStyle w:val="Compact"/>
              <w:jc w:val="left"/>
            </w:pPr>
            <w:r>
              <w:t xml:space="preserve">Полевой координатор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О2</w:t>
            </w:r>
          </w:p>
        </w:tc>
        <w:tc>
          <w:p>
            <w:pPr>
              <w:pStyle w:val="Compact"/>
              <w:jc w:val="left"/>
            </w:pPr>
            <w:r>
              <w:t xml:space="preserve">Нет спонсора уровня финансового директора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Не запускать проект без спонсора — зафиксировано в уставе как условие старта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продукта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2026-07-25T19:08:33Z</dcterms:created>
  <dcterms:modified xsi:type="dcterms:W3CDTF">2026-07-25T19:08:33Z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