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запрос-данных-для-фазы-0"/>
      <w:r>
        <w:t xml:space="preserve">Запрос данных для фазы 0</w:t>
      </w:r>
      <w:bookmarkEnd w:id="20"/>
    </w:p>
    <w:p>
      <w:pPr>
        <w:pStyle w:val="FirstParagraph"/>
      </w:pPr>
      <w:r>
        <w:rPr>
          <w:b/>
        </w:rPr>
        <w:t xml:space="preserve">Проект:</w:t>
      </w:r>
      <w:r>
        <w:t xml:space="preserve"> </w:t>
      </w:r>
      <w:r>
        <w:t xml:space="preserve">«Сквозной учёт» — контроль исполнения капитальных вложений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25.07.2026</w:t>
      </w:r>
      <w:r>
        <w:t xml:space="preserve"> </w:t>
      </w:r>
      <w:r>
        <w:rPr>
          <w:b/>
        </w:rPr>
        <w:t xml:space="preserve">Назначение:</w:t>
      </w:r>
      <w:r>
        <w:t xml:space="preserve"> </w:t>
      </w:r>
      <w:r>
        <w:t xml:space="preserve">готовый перечень для запроса обезличенных данных. Каждый блок привязан к конкретной метрике базовой линии или гипотезе.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общие-условия"/>
      <w:r>
        <w:t xml:space="preserve">0. Общие условия</w:t>
      </w:r>
      <w:bookmarkEnd w:id="21"/>
    </w:p>
    <w:p>
      <w:pPr>
        <w:pStyle w:val="FirstParagraph"/>
      </w:pPr>
      <w:r>
        <w:rPr>
          <w:b/>
        </w:rPr>
        <w:t xml:space="preserve">Обезличивание.</w:t>
      </w:r>
      <w:r>
        <w:t xml:space="preserve"> </w:t>
      </w:r>
      <w:r>
        <w:t xml:space="preserve">Из всех выгрузок исключаются: наименования подрядчиков (заменяются на «Подрядчик 1, 2, 3»), фамилии материально ответственных лиц, точные адреса площадок (достаточно региона и внутреннего кода), договорные цены поставщиков при необходимости заменяются на индекс относительно средней.</w:t>
      </w:r>
    </w:p>
    <w:p>
      <w:pPr>
        <w:pStyle w:val="BodyText"/>
      </w:pPr>
      <w:r>
        <w:rPr>
          <w:b/>
        </w:rPr>
        <w:t xml:space="preserve">Формат.</w:t>
      </w:r>
      <w:r>
        <w:t xml:space="preserve"> </w:t>
      </w:r>
      <w:r>
        <w:t xml:space="preserve">Excel или CSV, одна таблица на блок, первая строка — заголовки. Не сводные отчёты, а плоские выгрузки: сводку мы построим сами, а из сводки нельзя восстановить детали.</w:t>
      </w:r>
    </w:p>
    <w:p>
      <w:pPr>
        <w:pStyle w:val="BodyText"/>
      </w:pPr>
      <w:r>
        <w:rPr>
          <w:b/>
        </w:rPr>
        <w:t xml:space="preserve">Период.</w:t>
      </w:r>
      <w:r>
        <w:t xml:space="preserve"> </w:t>
      </w:r>
      <w:r>
        <w:t xml:space="preserve">24 полных месяца, если не указано иное. Меньший период не позволяет отделить сезонность от тренда.</w:t>
      </w:r>
    </w:p>
    <w:p>
      <w:pPr>
        <w:pStyle w:val="BodyText"/>
      </w:pPr>
      <w:r>
        <w:rPr>
          <w:b/>
        </w:rPr>
        <w:t xml:space="preserve">Объём.</w:t>
      </w:r>
      <w:r>
        <w:t xml:space="preserve"> </w:t>
      </w:r>
      <w:r>
        <w:t xml:space="preserve">Если полная выгрузка затруднена — репрезентативная выборка по одному региону и одному проекту строительства. Выборку формировать по</w:t>
      </w:r>
      <w:r>
        <w:t xml:space="preserve"> </w:t>
      </w:r>
      <w:r>
        <w:rPr>
          <w:b/>
        </w:rPr>
        <w:t xml:space="preserve">худшему</w:t>
      </w:r>
      <w:r>
        <w:t xml:space="preserve">, а не по лучшему участку: иначе результат обследования окажется завышенным и обещания не подтвердятся при масштабировании.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5f3e12f708a2527a1c38190611b364ead7e58b"/>
      <w:r>
        <w:t xml:space="preserve">1. Блок «Запасы» — для метрик точности и возраста</w:t>
      </w:r>
      <w:bookmarkEnd w:id="22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t xml:space="preserve">складской и финансовый модули учётной системы.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Код номенклатурной позиции</w:t>
            </w:r>
          </w:p>
        </w:tc>
        <w:tc>
          <w:p>
            <w:pPr>
              <w:pStyle w:val="Compact"/>
              <w:jc w:val="left"/>
            </w:pPr>
            <w:r>
              <w:t xml:space="preserve">Ключ сопоставления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Наименование позиции</w:t>
            </w:r>
          </w:p>
        </w:tc>
        <w:tc>
          <w:p>
            <w:pPr>
              <w:pStyle w:val="Compact"/>
              <w:jc w:val="left"/>
            </w:pPr>
            <w:r>
              <w:t xml:space="preserve">Построение справочника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Категория и группа по действующему справочнику</w:t>
            </w:r>
          </w:p>
        </w:tc>
        <w:tc>
          <w:p>
            <w:pPr>
              <w:pStyle w:val="Compact"/>
              <w:jc w:val="left"/>
            </w:pPr>
            <w:r>
              <w:t xml:space="preserve">Классификация по классам А/Б/В/Г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Единица измерения</w:t>
            </w:r>
          </w:p>
        </w:tc>
        <w:tc>
          <w:p>
            <w:pPr>
              <w:pStyle w:val="Compact"/>
              <w:jc w:val="left"/>
            </w:pPr>
            <w:r>
              <w:t xml:space="preserve">Отделение штучного от измеряемого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Признак серийного учёта, если есть</w:t>
            </w:r>
          </w:p>
        </w:tc>
        <w:tc>
          <w:p>
            <w:pPr>
              <w:pStyle w:val="Compact"/>
              <w:jc w:val="left"/>
            </w:pPr>
            <w:r>
              <w:t xml:space="preserve">Определение класса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Склад или место хранения</w:t>
            </w:r>
          </w:p>
        </w:tc>
        <w:tc>
          <w:p>
            <w:pPr>
              <w:pStyle w:val="Compact"/>
              <w:jc w:val="left"/>
            </w:pPr>
            <w:r>
              <w:t xml:space="preserve">Разделение контуров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Количество на дату выгрузки</w:t>
            </w:r>
          </w:p>
        </w:tc>
        <w:tc>
          <w:p>
            <w:pPr>
              <w:pStyle w:val="Compact"/>
              <w:jc w:val="left"/>
            </w:pPr>
            <w:r>
              <w:t xml:space="preserve">Базовый остаток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единицы и стоимость остатка</w:t>
            </w:r>
          </w:p>
        </w:tc>
        <w:tc>
          <w:p>
            <w:pPr>
              <w:pStyle w:val="Compact"/>
              <w:jc w:val="left"/>
            </w:pPr>
            <w:r>
              <w:t xml:space="preserve">Оценка в деньгах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последнего поступления по позиции</w:t>
            </w:r>
          </w:p>
        </w:tc>
        <w:tc>
          <w:p>
            <w:pPr>
              <w:pStyle w:val="Compact"/>
              <w:jc w:val="left"/>
            </w:pPr>
            <w:r>
              <w:t xml:space="preserve">Возрастные корзины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последнего расхода по позиции</w:t>
            </w:r>
          </w:p>
        </w:tc>
        <w:tc>
          <w:p>
            <w:pPr>
              <w:pStyle w:val="Compact"/>
              <w:jc w:val="left"/>
            </w:pPr>
            <w:r>
              <w:t xml:space="preserve">Выявление неликвидов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Серийные номера, где ведутся</w:t>
            </w:r>
          </w:p>
        </w:tc>
        <w:tc>
          <w:p>
            <w:pPr>
              <w:pStyle w:val="Compact"/>
              <w:jc w:val="left"/>
            </w:pPr>
            <w:r>
              <w:t xml:space="preserve">Оценка полноты серийного учёта</w:t>
            </w:r>
          </w:p>
        </w:tc>
      </w:tr>
    </w:tbl>
    <w:p>
      <w:pPr>
        <w:pStyle w:val="BodyText"/>
      </w:pPr>
      <w:r>
        <w:rPr>
          <w:b/>
        </w:rPr>
        <w:t xml:space="preserve">Что посчитаем:</w:t>
      </w:r>
      <w:r>
        <w:t xml:space="preserve"> </w:t>
      </w:r>
      <w:r>
        <w:t xml:space="preserve">стоимость запасов по контурам, возрастные корзины, доля позиций без движения свыше 12 и 24 месяцев, доля номенклатуры с фактически заполненными серийными номерами.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блок-материал-у-подрядчиков-критический"/>
      <w:r>
        <w:t xml:space="preserve">2. Блок «Материал у подрядчиков» — критический</w:t>
      </w:r>
      <w:bookmarkEnd w:id="23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t xml:space="preserve">особый вид запаса в учётной системе.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Код позиции</w:t>
            </w:r>
          </w:p>
        </w:tc>
        <w:tc>
          <w:p>
            <w:pPr>
              <w:pStyle w:val="Compact"/>
              <w:jc w:val="left"/>
            </w:pPr>
            <w:r>
              <w:t xml:space="preserve">Ключ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Подрядчик (обезличенно)</w:t>
            </w:r>
          </w:p>
        </w:tc>
        <w:tc>
          <w:p>
            <w:pPr>
              <w:pStyle w:val="Compact"/>
              <w:jc w:val="left"/>
            </w:pPr>
            <w:r>
              <w:t xml:space="preserve">Разрез по держателям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Количество и стоимость</w:t>
            </w:r>
          </w:p>
        </w:tc>
        <w:tc>
          <w:p>
            <w:pPr>
              <w:pStyle w:val="Compact"/>
              <w:jc w:val="left"/>
            </w:pPr>
            <w:r>
              <w:t xml:space="preserve">Размер контура в деньгах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передачи подрядчику</w:t>
            </w:r>
          </w:p>
        </w:tc>
        <w:tc>
          <w:p>
            <w:pPr>
              <w:pStyle w:val="Compact"/>
              <w:jc w:val="left"/>
            </w:pPr>
            <w:r>
              <w:t xml:space="preserve">Расчёт срока нахождения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Ссылка на проект или площадку, если есть</w:t>
            </w:r>
          </w:p>
        </w:tc>
        <w:tc>
          <w:p>
            <w:pPr>
              <w:pStyle w:val="Compact"/>
              <w:jc w:val="left"/>
            </w:pPr>
            <w:r>
              <w:t xml:space="preserve">Связь с работами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p>
            <w:pPr>
              <w:pStyle w:val="Compact"/>
              <w:jc w:val="left"/>
            </w:pPr>
            <w:r>
              <w:t xml:space="preserve">Серийные номера, где ведутся</w:t>
            </w:r>
          </w:p>
        </w:tc>
        <w:tc>
          <w:p>
            <w:pPr>
              <w:pStyle w:val="Compact"/>
              <w:jc w:val="left"/>
            </w:pPr>
            <w:r>
              <w:t xml:space="preserve">Возможность экземплярного контроля</w:t>
            </w:r>
          </w:p>
        </w:tc>
      </w:tr>
    </w:tbl>
    <w:p>
      <w:pPr>
        <w:pStyle w:val="BodyText"/>
      </w:pPr>
      <w:r>
        <w:rPr>
          <w:b/>
        </w:rPr>
        <w:t xml:space="preserve">Что посчитаем:</w:t>
      </w:r>
      <w:r>
        <w:t xml:space="preserve"> </w:t>
      </w:r>
      <w:r>
        <w:t xml:space="preserve">общую стоимость материала у подрядчиков, распределение по срокам нахождения (до 30 дней, 30–90, 90–180, свыше 180), долю материала старше 90 дней.</w:t>
      </w:r>
    </w:p>
    <w:p>
      <w:pPr>
        <w:pStyle w:val="BlockText"/>
      </w:pPr>
      <w:r>
        <w:t xml:space="preserve">Это самый быстрый и самый убедительный замер контура подрядчика. Если сумма материала, находящегося у подрядчиков свыше 90 дней, окажется незначительной — контур подрядчика теряет приоритет, и это надо узнать в первые недели.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блок-закупки-для-главной-метрики"/>
      <w:r>
        <w:t xml:space="preserve">3. Блок «Закупки» — для главной метрики</w:t>
      </w:r>
      <w:bookmarkEnd w:id="24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t xml:space="preserve">закупочный модуль учётной системы.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Номер заявки или заказа (обезличенно)</w:t>
            </w:r>
          </w:p>
        </w:tc>
        <w:tc>
          <w:p>
            <w:pPr>
              <w:pStyle w:val="Compact"/>
              <w:jc w:val="left"/>
            </w:pPr>
            <w:r>
              <w:t xml:space="preserve">Ключ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заявки</w:t>
            </w:r>
          </w:p>
        </w:tc>
        <w:tc>
          <w:p>
            <w:pPr>
              <w:pStyle w:val="Compact"/>
              <w:jc w:val="left"/>
            </w:pPr>
            <w:r>
              <w:t xml:space="preserve">Точка сравнения с остатком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Код позиции и количество</w:t>
            </w:r>
          </w:p>
        </w:tc>
        <w:tc>
          <w:p>
            <w:pPr>
              <w:pStyle w:val="Compact"/>
              <w:jc w:val="left"/>
            </w:pPr>
            <w:r>
              <w:t xml:space="preserve">Предмет закупки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p>
            <w:pPr>
              <w:pStyle w:val="Compact"/>
              <w:jc w:val="left"/>
            </w:pPr>
            <w:r>
              <w:t xml:space="preserve">Оценка эффекта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Инициатор — подразделение</w:t>
            </w:r>
          </w:p>
        </w:tc>
        <w:tc>
          <w:p>
            <w:pPr>
              <w:pStyle w:val="Compact"/>
              <w:jc w:val="left"/>
            </w:pPr>
            <w:r>
              <w:t xml:space="preserve">Кто заказывает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Проект или площадка назначения</w:t>
            </w:r>
          </w:p>
        </w:tc>
        <w:tc>
          <w:p>
            <w:pPr>
              <w:pStyle w:val="Compact"/>
              <w:jc w:val="left"/>
            </w:pPr>
            <w:r>
              <w:t xml:space="preserve">Связь с планом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Статус исполнения и дата поставки</w:t>
            </w:r>
          </w:p>
        </w:tc>
        <w:tc>
          <w:p>
            <w:pPr>
              <w:pStyle w:val="Compact"/>
              <w:jc w:val="left"/>
            </w:pPr>
            <w:r>
              <w:t xml:space="preserve">Выявление зависших закупок</w:t>
            </w:r>
          </w:p>
        </w:tc>
      </w:tr>
    </w:tbl>
    <w:p>
      <w:pPr>
        <w:pStyle w:val="BodyText"/>
      </w:pPr>
      <w:r>
        <w:rPr>
          <w:b/>
        </w:rPr>
        <w:t xml:space="preserve">Достаточно выборки 50 заявок</w:t>
      </w:r>
      <w:r>
        <w:t xml:space="preserve"> </w:t>
      </w:r>
      <w:r>
        <w:t xml:space="preserve">за последние 12 месяцев по позициям классов А и Б.</w:t>
      </w:r>
    </w:p>
    <w:p>
      <w:pPr>
        <w:pStyle w:val="BodyText"/>
      </w:pPr>
      <w:r>
        <w:rPr>
          <w:b/>
        </w:rPr>
        <w:t xml:space="preserve">Что посчитаем — главную метрику проекта:</w:t>
      </w:r>
      <w:r>
        <w:t xml:space="preserve"> </w:t>
      </w:r>
      <w:r>
        <w:t xml:space="preserve">долю заявок, по которым на дату заявки на складах оператора или у подрядчиков имелся достаточный остаток той же или взаимозаменяемой позиции. Это и есть параметр покрытия, от которого почти линейно зависит вся экономика.</w:t>
      </w:r>
    </w:p>
    <w:p>
      <w:pPr>
        <w:pStyle w:val="BlockText"/>
      </w:pPr>
      <w:r>
        <w:t xml:space="preserve">Если эта доля окажется близка к нулю, проект закрывается на гейте 0. Поэтому блок 3 запрашивается первым вместе с блоком 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7d4890168b81e5e78dd55e41242a7367d9b50e0"/>
      <w:r>
        <w:t xml:space="preserve">4. Блок «Незавершённое строительство и основные средства»</w:t>
      </w:r>
      <w:bookmarkEnd w:id="25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t xml:space="preserve">финансовый модуль, учёт основных средств.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Объект незавершённого строительства, код</w:t>
            </w:r>
          </w:p>
        </w:tc>
        <w:tc>
          <w:p>
            <w:pPr>
              <w:pStyle w:val="Compact"/>
              <w:jc w:val="left"/>
            </w:pPr>
            <w:r>
              <w:t xml:space="preserve">Ключ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Площадка или проект</w:t>
            </w:r>
          </w:p>
        </w:tc>
        <w:tc>
          <w:p>
            <w:pPr>
              <w:pStyle w:val="Compact"/>
              <w:jc w:val="left"/>
            </w:pPr>
            <w:r>
              <w:t xml:space="preserve">Связь с сетью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Накопленная сумма затрат</w:t>
            </w:r>
          </w:p>
        </w:tc>
        <w:tc>
          <w:p>
            <w:pPr>
              <w:pStyle w:val="Compact"/>
              <w:jc w:val="left"/>
            </w:pPr>
            <w:r>
              <w:t xml:space="preserve">Оценка масштаба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первого начисления затрат</w:t>
            </w:r>
          </w:p>
        </w:tc>
        <w:tc>
          <w:p>
            <w:pPr>
              <w:pStyle w:val="Compact"/>
              <w:jc w:val="left"/>
            </w:pPr>
            <w:r>
              <w:t xml:space="preserve">Возраст незавершённого строительства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Дата ввода в основные средства, если введён</w:t>
            </w:r>
          </w:p>
        </w:tc>
        <w:tc>
          <w:p>
            <w:pPr>
              <w:pStyle w:val="Compact"/>
              <w:jc w:val="left"/>
            </w:pPr>
            <w:r>
              <w:t xml:space="preserve">Расчёт разрыва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t xml:space="preserve">Инвентарный номер после ввода</w:t>
            </w:r>
          </w:p>
        </w:tc>
        <w:tc>
          <w:p>
            <w:pPr>
              <w:pStyle w:val="Compact"/>
              <w:jc w:val="left"/>
            </w:pPr>
            <w:r>
              <w:t xml:space="preserve">Связь с экземпляром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p>
            <w:pPr>
              <w:pStyle w:val="Compact"/>
              <w:jc w:val="left"/>
            </w:pPr>
            <w:r>
              <w:t xml:space="preserve">Состав объекта по позициям, если ведётся</w:t>
            </w:r>
          </w:p>
        </w:tc>
        <w:tc>
          <w:p>
            <w:pPr>
              <w:pStyle w:val="Compact"/>
              <w:jc w:val="left"/>
            </w:pPr>
            <w:r>
              <w:t xml:space="preserve">Связь с номенклатурой</w:t>
            </w:r>
          </w:p>
        </w:tc>
      </w:tr>
    </w:tbl>
    <w:p>
      <w:pPr>
        <w:pStyle w:val="BodyText"/>
      </w:pPr>
      <w:r>
        <w:rPr>
          <w:b/>
        </w:rPr>
        <w:t xml:space="preserve">Что посчитаем:</w:t>
      </w:r>
      <w:r>
        <w:t xml:space="preserve"> </w:t>
      </w:r>
      <w:r>
        <w:t xml:space="preserve">объём незавершённого строительства старше 12 месяцев, распределение по возрасту, средний срок от начала затрат до ввода в основные средства.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блок-сеть-для-второй-быстрой-метрики"/>
      <w:r>
        <w:t xml:space="preserve">5. Блок «Сеть» — для второй быстрой метрики</w:t>
      </w:r>
      <w:bookmarkEnd w:id="26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t xml:space="preserve">система управления сетью и система управления элементами сети.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Идентификатор площадки</w:t>
            </w:r>
          </w:p>
        </w:tc>
        <w:tc>
          <w:p>
            <w:pPr>
              <w:pStyle w:val="Compact"/>
              <w:jc w:val="left"/>
            </w:pPr>
            <w:r>
              <w:t xml:space="preserve">Ключ связи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Идентификатор элемента сети</w:t>
            </w:r>
          </w:p>
        </w:tc>
        <w:tc>
          <w:p>
            <w:pPr>
              <w:pStyle w:val="Compact"/>
              <w:jc w:val="left"/>
            </w:pPr>
            <w:r>
              <w:t xml:space="preserve">Ключ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Серийный номер оборудования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Ключ связи с учётом. Критично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Код продукта или тип оборудования</w:t>
            </w:r>
          </w:p>
        </w:tc>
        <w:tc>
          <w:p>
            <w:pPr>
              <w:pStyle w:val="Compact"/>
              <w:jc w:val="left"/>
            </w:pPr>
            <w:r>
              <w:t xml:space="preserve">Классификация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первого включения в работу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Главное поле всего запроса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Текущий статус: включено или выключено</w:t>
            </w:r>
          </w:p>
        </w:tc>
        <w:tc>
          <w:p>
            <w:pPr>
              <w:pStyle w:val="Compact"/>
              <w:jc w:val="left"/>
            </w:pPr>
            <w:r>
              <w:t xml:space="preserve">Актуальность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Наработка, если доступна</w:t>
            </w:r>
          </w:p>
        </w:tc>
        <w:tc>
          <w:p>
            <w:pPr>
              <w:pStyle w:val="Compact"/>
              <w:jc w:val="left"/>
            </w:pPr>
            <w:r>
              <w:t xml:space="preserve">Оценка остаточного ресурса</w:t>
            </w:r>
          </w:p>
        </w:tc>
      </w:tr>
    </w:tbl>
    <w:p>
      <w:pPr>
        <w:pStyle w:val="BodyText"/>
      </w:pPr>
      <w:r>
        <w:rPr>
          <w:b/>
        </w:rPr>
        <w:t xml:space="preserve">Достаточно выборки 100 объектов</w:t>
      </w:r>
      <w:r>
        <w:t xml:space="preserve">, введённых в эксплуатацию за последние 18 месяцев.</w:t>
      </w:r>
    </w:p>
    <w:p>
      <w:pPr>
        <w:pStyle w:val="BodyText"/>
      </w:pPr>
      <w:r>
        <w:rPr>
          <w:b/>
        </w:rPr>
        <w:t xml:space="preserve">Что посчитаем:</w:t>
      </w:r>
      <w:r>
        <w:t xml:space="preserve"> </w:t>
      </w:r>
      <w:r>
        <w:t xml:space="preserve">средний разрыв между датой включения оборудования в работу и датой ввода в основные средства, распределение этого разрыва, оценку суммы незавершённого строительства, подлежащей пересмотру.</w:t>
      </w:r>
    </w:p>
    <w:p>
      <w:pPr>
        <w:pStyle w:val="BlockText"/>
      </w:pPr>
      <w:r>
        <w:rPr>
          <w:b/>
        </w:rPr>
        <w:t xml:space="preserve">Отдельный вопрос, который надо задать вместе с запросом:</w:t>
      </w:r>
      <w:r>
        <w:t xml:space="preserve"> </w:t>
      </w:r>
      <w:r>
        <w:t xml:space="preserve">отдаются ли серийные номера фактически или требуется донастройка систем управления сетью. Если поле 5.3 недоступно, связь с учётом придётся строить через площадку и тип оборудования, что менее точно и меняет оценку сроков.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блок-работы-подрядчиков"/>
      <w:r>
        <w:t xml:space="preserve">6. Блок «Работы подрядчиков»</w:t>
      </w:r>
      <w:bookmarkEnd w:id="27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t xml:space="preserve">система постановки задач подрядчикам.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Номер заказа на работу</w:t>
            </w:r>
          </w:p>
        </w:tc>
        <w:tc>
          <w:p>
            <w:pPr>
              <w:pStyle w:val="Compact"/>
              <w:jc w:val="left"/>
            </w:pPr>
            <w:r>
              <w:t xml:space="preserve">Ключ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Площадка</w:t>
            </w:r>
          </w:p>
        </w:tc>
        <w:tc>
          <w:p>
            <w:pPr>
              <w:pStyle w:val="Compact"/>
              <w:jc w:val="left"/>
            </w:pPr>
            <w:r>
              <w:t xml:space="preserve">Связь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Подрядчик (обезличенно)</w:t>
            </w:r>
          </w:p>
        </w:tc>
        <w:tc>
          <w:p>
            <w:pPr>
              <w:pStyle w:val="Compact"/>
              <w:jc w:val="left"/>
            </w:pPr>
            <w:r>
              <w:t xml:space="preserve">Разрез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Тип работ</w:t>
            </w:r>
          </w:p>
        </w:tc>
        <w:tc>
          <w:p>
            <w:pPr>
              <w:pStyle w:val="Compact"/>
              <w:jc w:val="left"/>
            </w:pPr>
            <w:r>
              <w:t xml:space="preserve">Классификация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Даты: создания, начала, завершения</w:t>
            </w:r>
          </w:p>
        </w:tc>
        <w:tc>
          <w:p>
            <w:pPr>
              <w:pStyle w:val="Compact"/>
              <w:jc w:val="left"/>
            </w:pPr>
            <w:r>
              <w:t xml:space="preserve">Срок исполнения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акта ввода в эксплуатацию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Расчёт лага документов вместе с полем 5.5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Материальный лист заказа, если ведётся</w:t>
            </w:r>
          </w:p>
        </w:tc>
        <w:tc>
          <w:p>
            <w:pPr>
              <w:pStyle w:val="Compact"/>
              <w:jc w:val="left"/>
            </w:pPr>
            <w:r>
              <w:t xml:space="preserve">Возможность подключения механизма 1 без доработок</w:t>
            </w:r>
          </w:p>
        </w:tc>
      </w:tr>
    </w:tbl>
    <w:p>
      <w:pPr>
        <w:pStyle w:val="BodyText"/>
      </w:pPr>
      <w:r>
        <w:rPr>
          <w:b/>
        </w:rPr>
        <w:t xml:space="preserve">Что посчитаем:</w:t>
      </w:r>
      <w:r>
        <w:t xml:space="preserve"> </w:t>
      </w:r>
      <w:r>
        <w:t xml:space="preserve">лаг документов по каждому подрядчику, долю заказов с заполненным материальным листом.</w:t>
      </w:r>
    </w:p>
    <w:p>
      <w:pPr>
        <w:pStyle w:val="BlockText"/>
      </w:pPr>
      <w:r>
        <w:rPr>
          <w:b/>
        </w:rPr>
        <w:t xml:space="preserve">Ключевой вопрос к этому блоку:</w:t>
      </w:r>
      <w:r>
        <w:t xml:space="preserve"> </w:t>
      </w:r>
      <w:r>
        <w:t xml:space="preserve">содержит ли заказ на работу перечень оборудования, или только описание работ. От ответа зависит, подключаемся ли мы к готовому механизму или строим его.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блок-демонтаж"/>
      <w:r>
        <w:t xml:space="preserve">7. Блок «Демонтаж»</w:t>
      </w:r>
      <w:bookmarkEnd w:id="28"/>
    </w:p>
    <w:p>
      <w:pPr>
        <w:pStyle w:val="FirstParagraph"/>
      </w:pPr>
      <w:r>
        <w:rPr>
          <w:b/>
        </w:rPr>
        <w:t xml:space="preserve">Источник:</w:t>
      </w:r>
      <w:r>
        <w:t xml:space="preserve"> </w:t>
      </w:r>
      <w:r>
        <w:t xml:space="preserve">складской модуль, приходные документы по демонтажу.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Код позиции и количество</w:t>
            </w:r>
          </w:p>
        </w:tc>
        <w:tc>
          <w:p>
            <w:pPr>
              <w:pStyle w:val="Compact"/>
              <w:jc w:val="left"/>
            </w:pPr>
            <w:r>
              <w:t xml:space="preserve">Объём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Площадка, откуда демонтировано</w:t>
            </w:r>
          </w:p>
        </w:tc>
        <w:tc>
          <w:p>
            <w:pPr>
              <w:pStyle w:val="Compact"/>
              <w:jc w:val="left"/>
            </w:pPr>
            <w:r>
              <w:t xml:space="preserve">Связь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Дата демонтажа и дата приёмки на склад</w:t>
            </w:r>
          </w:p>
        </w:tc>
        <w:tc>
          <w:p>
            <w:pPr>
              <w:pStyle w:val="Compact"/>
              <w:jc w:val="left"/>
            </w:pPr>
            <w:r>
              <w:t xml:space="preserve">Разрыв возврата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Присвоенное состояние: годно, в ремонт, лом</w:t>
            </w:r>
          </w:p>
        </w:tc>
        <w:tc>
          <w:p>
            <w:pPr>
              <w:pStyle w:val="Compact"/>
              <w:jc w:val="left"/>
            </w:pPr>
            <w:r>
              <w:t xml:space="preserve">Текущая практика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оприходования</w:t>
            </w:r>
          </w:p>
        </w:tc>
        <w:tc>
          <w:p>
            <w:pPr>
              <w:pStyle w:val="Compact"/>
              <w:jc w:val="left"/>
            </w:pPr>
            <w:r>
              <w:t xml:space="preserve">Учётная политика по демонтажу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p>
            <w:pPr>
              <w:pStyle w:val="Compact"/>
              <w:jc w:val="left"/>
            </w:pPr>
            <w:r>
              <w:t xml:space="preserve">Дальнейшая судьба: переиспользовано, продано, списано</w:t>
            </w:r>
          </w:p>
        </w:tc>
        <w:tc>
          <w:p>
            <w:pPr>
              <w:pStyle w:val="Compact"/>
              <w:jc w:val="left"/>
            </w:pPr>
            <w:r>
              <w:t xml:space="preserve">Доля переиспользования</w:t>
            </w:r>
          </w:p>
        </w:tc>
      </w:tr>
    </w:tbl>
    <w:p>
      <w:pPr>
        <w:pStyle w:val="BodyText"/>
      </w:pPr>
      <w:r>
        <w:rPr>
          <w:b/>
        </w:rPr>
        <w:t xml:space="preserve">Что посчитаем:</w:t>
      </w:r>
      <w:r>
        <w:t xml:space="preserve"> </w:t>
      </w:r>
      <w:r>
        <w:t xml:space="preserve">текущую долю переиспользования демонтированного оборудования и разрыв между демонтажом и оприходованием.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7c3feeab7f99f03b76cb67d9088e31ed80e7d3d"/>
      <w:r>
        <w:t xml:space="preserve">8. Блок «Проектная документация» — образцы, не выгрузка</w:t>
      </w:r>
      <w:bookmarkEnd w:id="29"/>
    </w:p>
    <w:p>
      <w:pPr>
        <w:pStyle w:val="FirstParagraph"/>
      </w:pPr>
      <w:r>
        <w:rPr>
          <w:b/>
        </w:rPr>
        <w:t xml:space="preserve">Что нужно:</w:t>
      </w:r>
      <w:r>
        <w:t xml:space="preserve"> </w:t>
      </w:r>
      <w:r>
        <w:t xml:space="preserve">20–30 файлов дизайн-проектов и смет по разным площадкам, в тех форматах, в которых они существуют.</w:t>
      </w:r>
    </w:p>
    <w:p>
      <w:pPr>
        <w:pStyle w:val="BodyText"/>
      </w:pPr>
      <w:r>
        <w:rPr>
          <w:b/>
        </w:rPr>
        <w:t xml:space="preserve">Зачем:</w:t>
      </w:r>
      <w:r>
        <w:t xml:space="preserve"> </w:t>
      </w:r>
      <w:r>
        <w:t xml:space="preserve">оценить, насколько единообразны формы. Разбор неструктурированных документов — работа с непредсказуемой трудоёмкостью, и она не может быть оценена, пока мы не увидели реальные документы. Если формы единообразны, извлечение проектных спецификаций автоматизируется. Если каждый проект оформлен по-своему — это ручная работа, и её надо выносить за периметр первой версии.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что-запрашивать-первым"/>
      <w:r>
        <w:t xml:space="preserve">9. Что запрашивать первым</w:t>
      </w:r>
      <w:bookmarkEnd w:id="30"/>
    </w:p>
    <w:p>
      <w:pPr>
        <w:pStyle w:val="FirstParagraph"/>
      </w:pPr>
      <w:r>
        <w:t xml:space="preserve">Если получить всё сразу невозможно, порядок приоритета такой: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Очередь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Блоки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Почему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Первая, недели 1–2</w:t>
            </w:r>
          </w:p>
        </w:tc>
        <w:tc>
          <w:p>
            <w:pPr>
              <w:pStyle w:val="Compact"/>
              <w:jc w:val="left"/>
            </w:pPr>
            <w:r>
              <w:t xml:space="preserve">Блок 3 (закупки) и блок 5 (сеть)</w:t>
            </w:r>
          </w:p>
        </w:tc>
        <w:tc>
          <w:p>
            <w:pPr>
              <w:pStyle w:val="Compact"/>
              <w:jc w:val="left"/>
            </w:pPr>
            <w:r>
              <w:t xml:space="preserve">Дают две главные метрики: параметр покрытия и разрыв признания. Обе — критерии продолжения проекта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Вторая, недели 3–4</w:t>
            </w:r>
          </w:p>
        </w:tc>
        <w:tc>
          <w:p>
            <w:pPr>
              <w:pStyle w:val="Compact"/>
              <w:jc w:val="left"/>
            </w:pPr>
            <w:r>
              <w:t xml:space="preserve">Блок 2 (материал у подрядчиков) и блок 6 (работы)</w:t>
            </w:r>
          </w:p>
        </w:tc>
        <w:tc>
          <w:p>
            <w:pPr>
              <w:pStyle w:val="Compact"/>
              <w:jc w:val="left"/>
            </w:pPr>
            <w:r>
              <w:t xml:space="preserve">Определяют размер и управляемость контура подрядчика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Третья, недели 5–6</w:t>
            </w:r>
          </w:p>
        </w:tc>
        <w:tc>
          <w:p>
            <w:pPr>
              <w:pStyle w:val="Compact"/>
              <w:jc w:val="left"/>
            </w:pPr>
            <w:r>
              <w:t xml:space="preserve">Блоки 1, 4, 7</w:t>
            </w:r>
          </w:p>
        </w:tc>
        <w:tc>
          <w:p>
            <w:pPr>
              <w:pStyle w:val="Compact"/>
              <w:jc w:val="left"/>
            </w:pPr>
            <w:r>
              <w:t xml:space="preserve">Уточняют картину, но не меняют решения о продолжении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Четвёртая, недели 7–8</w:t>
            </w:r>
          </w:p>
        </w:tc>
        <w:tc>
          <w:p>
            <w:pPr>
              <w:pStyle w:val="Compact"/>
              <w:jc w:val="left"/>
            </w:pPr>
            <w:r>
              <w:t xml:space="preserve">Блок 8 (образцы документации)</w:t>
            </w:r>
          </w:p>
        </w:tc>
        <w:tc>
          <w:p>
            <w:pPr>
              <w:pStyle w:val="Compact"/>
              <w:jc w:val="left"/>
            </w:pPr>
            <w:r>
              <w:t xml:space="preserve">Оценка трудоёмкости, не влияющая на гейт 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что-будет-на-выходе"/>
      <w:r>
        <w:t xml:space="preserve">10. Что будет на выходе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Из каких блоков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Шесть метрик базовой линии</w:t>
            </w:r>
          </w:p>
        </w:tc>
        <w:tc>
          <w:p>
            <w:pPr>
              <w:pStyle w:val="Compact"/>
              <w:jc w:val="left"/>
            </w:pPr>
            <w:r>
              <w:t xml:space="preserve">1, 2, 3, 4, 5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Оценка эффекта по четырём драйверам в деньгах</w:t>
            </w:r>
          </w:p>
        </w:tc>
        <w:tc>
          <w:p>
            <w:pPr>
              <w:pStyle w:val="Compact"/>
              <w:jc w:val="left"/>
            </w:pPr>
            <w:r>
              <w:t xml:space="preserve">1, 2, 3, 7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Проверка четырёх критичных гипотез</w:t>
            </w:r>
          </w:p>
        </w:tc>
        <w:tc>
          <w:p>
            <w:pPr>
              <w:pStyle w:val="Compact"/>
              <w:jc w:val="left"/>
            </w:pPr>
            <w:r>
              <w:t xml:space="preserve">3, 5 и параллельные запросы о доступе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Оценка трудоёмкости первой версии</w:t>
            </w:r>
          </w:p>
        </w:tc>
        <w:tc>
          <w:p>
            <w:pPr>
              <w:pStyle w:val="Compact"/>
              <w:jc w:val="left"/>
            </w:pPr>
            <w:r>
              <w:t xml:space="preserve">5, 6, 8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Классификация номенклатуры по классам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Решение по гейту 0</w:t>
            </w:r>
          </w:p>
        </w:tc>
        <w:tc>
          <w:p>
            <w:pPr>
              <w:pStyle w:val="Compact"/>
              <w:jc w:val="left"/>
            </w:pPr>
            <w:r>
              <w:t xml:space="preserve">всё вместе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2026-07-25T19:08:33Z</dcterms:created>
  <dcterms:modified xsi:type="dcterms:W3CDTF">2026-07-25T19:08:33Z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