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97a60d69cee768619a5d25c8d89556b348dacb"/>
      <w:r>
        <w:t xml:space="preserve">«Сквозной учёт» / CapEx Velocity — одна страница</w:t>
      </w:r>
      <w:bookmarkEnd w:id="20"/>
    </w:p>
    <w:p>
      <w:pPr>
        <w:pStyle w:val="Heading3"/>
      </w:pPr>
      <w:bookmarkStart w:id="21" w:name="X2c647c0c74f9eb7f91378d4494b8274b59cc97d"/>
      <w:r>
        <w:t xml:space="preserve">Контроль исполнения капитальных вложений: от одобрения бюджета до основного средства</w:t>
      </w:r>
      <w:bookmarkEnd w:id="21"/>
    </w:p>
    <w:p>
      <w:pPr>
        <w:pStyle w:val="FirstParagraph"/>
      </w:pPr>
      <w:r>
        <w:rPr>
          <w:b/>
        </w:rPr>
        <w:t xml:space="preserve">Версия 3.0 · 27.07.2026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СМЫСЛ В ОДНОМ ВЫРАЖЕНИИ</w:t>
      </w:r>
    </w:p>
    <w:p>
      <w:pPr>
        <w:pStyle w:val="Heading2"/>
      </w:pPr>
      <w:bookmarkStart w:id="22" w:name="capex-velocity"/>
      <w:r>
        <w:t xml:space="preserve">CapEx Velocity</w:t>
      </w:r>
      <w:bookmarkEnd w:id="22"/>
    </w:p>
    <w:p>
      <w:pPr>
        <w:pStyle w:val="Heading3"/>
      </w:pPr>
      <w:bookmarkStart w:id="23" w:name="Xc1101cbdb83bf17af93856ff3932db6d958124b"/>
      <w:r>
        <w:t xml:space="preserve">Сокращаем время и потери на пути от денег до работающего оборудования.</w:t>
      </w:r>
      <w:bookmarkEnd w:id="23"/>
    </w:p>
    <w:p>
      <w:pPr>
        <w:pStyle w:val="FirstParagraph"/>
      </w:pPr>
      <w:r>
        <w:t xml:space="preserve">Или языком финансового директора:</w:t>
      </w:r>
      <w:r>
        <w:t xml:space="preserve"> </w:t>
      </w:r>
      <w:r>
        <w:rPr>
          <w:b/>
        </w:rPr>
        <w:t xml:space="preserve">каждый вложенный тенге капекса начинает зарабатывать быстрее, и ни один не теряется по дороге.</w:t>
      </w:r>
    </w:p>
    <w:p>
      <w:pPr>
        <w:pStyle w:val="BodyText"/>
      </w:pPr>
      <w:r>
        <w:t xml:space="preserve">Два эффекта, одна величина:</w:t>
      </w:r>
      <w:r>
        <w:t xml:space="preserve"> </w:t>
      </w:r>
      <w:r>
        <w:rPr>
          <w:b/>
        </w:rPr>
        <w:t xml:space="preserve">капитал под риском в днях</w:t>
      </w:r>
      <w:r>
        <w:t xml:space="preserve"> </w:t>
      </w:r>
      <w:r>
        <w:t xml:space="preserve">= средний объём капитала вне эксплуатации × среднее число дней вне эксплуатации + безвозвратные потери за период.</w:t>
      </w:r>
    </w:p>
    <w:p>
      <w:pPr>
        <w:pStyle w:val="BodyText"/>
      </w:pPr>
      <w:r>
        <w:rPr>
          <w:i/>
        </w:rPr>
        <w:t xml:space="preserve">Два имени, одно решение: «Сквозной учёт» — для оператора и бухгалтерии, CapEx Velocity — для инвестора и международного рынка.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ПРОБЛЕМА</w:t>
      </w:r>
    </w:p>
    <w:p>
      <w:pPr>
        <w:pStyle w:val="BodyText"/>
      </w:pPr>
      <w:r>
        <w:t xml:space="preserve">Оператор одобряет бюджет капитальных вложений и теряет контроль над ним в момент одобрения. Оборудование проходит три места — склад оператора, руки подрядчика, площадка — и в каждом учитывается разными людьми в разных системах, которые между собой не сходятся. Финансовая система видит деньги, складская — коробки, сетевая — работающие узлы, бригада — железо. Серийный номер не принадлежит ни одной из них.</w:t>
      </w:r>
    </w:p>
    <w:p>
      <w:pPr>
        <w:pStyle w:val="BlockText"/>
      </w:pPr>
      <w:r>
        <w:rPr>
          <w:b/>
        </w:rPr>
        <w:t xml:space="preserve">Вопрос финансового директора, на который отвечаем только мы:</w:t>
      </w:r>
      <w:r>
        <w:t xml:space="preserve"> </w:t>
      </w:r>
      <w:r>
        <w:t xml:space="preserve">«Мы одобрили 60 миллиардов. Где эти деньги физически находятся прямо сейчас, сколько из них уже работает в сети, и почему часть 170 дней лежит между складом, подрядчиком, незавершённым строительством и непринятыми площадками?»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ТРИ КОНТУРА И ДВЕ ШКАЛЫ</w:t>
      </w:r>
    </w:p>
    <w:p>
      <w:pPr>
        <w:pStyle w:val="BodyText"/>
      </w:pPr>
      <w:r>
        <w:t xml:space="preserve">Деньги и скорость устроены противоположно: где больше всего денег, там дольше всего наводить порядок.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Контур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Сколько денег</w:t>
            </w:r>
            <w:r>
              <w:t xml:space="preserve"> </w:t>
            </w:r>
            <w:r>
              <w:rPr>
                <w:i/>
              </w:rPr>
              <w:t xml:space="preserve">(оценка)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Срок до прозрачности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даёт продукт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Склад оператора</w:t>
            </w:r>
          </w:p>
        </w:tc>
        <w:tc>
          <w:p>
            <w:pPr>
              <w:pStyle w:val="Compact"/>
              <w:jc w:val="left"/>
            </w:pPr>
            <w:r>
              <w:t xml:space="preserve">15–20%</w:t>
            </w:r>
          </w:p>
        </w:tc>
        <w:tc>
          <w:p>
            <w:pPr>
              <w:pStyle w:val="Compact"/>
              <w:jc w:val="left"/>
            </w:pPr>
            <w:r>
              <w:t xml:space="preserve">недели</w:t>
            </w:r>
          </w:p>
        </w:tc>
        <w:tc>
          <w:p>
            <w:pPr>
              <w:pStyle w:val="Compact"/>
              <w:jc w:val="left"/>
            </w:pPr>
            <w:r>
              <w:t xml:space="preserve">Высвобождение оборотного капитала, отмена избыточных закупок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Склад подрядчика</w:t>
            </w:r>
          </w:p>
        </w:tc>
        <w:tc>
          <w:p>
            <w:pPr>
              <w:pStyle w:val="Compact"/>
              <w:jc w:val="left"/>
            </w:pPr>
            <w:r>
              <w:t xml:space="preserve">15–20% по учёту, физически меньше</w:t>
            </w:r>
          </w:p>
        </w:tc>
        <w:tc>
          <w:p>
            <w:pPr>
              <w:pStyle w:val="Compact"/>
              <w:jc w:val="left"/>
            </w:pPr>
            <w:r>
              <w:t xml:space="preserve">недели, затем месяцы</w:t>
            </w:r>
          </w:p>
        </w:tc>
        <w:tc>
          <w:p>
            <w:pPr>
              <w:pStyle w:val="Compact"/>
              <w:jc w:val="left"/>
            </w:pPr>
            <w:r>
              <w:t xml:space="preserve">Предотвращение утраты материала, корректная картина остатков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Площадка, активное оборудование</w:t>
            </w:r>
          </w:p>
        </w:tc>
        <w:tc>
          <w:p>
            <w:pPr>
              <w:pStyle w:val="Compact"/>
              <w:jc w:val="left"/>
            </w:pPr>
            <w:r>
              <w:t xml:space="preserve">часть от 60–70%</w:t>
            </w:r>
          </w:p>
        </w:tc>
        <w:tc>
          <w:p>
            <w:pPr>
              <w:pStyle w:val="Compact"/>
              <w:jc w:val="left"/>
            </w:pPr>
            <w:r>
              <w:t xml:space="preserve">недели —</w:t>
            </w:r>
            <w:r>
              <w:t xml:space="preserve"> </w:t>
            </w:r>
            <w:r>
              <w:rPr>
                <w:b/>
              </w:rPr>
              <w:t xml:space="preserve">быстрая победа</w:t>
            </w:r>
          </w:p>
        </w:tc>
        <w:tc>
          <w:p>
            <w:pPr>
              <w:pStyle w:val="Compact"/>
              <w:jc w:val="left"/>
            </w:pPr>
            <w:r>
              <w:t xml:space="preserve">Сверка с сетевой системой без единого выезда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Площадка, пассивное оборудование</w:t>
            </w:r>
          </w:p>
        </w:tc>
        <w:tc>
          <w:p>
            <w:pPr>
              <w:pStyle w:val="Compact"/>
              <w:jc w:val="left"/>
            </w:pPr>
            <w:r>
              <w:t xml:space="preserve">основная часть от 60–70%</w:t>
            </w:r>
          </w:p>
        </w:tc>
        <w:tc>
          <w:p>
            <w:pPr>
              <w:pStyle w:val="Compact"/>
              <w:jc w:val="left"/>
            </w:pPr>
            <w:r>
              <w:t xml:space="preserve">месяцы и годы</w:t>
            </w:r>
          </w:p>
        </w:tc>
        <w:tc>
          <w:p>
            <w:pPr>
              <w:pStyle w:val="Compact"/>
              <w:jc w:val="left"/>
            </w:pPr>
            <w:r>
              <w:t xml:space="preserve">База планирования закупок, расчёт возвратного фонда</w:t>
            </w:r>
          </w:p>
        </w:tc>
      </w:tr>
    </w:tbl>
    <w:p>
      <w:pPr>
        <w:pStyle w:val="BodyText"/>
      </w:pPr>
      <w:r>
        <w:rPr>
          <w:b/>
        </w:rPr>
        <w:t xml:space="preserve">Почему площадка важна, хотя капитал там уже потрачен:</w:t>
      </w:r>
      <w:r>
        <w:t xml:space="preserve"> </w:t>
      </w:r>
      <w:r>
        <w:t xml:space="preserve">она даёт базу для расчёта будущей потребности и она же источник возвратного фонда при демонтаже, который напрямую уменьшает объём закупки.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ПЯТЬ РАЗРЫВОВ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Разрыв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Содержание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Р1 потребность ≠ закупка</w:t>
            </w:r>
          </w:p>
        </w:tc>
        <w:tc>
          <w:p>
            <w:pPr>
              <w:pStyle w:val="Compact"/>
              <w:jc w:val="left"/>
            </w:pPr>
            <w:r>
              <w:t xml:space="preserve">Заявка идёт от плана строительства, а не от анализа наличия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Р2 строка учёта ≠ железка</w:t>
            </w:r>
          </w:p>
        </w:tc>
        <w:tc>
          <w:p>
            <w:pPr>
              <w:pStyle w:val="Compact"/>
              <w:jc w:val="left"/>
            </w:pPr>
            <w:r>
              <w:t xml:space="preserve">«10 штук позиции 4711» и 10 конкретных железок не связаны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Р3 собственность ≠ обладание</w:t>
            </w:r>
          </w:p>
        </w:tc>
        <w:tc>
          <w:p>
            <w:pPr>
              <w:pStyle w:val="Compact"/>
              <w:jc w:val="left"/>
            </w:pPr>
            <w:r>
              <w:t xml:space="preserve">Материал у подрядчика: ваш, но не у вас и не в расчёте потребности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Р4 документ ≠ факт</w:t>
            </w:r>
          </w:p>
        </w:tc>
        <w:tc>
          <w:p>
            <w:pPr>
              <w:pStyle w:val="Compact"/>
              <w:jc w:val="left"/>
            </w:pPr>
            <w:r>
              <w:t xml:space="preserve">Числится на складе подрядчика, физически стоит на площадке или работает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Р5 работа в сети ≠ учёт</w:t>
            </w:r>
          </w:p>
        </w:tc>
        <w:tc>
          <w:p>
            <w:pPr>
              <w:pStyle w:val="Compact"/>
              <w:jc w:val="left"/>
            </w:pPr>
            <w:r>
              <w:t xml:space="preserve">Несёт трафик, числится незавершённым строительством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ПОЧЕМУ ЭТО ЕСТЬ У КАЖДОГО ОПЕРАТОРА — ШОВ МЕЖДУ СТАНДАРТАМИ</w:t>
      </w:r>
    </w:p>
    <w:p>
      <w:pPr>
        <w:pStyle w:val="BodyText"/>
      </w:pPr>
      <w:r>
        <w:t xml:space="preserve">Складская система по назначению заканчивается на границе склада. Сетевой инвентарь TMF639 по определению отражает «то, что уже предоставлено». IAS 16 требует признания при готовности к использованию, но не говорит, чем она доказывается.</w:t>
      </w:r>
    </w:p>
    <w:p>
      <w:pPr>
        <w:pStyle w:val="BodyText"/>
      </w:pPr>
      <w:r>
        <w:t xml:space="preserve">Между ними — четыре стадии: склад подрядчика · доставка на площадку · монтаж · ожидание включения.</w:t>
      </w:r>
      <w:r>
        <w:t xml:space="preserve"> </w:t>
      </w:r>
      <w:r>
        <w:rPr>
          <w:b/>
        </w:rPr>
        <w:t xml:space="preserve">За них не отвечает ни один стандарт и ни один класс систем.</w:t>
      </w:r>
    </w:p>
    <w:p>
      <w:pPr>
        <w:pStyle w:val="BodyText"/>
      </w:pPr>
      <w:r>
        <w:t xml:space="preserve">Значит, дыра существует</w:t>
      </w:r>
      <w:r>
        <w:t xml:space="preserve"> </w:t>
      </w:r>
      <w:r>
        <w:rPr>
          <w:b/>
        </w:rPr>
        <w:t xml:space="preserve">по построению, а не из-за плохого управления</w:t>
      </w:r>
      <w:r>
        <w:t xml:space="preserve"> </w:t>
      </w:r>
      <w:r>
        <w:t xml:space="preserve">— у оператора с образцовым SAP EWM ровно так же, как у оператора с таблицами. Рынок, образованный швом между двумя зрелыми стандартами, нельзя закрыть доработкой одной из сторон.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САМЫЙ СИЛЬНЫЙ АРГУМЕНТ — ТОЧКА КАПИТАЛИЗАЦИИ</w:t>
      </w:r>
    </w:p>
    <w:p>
      <w:pPr>
        <w:pStyle w:val="BodyText"/>
      </w:pPr>
      <w:r>
        <w:t xml:space="preserve">Стандарт IAS 16 связывает начало амортизации с готовностью актива к использованию, а не с датой акта. Если сектор поднят в сети и несёт трафик, актив используется по назначению. Разрыв даёт занижение амортизации, завышение незавершённого строительства, налоговую экспозицию и аудиторскую находку.</w:t>
      </w:r>
    </w:p>
    <w:p>
      <w:pPr>
        <w:pStyle w:val="BodyText"/>
      </w:pPr>
      <w:r>
        <w:rPr>
          <w:b/>
        </w:rPr>
        <w:t xml:space="preserve">Продукт даёт объективную машинную дату включения в работу из сетевой системы — доказательство, независимое от документооборота подрядчика.</w:t>
      </w:r>
      <w:r>
        <w:t xml:space="preserve"> </w:t>
      </w:r>
      <w:r>
        <w:t xml:space="preserve">Сеть — самый дешёвый и наименее фальсифицируемый источник правды, и он уже существует.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КАК УЗНАТЬ ФАКТ, КОГДА ДОКУМЕНТЫ ОТСТАЮТ</w:t>
      </w:r>
    </w:p>
    <w:p>
      <w:pPr>
        <w:pStyle w:val="BodyText"/>
      </w:pPr>
      <w:r>
        <w:t xml:space="preserve">Экземпляр имеет два местонахождения: учётное и фактическое. Продукт не переписывает учётное — он показывает оба и измеряет разрыв.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Заказ на работу с материальным листом.</w:t>
      </w:r>
      <w:r>
        <w:t xml:space="preserve"> </w:t>
      </w:r>
      <w:r>
        <w:t xml:space="preserve">Бригада выбирает в приложении номер заказа, система подтягивает перечень оборудования, бригада фотографирует выгрузку с геопривязкой. Позиции получают фактическое состояние «вывезено со склада, ожидает монтажа» — в учёте они остаются за подрядчиком.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Сигнал из сети.</w:t>
      </w:r>
      <w:r>
        <w:t xml:space="preserve"> </w:t>
      </w:r>
      <w:r>
        <w:t xml:space="preserve">Активное оборудование поднялось и несёт трафик. Система помечает позиции как «смонтировано и работает, документы не сданы».</w:t>
      </w:r>
      <w:r>
        <w:t xml:space="preserve"> </w:t>
      </w:r>
      <w:r>
        <w:rPr>
          <w:b/>
        </w:rPr>
        <w:t xml:space="preserve">Подтверждение монтажа без выезда и без участия подрядчика.</w:t>
      </w:r>
    </w:p>
    <w:p>
      <w:pPr>
        <w:pStyle w:val="FirstParagraph"/>
      </w:pPr>
      <w:r>
        <w:t xml:space="preserve">Новый управляемый показатель —</w:t>
      </w:r>
      <w:r>
        <w:t xml:space="preserve"> </w:t>
      </w:r>
      <w:r>
        <w:rPr>
          <w:b/>
        </w:rPr>
        <w:t xml:space="preserve">лаг документов</w:t>
      </w:r>
      <w:r>
        <w:t xml:space="preserve"> </w:t>
      </w:r>
      <w:r>
        <w:t xml:space="preserve">по каждому подрядчику: поправка к остаткам для планирования, оценка суммы к переводу в основные средства, объективный критерий дисциплины для договора.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ЧТО СТРОИМ — ВОЛНА 1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Содержание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⇥</w:t>
            </w:r>
          </w:p>
        </w:tc>
        <w:tc>
          <w:p>
            <w:pPr>
              <w:pStyle w:val="Compact"/>
              <w:jc w:val="left"/>
            </w:pPr>
            <w:r>
              <w:t xml:space="preserve">Приём одобренного инвестплана</w:t>
            </w:r>
          </w:p>
        </w:tc>
        <w:tc>
          <w:p>
            <w:pPr>
              <w:pStyle w:val="Compact"/>
              <w:jc w:val="left"/>
            </w:pPr>
            <w:r>
              <w:t xml:space="preserve">Интеграция. Планирование инвестиций</w:t>
            </w:r>
            <w:r>
              <w:t xml:space="preserve"> </w:t>
            </w:r>
            <w:r>
              <w:rPr>
                <w:b/>
              </w:rPr>
              <w:t xml:space="preserve">не строим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Шлюз покрытия потребности</w:t>
            </w:r>
          </w:p>
        </w:tc>
        <w:tc>
          <w:p>
            <w:pPr>
              <w:pStyle w:val="Compact"/>
              <w:jc w:val="left"/>
            </w:pPr>
            <w:r>
              <w:t xml:space="preserve">В закупку идёт только непокрытый остаток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Жизненный цикл и владение активом</w:t>
            </w:r>
          </w:p>
        </w:tc>
        <w:tc>
          <w:p>
            <w:pPr>
              <w:pStyle w:val="Compact"/>
              <w:jc w:val="left"/>
            </w:pPr>
            <w:r>
              <w:t xml:space="preserve">Паспорт экземпляра, три контура, двойное местонахождение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Контроль развёртывания и включения в работу</w:t>
            </w:r>
          </w:p>
        </w:tc>
        <w:tc>
          <w:p>
            <w:pPr>
              <w:pStyle w:val="Compact"/>
              <w:jc w:val="left"/>
            </w:pPr>
            <w:r>
              <w:t xml:space="preserve">Приложение, заказы на работу, интеграция с сетью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Контроль учётного признания</w:t>
            </w:r>
          </w:p>
        </w:tc>
        <w:tc>
          <w:p>
            <w:pPr>
              <w:pStyle w:val="Compact"/>
              <w:jc w:val="left"/>
            </w:pPr>
            <w:r>
              <w:t xml:space="preserve">Разрыв «в сети — не в основных средствах», резервы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⇤</w:t>
            </w:r>
          </w:p>
        </w:tc>
        <w:tc>
          <w:p>
            <w:pPr>
              <w:pStyle w:val="Compact"/>
              <w:jc w:val="left"/>
            </w:pPr>
            <w:r>
              <w:t xml:space="preserve">Выдача факта</w:t>
            </w:r>
          </w:p>
        </w:tc>
        <w:tc>
          <w:p>
            <w:pPr>
              <w:pStyle w:val="Compact"/>
              <w:jc w:val="left"/>
            </w:pPr>
            <w:r>
              <w:t xml:space="preserve">Стоимость и время назад в планирование.</w:t>
            </w:r>
            <w:r>
              <w:t xml:space="preserve"> </w:t>
            </w:r>
            <w:r>
              <w:rPr>
                <w:b/>
              </w:rPr>
              <w:t xml:space="preserve">Не выручка</w:t>
            </w:r>
          </w:p>
        </w:tc>
      </w:tr>
    </w:tbl>
    <w:p>
      <w:pPr>
        <w:pStyle w:val="BodyText"/>
      </w:pPr>
      <w:r>
        <w:rPr>
          <w:b/>
        </w:rPr>
        <w:t xml:space="preserve">Очерёдность внутри волны 1:</w:t>
      </w:r>
      <w:r>
        <w:t xml:space="preserve"> </w:t>
      </w:r>
      <w:r>
        <w:t xml:space="preserve">быстрые победы 1–3 мес (сверки) · средние 3–9 мес (приложение, шлюз покрытия) · долгие 9–18 мес (пассивная инфраструктура, демонтаж).</w:t>
      </w:r>
    </w:p>
    <w:p>
      <w:pPr>
        <w:pStyle w:val="BodyText"/>
      </w:pPr>
      <w:r>
        <w:rPr>
          <w:b/>
        </w:rPr>
        <w:t xml:space="preserve">Волна 2 — после подтверждения ядра:</w:t>
      </w:r>
      <w:r>
        <w:t xml:space="preserve"> </w:t>
      </w:r>
      <w:r>
        <w:t xml:space="preserve">оптимизация страхового запаса · обратная логистика отдельным модулем · единый экран как продукт.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ЧТО ВЫБИРАЕМ С ИНВЕСТОРОМ — ПЯТЬ СЦЕНАРИЕВ</w:t>
      </w:r>
    </w:p>
    <w:p>
      <w:pPr>
        <w:pStyle w:val="BodyText"/>
      </w:pPr>
      <w:r>
        <w:t xml:space="preserve">Это не меню из пяти пунктов, а пять независимых осей выбора; сценарий — комбинация позиций. Две оси уже закрыты: надстройка вместо замены систем (Р-001) и тонкое ядро с партнёрскими краями (Р-003).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продаём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До первой ценности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Защищаемость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Обратимость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С0 · Диагностика</w:t>
            </w:r>
          </w:p>
        </w:tc>
        <w:tc>
          <w:p>
            <w:pPr>
              <w:pStyle w:val="Compact"/>
              <w:jc w:val="left"/>
            </w:pPr>
            <w:r>
              <w:t xml:space="preserve">Отчёт о размере потерь</w:t>
            </w:r>
          </w:p>
        </w:tc>
        <w:tc>
          <w:p>
            <w:pPr>
              <w:pStyle w:val="Compact"/>
              <w:jc w:val="left"/>
            </w:pPr>
            <w:r>
              <w:t xml:space="preserve">4–6 недель</w:t>
            </w:r>
          </w:p>
        </w:tc>
        <w:tc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p>
            <w:pPr>
              <w:pStyle w:val="Compact"/>
              <w:jc w:val="left"/>
            </w:pPr>
            <w:r>
              <w:t xml:space="preserve">полная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С1 · Клин достоверности</w:t>
            </w:r>
          </w:p>
        </w:tc>
        <w:tc>
          <w:p>
            <w:pPr>
              <w:pStyle w:val="Compact"/>
              <w:jc w:val="left"/>
            </w:pPr>
            <w:r>
              <w:t xml:space="preserve">Прозрачность «склад → основное средство»</w:t>
            </w:r>
          </w:p>
        </w:tc>
        <w:tc>
          <w:p>
            <w:pPr>
              <w:pStyle w:val="Compact"/>
              <w:jc w:val="left"/>
            </w:pPr>
            <w:r>
              <w:t xml:space="preserve">4–6 мес</w:t>
            </w:r>
          </w:p>
        </w:tc>
        <w:tc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p>
            <w:pPr>
              <w:pStyle w:val="Compact"/>
              <w:jc w:val="left"/>
            </w:pPr>
            <w:r>
              <w:t xml:space="preserve">полная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С2 · Сквозной контроль</w:t>
            </w:r>
          </w:p>
        </w:tc>
        <w:tc>
          <w:p>
            <w:pPr>
              <w:pStyle w:val="Compact"/>
              <w:jc w:val="left"/>
            </w:pPr>
            <w:r>
              <w:t xml:space="preserve">Управление исполнением капекса</w:t>
            </w:r>
          </w:p>
        </w:tc>
        <w:tc>
          <w:p>
            <w:pPr>
              <w:pStyle w:val="Compact"/>
              <w:jc w:val="left"/>
            </w:pPr>
            <w:r>
              <w:t xml:space="preserve">12–18 мес</w:t>
            </w:r>
          </w:p>
        </w:tc>
        <w:tc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С3 · Платформа капекс-цикла</w:t>
            </w:r>
          </w:p>
        </w:tc>
        <w:tc>
          <w:p>
            <w:pPr>
              <w:pStyle w:val="Compact"/>
              <w:jc w:val="left"/>
            </w:pPr>
            <w:r>
              <w:t xml:space="preserve">С2 + планирование инвестиций</w:t>
            </w:r>
          </w:p>
        </w:tc>
        <w:tc>
          <w:p>
            <w:pPr>
              <w:pStyle w:val="Compact"/>
              <w:jc w:val="left"/>
            </w:pPr>
            <w:r>
              <w:t xml:space="preserve">24–36 мес</w:t>
            </w:r>
          </w:p>
        </w:tc>
        <w:tc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низкая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С4 · Сборка под одним экраном</w:t>
            </w:r>
          </w:p>
        </w:tc>
        <w:tc>
          <w:p>
            <w:pPr>
              <w:pStyle w:val="Compact"/>
              <w:jc w:val="left"/>
            </w:pPr>
            <w:r>
              <w:t xml:space="preserve">Интерфейс над чужими бэкендами</w:t>
            </w:r>
          </w:p>
        </w:tc>
        <w:tc>
          <w:p>
            <w:pPr>
              <w:pStyle w:val="Compact"/>
              <w:jc w:val="left"/>
            </w:pPr>
            <w:r>
              <w:t xml:space="preserve">9–14 мес</w:t>
            </w:r>
          </w:p>
        </w:tc>
        <w:tc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</w:tbl>
    <w:p>
      <w:pPr>
        <w:pStyle w:val="BodyText"/>
      </w:pPr>
      <w:r>
        <w:rPr>
          <w:b/>
        </w:rPr>
        <w:t xml:space="preserve">Рекомендация: С0 → С1 → С2.</w:t>
      </w:r>
      <w:r>
        <w:t xml:space="preserve"> </w:t>
      </w:r>
      <w:r>
        <w:t xml:space="preserve">Каждый шаг оплачивает следующий и даёт данные для него. С3 отклонён: попадаем в чужую категорию сравнения необратимо. С4 отклонён как конструкция — компания без своего технологического актива оценивается как интегратор, — но принят как принцип для краёв продукта.</w:t>
      </w:r>
    </w:p>
    <w:p>
      <w:pPr>
        <w:pStyle w:val="BodyText"/>
      </w:pPr>
      <w:r>
        <w:rPr>
          <w:b/>
        </w:rPr>
        <w:t xml:space="preserve">Просьба к инвестору формулируется не как «выберите сценарий», а как «профинансируйте разрешение развилки с правом остановки».</w:t>
      </w:r>
      <w:r>
        <w:t xml:space="preserve"> </w:t>
      </w:r>
      <w:r>
        <w:t xml:space="preserve">Закрывают её шесть замеров фазы 0, а не обсуждение. Развёрнуто —</w:t>
      </w:r>
      <w:r>
        <w:t xml:space="preserve"> </w:t>
      </w:r>
      <w:r>
        <w:rPr>
          <w:rStyle w:val="VerbatimChar"/>
        </w:rPr>
        <w:t xml:space="preserve">02_Проектная_документация/07_Стратегические_развилки_и_сценарии.md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ГРАНИЦА С ПЛАНИРОВАНИЕМ ИНВЕСТИЦИЙ</w:t>
      </w:r>
    </w:p>
    <w:p>
      <w:pPr>
        <w:pStyle w:val="BlockText"/>
      </w:pPr>
      <w:r>
        <w:t xml:space="preserve">Планирование говорит: «нужно расширить 200 площадок».</w:t>
      </w:r>
      <w:r>
        <w:t xml:space="preserve"> </w:t>
      </w:r>
      <w:r>
        <w:t xml:space="preserve">Мы говорим: «для 57 из них покупать вообще ничего не надо — оно уже внутри компании».</w:t>
      </w:r>
    </w:p>
    <w:p>
      <w:pPr>
        <w:pStyle w:val="FirstParagraph"/>
      </w:pPr>
      <w:r>
        <w:t xml:space="preserve">В этот рынок не заходим осознанно: Riaktr с клиентами Orange и MTN продана целиком за €10,4 млн — рынок мал и консолидирован, а сравнение с Infovista по прогнозу трафика мы проиграем справедливо.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МАСШТАБ ПРОБЛЕМЫ ПО ОТРАСЛИ</w:t>
      </w:r>
    </w:p>
    <w:p>
      <w:pPr>
        <w:pStyle w:val="BodyText"/>
      </w:pPr>
      <w:r>
        <w:t xml:space="preserve">~35% сетевых активов сервис-провайдера «застрявшие», до 50% не редкость · потери от недостаточной сверки реестра основных средств 2–5% годовых · переиспользование демонтажа в отрасли ~10%, у Telefónica 43% · 79% капитальных проектов испытали задержки, 81% — перерасход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ОКНО</w:t>
      </w:r>
    </w:p>
    <w:p>
      <w:pPr>
        <w:pStyle w:val="BodyText"/>
      </w:pPr>
      <w:r>
        <w:t xml:space="preserve">Глобальный капекс плоский и снижается — именно в фазе сокращения бюджетов вопрос «нельзя ли взять со склада» поднимается до уровня правления. Казахстан против тренда наращивает вложения (+22,2% у Beeline KZ), одновременно вводя 5G и выводя 3G: пиковый оборот оборудования за десятилетие.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КТО ДЕЛАЕТ И ЧТО ПРОСИМ</w:t>
      </w:r>
    </w:p>
    <w:p>
      <w:pPr>
        <w:pStyle w:val="BodyText"/>
      </w:pPr>
      <w:r>
        <w:t xml:space="preserve">Платформа для телеком-индустрии, создаётся во внешней компании. Партнёр обеспечивает финансирование, архитектор решения — отраслевую экспертизу изнутри оператора и будущее совладение. Первый оператор — якорный клиент, а не собственник продукта.</w:t>
      </w:r>
    </w:p>
    <w:p>
      <w:pPr>
        <w:pStyle w:val="BodyText"/>
      </w:pPr>
      <w:r>
        <w:t xml:space="preserve">Путь: внедрение у якорного клиента → измеренный результат → обобщение → второй клиент → продукт за 24–30 месяцев. Канал выхода — консалтинговые практики: у них отношения с финансовыми директорами, у нас движок исполнительной половины.</w:t>
      </w:r>
    </w:p>
    <w:p>
      <w:pPr>
        <w:pStyle w:val="BodyText"/>
      </w:pPr>
      <w:r>
        <w:rPr>
          <w:b/>
        </w:rPr>
        <w:t xml:space="preserve">РИСК №1 — права на разработку (интеллектуальная собственность) и конфликт интересов.</w:t>
      </w:r>
      <w:r>
        <w:t xml:space="preserve"> </w:t>
      </w:r>
      <w:r>
        <w:t xml:space="preserve">Урегулировать письменно до первой строки кода.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Цифры со статусом «оценка» подлежат замене на фактические в фазе 0. Отраслевые данные — для обоснования актуальности, не как бенчмарк эффекта.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2026-07-28T08:02:56Z</dcterms:created>
  <dcterms:modified xsi:type="dcterms:W3CDTF">2026-07-28T08:02:56Z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