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948" w:rsidRDefault="007F062F" w:rsidP="00592948">
      <w:pPr>
        <w:pStyle w:val="Title"/>
      </w:pPr>
      <w:r>
        <w:t>Lab 7</w:t>
      </w:r>
    </w:p>
    <w:p w:rsidR="00565219" w:rsidRDefault="00A70179" w:rsidP="00F36BCE">
      <w:pPr>
        <w:spacing w:after="0" w:line="240" w:lineRule="auto"/>
      </w:pPr>
      <w:r>
        <w:t>Kyle</w:t>
      </w:r>
      <w:r w:rsidR="00B930E9">
        <w:t xml:space="preserve"> Salitrik</w:t>
      </w:r>
    </w:p>
    <w:p w:rsidR="00B930E9" w:rsidRDefault="00B930E9" w:rsidP="00F36BCE">
      <w:pPr>
        <w:spacing w:after="0" w:line="240" w:lineRule="auto"/>
      </w:pPr>
      <w:r>
        <w:t>997543474</w:t>
      </w:r>
    </w:p>
    <w:p w:rsidR="00F36BCE" w:rsidRDefault="00D60C3E" w:rsidP="00D60C3E">
      <w:pPr>
        <w:pStyle w:val="Heading1"/>
      </w:pPr>
      <w:r>
        <w:t>Part 1</w:t>
      </w:r>
    </w:p>
    <w:p w:rsidR="0097094B" w:rsidRDefault="0097094B" w:rsidP="007358CC">
      <w:pPr>
        <w:ind w:firstLine="720"/>
      </w:pPr>
      <w:r>
        <w:t>The linear model obtained is:</w:t>
      </w:r>
    </w:p>
    <w:p w:rsidR="007358CC" w:rsidRPr="0097094B" w:rsidRDefault="0097094B" w:rsidP="007358CC">
      <w:pPr>
        <w:ind w:firstLine="720"/>
        <w:rPr>
          <w:rFonts w:eastAsiaTheme="minorEastAsia"/>
        </w:rPr>
      </w:pPr>
      <m:oMathPara>
        <m:oMath>
          <m:acc>
            <m:accPr>
              <m:ctrlPr>
                <w:rPr>
                  <w:rFonts w:ascii="Cambria Math" w:hAnsi="Cambria Math"/>
                </w:rPr>
              </m:ctrlPr>
            </m:accPr>
            <m:e>
              <m:r>
                <w:rPr>
                  <w:rFonts w:ascii="Cambria Math" w:hAnsi="Cambria Math"/>
                </w:rPr>
                <m:t>hardness</m:t>
              </m:r>
            </m:e>
          </m:acc>
          <m:r>
            <w:rPr>
              <w:rFonts w:ascii="Cambria Math" w:hAnsi="Cambria Math"/>
            </w:rPr>
            <m:t>= 81.4793 + 1.8687*Aluminum</m:t>
          </m:r>
        </m:oMath>
      </m:oMathPara>
    </w:p>
    <w:p w:rsidR="0097094B" w:rsidRDefault="0097094B" w:rsidP="0097094B">
      <w:pPr>
        <w:ind w:firstLine="720"/>
        <w:rPr>
          <w:rFonts w:eastAsiaTheme="minorEastAsia"/>
        </w:rPr>
      </w:pPr>
      <w:r>
        <w:rPr>
          <w:rFonts w:eastAsiaTheme="minorEastAsia"/>
        </w:rPr>
        <w:t>Which shows a positive relationship between the amount of aluminum present and the hardness of the cement. To investigate the accuracy of the model, we will examine the confidence and prediction intervals for points at the 50</w:t>
      </w:r>
      <w:r w:rsidRPr="0097094B">
        <w:rPr>
          <w:rFonts w:eastAsiaTheme="minorEastAsia"/>
          <w:vertAlign w:val="superscript"/>
        </w:rPr>
        <w:t>th</w:t>
      </w:r>
      <w:r>
        <w:rPr>
          <w:rFonts w:eastAsiaTheme="minorEastAsia"/>
        </w:rPr>
        <w:t xml:space="preserve"> and 90</w:t>
      </w:r>
      <w:r w:rsidRPr="0097094B">
        <w:rPr>
          <w:rFonts w:eastAsiaTheme="minorEastAsia"/>
          <w:vertAlign w:val="superscript"/>
        </w:rPr>
        <w:t>th</w:t>
      </w:r>
      <w:r>
        <w:rPr>
          <w:rFonts w:eastAsiaTheme="minorEastAsia"/>
        </w:rPr>
        <w:t xml:space="preserve"> quantiles. Before starting the analysis, I would assume that the 0.50 quantile to be a more trustworthy predictor because when reaching the 90</w:t>
      </w:r>
      <w:r w:rsidRPr="0097094B">
        <w:rPr>
          <w:rFonts w:eastAsiaTheme="minorEastAsia"/>
          <w:vertAlign w:val="superscript"/>
        </w:rPr>
        <w:t>th</w:t>
      </w:r>
      <w:r>
        <w:rPr>
          <w:rFonts w:eastAsiaTheme="minorEastAsia"/>
        </w:rPr>
        <w:t xml:space="preserve"> percentile, there are less data points to predict the behavior in that region.</w:t>
      </w:r>
    </w:p>
    <w:p w:rsidR="00876E50" w:rsidRDefault="0097094B" w:rsidP="0097094B">
      <w:pPr>
        <w:ind w:firstLine="720"/>
        <w:rPr>
          <w:rFonts w:eastAsiaTheme="minorEastAsia"/>
        </w:rPr>
      </w:pPr>
      <w:r>
        <w:rPr>
          <w:rFonts w:eastAsiaTheme="minorEastAsia"/>
        </w:rPr>
        <w:t>The following table summarizes the information obtained:</w:t>
      </w:r>
    </w:p>
    <w:tbl>
      <w:tblPr>
        <w:tblStyle w:val="TableGrid"/>
        <w:tblW w:w="0" w:type="auto"/>
        <w:tblLook w:val="04A0" w:firstRow="1" w:lastRow="0" w:firstColumn="1" w:lastColumn="0" w:noHBand="0" w:noVBand="1"/>
      </w:tblPr>
      <w:tblGrid>
        <w:gridCol w:w="3116"/>
        <w:gridCol w:w="3117"/>
        <w:gridCol w:w="3117"/>
      </w:tblGrid>
      <w:tr w:rsidR="0097094B" w:rsidTr="0097094B">
        <w:tc>
          <w:tcPr>
            <w:tcW w:w="3116" w:type="dxa"/>
          </w:tcPr>
          <w:p w:rsidR="0097094B" w:rsidRDefault="0097094B" w:rsidP="0097094B">
            <w:pPr>
              <w:rPr>
                <w:rFonts w:eastAsiaTheme="minorEastAsia"/>
              </w:rPr>
            </w:pPr>
          </w:p>
        </w:tc>
        <w:tc>
          <w:tcPr>
            <w:tcW w:w="3117" w:type="dxa"/>
          </w:tcPr>
          <w:p w:rsidR="0097094B" w:rsidRDefault="0097094B" w:rsidP="0097094B">
            <w:pPr>
              <w:rPr>
                <w:rFonts w:eastAsiaTheme="minorEastAsia"/>
              </w:rPr>
            </w:pPr>
            <w:r>
              <w:rPr>
                <w:rFonts w:eastAsiaTheme="minorEastAsia"/>
              </w:rPr>
              <w:t>50</w:t>
            </w:r>
            <w:r w:rsidRPr="0097094B">
              <w:rPr>
                <w:rFonts w:eastAsiaTheme="minorEastAsia"/>
                <w:vertAlign w:val="superscript"/>
              </w:rPr>
              <w:t>th</w:t>
            </w:r>
          </w:p>
        </w:tc>
        <w:tc>
          <w:tcPr>
            <w:tcW w:w="3117" w:type="dxa"/>
          </w:tcPr>
          <w:p w:rsidR="0097094B" w:rsidRDefault="0097094B" w:rsidP="0097094B">
            <w:pPr>
              <w:rPr>
                <w:rFonts w:eastAsiaTheme="minorEastAsia"/>
              </w:rPr>
            </w:pPr>
            <w:r>
              <w:rPr>
                <w:rFonts w:eastAsiaTheme="minorEastAsia"/>
              </w:rPr>
              <w:t>90</w:t>
            </w:r>
            <w:r w:rsidRPr="0097094B">
              <w:rPr>
                <w:rFonts w:eastAsiaTheme="minorEastAsia"/>
                <w:vertAlign w:val="superscript"/>
              </w:rPr>
              <w:t>th</w:t>
            </w:r>
          </w:p>
        </w:tc>
      </w:tr>
      <w:tr w:rsidR="0097094B" w:rsidTr="0097094B">
        <w:tc>
          <w:tcPr>
            <w:tcW w:w="3116" w:type="dxa"/>
          </w:tcPr>
          <w:p w:rsidR="0097094B" w:rsidRDefault="0097094B" w:rsidP="0097094B">
            <w:pPr>
              <w:rPr>
                <w:rFonts w:eastAsiaTheme="minorEastAsia"/>
              </w:rPr>
            </w:pPr>
            <w:r>
              <w:rPr>
                <w:rFonts w:eastAsiaTheme="minorEastAsia"/>
              </w:rPr>
              <w:t>Quantile Value</w:t>
            </w:r>
          </w:p>
        </w:tc>
        <w:tc>
          <w:tcPr>
            <w:tcW w:w="3117" w:type="dxa"/>
          </w:tcPr>
          <w:p w:rsidR="0097094B" w:rsidRDefault="0097094B" w:rsidP="0097094B">
            <w:pPr>
              <w:rPr>
                <w:rFonts w:eastAsiaTheme="minorEastAsia"/>
              </w:rPr>
            </w:pPr>
            <w:r>
              <w:rPr>
                <w:rFonts w:eastAsiaTheme="minorEastAsia"/>
              </w:rPr>
              <w:t>7</w:t>
            </w:r>
          </w:p>
        </w:tc>
        <w:tc>
          <w:tcPr>
            <w:tcW w:w="3117" w:type="dxa"/>
          </w:tcPr>
          <w:p w:rsidR="0097094B" w:rsidRDefault="0097094B" w:rsidP="0097094B">
            <w:pPr>
              <w:rPr>
                <w:rFonts w:eastAsiaTheme="minorEastAsia"/>
              </w:rPr>
            </w:pPr>
            <w:r>
              <w:rPr>
                <w:rFonts w:eastAsiaTheme="minorEastAsia"/>
              </w:rPr>
              <w:t>11</w:t>
            </w:r>
          </w:p>
        </w:tc>
      </w:tr>
      <w:tr w:rsidR="0097094B" w:rsidTr="0097094B">
        <w:tc>
          <w:tcPr>
            <w:tcW w:w="3116" w:type="dxa"/>
          </w:tcPr>
          <w:p w:rsidR="0097094B" w:rsidRDefault="0097094B" w:rsidP="0097094B">
            <w:pPr>
              <w:rPr>
                <w:rFonts w:eastAsiaTheme="minorEastAsia"/>
              </w:rPr>
            </w:pPr>
            <w:r>
              <w:rPr>
                <w:rFonts w:eastAsiaTheme="minorEastAsia"/>
              </w:rPr>
              <w:t>Point Estimates</w:t>
            </w:r>
          </w:p>
        </w:tc>
        <w:tc>
          <w:tcPr>
            <w:tcW w:w="3117" w:type="dxa"/>
          </w:tcPr>
          <w:p w:rsidR="0097094B" w:rsidRDefault="0097094B" w:rsidP="0097094B">
            <w:pPr>
              <w:rPr>
                <w:rFonts w:eastAsiaTheme="minorEastAsia"/>
              </w:rPr>
            </w:pPr>
            <w:r w:rsidRPr="0097094B">
              <w:rPr>
                <w:rFonts w:eastAsiaTheme="minorEastAsia"/>
              </w:rPr>
              <w:t>94.56058</w:t>
            </w:r>
          </w:p>
        </w:tc>
        <w:tc>
          <w:tcPr>
            <w:tcW w:w="3117" w:type="dxa"/>
          </w:tcPr>
          <w:p w:rsidR="0097094B" w:rsidRDefault="0097094B" w:rsidP="0097094B">
            <w:pPr>
              <w:rPr>
                <w:rFonts w:eastAsiaTheme="minorEastAsia"/>
              </w:rPr>
            </w:pPr>
            <w:r>
              <w:rPr>
                <w:rFonts w:eastAsiaTheme="minorEastAsia"/>
              </w:rPr>
              <w:t>102.03557</w:t>
            </w:r>
          </w:p>
        </w:tc>
      </w:tr>
      <w:tr w:rsidR="0097094B" w:rsidTr="0097094B">
        <w:tc>
          <w:tcPr>
            <w:tcW w:w="3116" w:type="dxa"/>
          </w:tcPr>
          <w:p w:rsidR="0097094B" w:rsidRDefault="0097094B" w:rsidP="0097094B">
            <w:pPr>
              <w:rPr>
                <w:rFonts w:eastAsiaTheme="minorEastAsia"/>
              </w:rPr>
            </w:pPr>
            <w:r>
              <w:rPr>
                <w:rFonts w:eastAsiaTheme="minorEastAsia"/>
              </w:rPr>
              <w:t>CI Lower Bound</w:t>
            </w:r>
          </w:p>
        </w:tc>
        <w:tc>
          <w:tcPr>
            <w:tcW w:w="3117" w:type="dxa"/>
          </w:tcPr>
          <w:p w:rsidR="0097094B" w:rsidRDefault="0097094B" w:rsidP="0097094B">
            <w:pPr>
              <w:rPr>
                <w:rFonts w:eastAsiaTheme="minorEastAsia"/>
              </w:rPr>
            </w:pPr>
            <w:r>
              <w:rPr>
                <w:rFonts w:eastAsiaTheme="minorEastAsia"/>
              </w:rPr>
              <w:t>87.99073</w:t>
            </w:r>
          </w:p>
        </w:tc>
        <w:tc>
          <w:tcPr>
            <w:tcW w:w="3117" w:type="dxa"/>
          </w:tcPr>
          <w:p w:rsidR="0097094B" w:rsidRDefault="0097094B" w:rsidP="0097094B">
            <w:pPr>
              <w:rPr>
                <w:rFonts w:eastAsiaTheme="minorEastAsia"/>
              </w:rPr>
            </w:pPr>
            <w:r>
              <w:rPr>
                <w:rFonts w:eastAsiaTheme="minorEastAsia"/>
              </w:rPr>
              <w:t>94.30998</w:t>
            </w:r>
          </w:p>
        </w:tc>
      </w:tr>
      <w:tr w:rsidR="0097094B" w:rsidTr="0097094B">
        <w:tc>
          <w:tcPr>
            <w:tcW w:w="3116" w:type="dxa"/>
          </w:tcPr>
          <w:p w:rsidR="0097094B" w:rsidRDefault="0097094B" w:rsidP="0097094B">
            <w:pPr>
              <w:rPr>
                <w:rFonts w:eastAsiaTheme="minorEastAsia"/>
              </w:rPr>
            </w:pPr>
            <w:r>
              <w:rPr>
                <w:rFonts w:eastAsiaTheme="minorEastAsia"/>
              </w:rPr>
              <w:t>CI Upper Bound</w:t>
            </w:r>
          </w:p>
        </w:tc>
        <w:tc>
          <w:tcPr>
            <w:tcW w:w="3117" w:type="dxa"/>
          </w:tcPr>
          <w:p w:rsidR="0097094B" w:rsidRDefault="0097094B" w:rsidP="0097094B">
            <w:pPr>
              <w:rPr>
                <w:rFonts w:eastAsiaTheme="minorEastAsia"/>
              </w:rPr>
            </w:pPr>
            <w:r>
              <w:rPr>
                <w:rFonts w:eastAsiaTheme="minorEastAsia"/>
              </w:rPr>
              <w:t>101.1304</w:t>
            </w:r>
          </w:p>
        </w:tc>
        <w:tc>
          <w:tcPr>
            <w:tcW w:w="3117" w:type="dxa"/>
          </w:tcPr>
          <w:p w:rsidR="0097094B" w:rsidRDefault="0097094B" w:rsidP="0097094B">
            <w:pPr>
              <w:rPr>
                <w:rFonts w:eastAsiaTheme="minorEastAsia"/>
              </w:rPr>
            </w:pPr>
            <w:r>
              <w:rPr>
                <w:rFonts w:eastAsiaTheme="minorEastAsia"/>
              </w:rPr>
              <w:t>109.7612</w:t>
            </w:r>
          </w:p>
        </w:tc>
      </w:tr>
      <w:tr w:rsidR="0097094B" w:rsidTr="0097094B">
        <w:tc>
          <w:tcPr>
            <w:tcW w:w="3116" w:type="dxa"/>
          </w:tcPr>
          <w:p w:rsidR="0097094B" w:rsidRDefault="0097094B" w:rsidP="0097094B">
            <w:pPr>
              <w:tabs>
                <w:tab w:val="left" w:pos="1965"/>
              </w:tabs>
              <w:rPr>
                <w:rFonts w:eastAsiaTheme="minorEastAsia"/>
              </w:rPr>
            </w:pPr>
            <w:r>
              <w:rPr>
                <w:rFonts w:eastAsiaTheme="minorEastAsia"/>
              </w:rPr>
              <w:t>CI Width</w:t>
            </w:r>
            <w:r>
              <w:rPr>
                <w:rFonts w:eastAsiaTheme="minorEastAsia"/>
              </w:rPr>
              <w:tab/>
            </w:r>
          </w:p>
        </w:tc>
        <w:tc>
          <w:tcPr>
            <w:tcW w:w="3117" w:type="dxa"/>
          </w:tcPr>
          <w:p w:rsidR="0097094B" w:rsidRDefault="0097094B" w:rsidP="0097094B">
            <w:pPr>
              <w:rPr>
                <w:rFonts w:eastAsiaTheme="minorEastAsia"/>
              </w:rPr>
            </w:pPr>
            <w:r>
              <w:rPr>
                <w:rFonts w:eastAsiaTheme="minorEastAsia"/>
              </w:rPr>
              <w:t>13.13970</w:t>
            </w:r>
          </w:p>
        </w:tc>
        <w:tc>
          <w:tcPr>
            <w:tcW w:w="3117" w:type="dxa"/>
          </w:tcPr>
          <w:p w:rsidR="0097094B" w:rsidRDefault="0097094B" w:rsidP="0097094B">
            <w:pPr>
              <w:rPr>
                <w:rFonts w:eastAsiaTheme="minorEastAsia"/>
              </w:rPr>
            </w:pPr>
            <w:r>
              <w:rPr>
                <w:rFonts w:eastAsiaTheme="minorEastAsia"/>
              </w:rPr>
              <w:t>15.45117</w:t>
            </w:r>
          </w:p>
        </w:tc>
      </w:tr>
      <w:tr w:rsidR="0097094B" w:rsidTr="0097094B">
        <w:tc>
          <w:tcPr>
            <w:tcW w:w="3116" w:type="dxa"/>
          </w:tcPr>
          <w:p w:rsidR="0097094B" w:rsidRDefault="0097094B" w:rsidP="0097094B">
            <w:pPr>
              <w:tabs>
                <w:tab w:val="left" w:pos="1965"/>
              </w:tabs>
              <w:rPr>
                <w:rFonts w:eastAsiaTheme="minorEastAsia"/>
              </w:rPr>
            </w:pPr>
            <w:r>
              <w:rPr>
                <w:rFonts w:eastAsiaTheme="minorEastAsia"/>
              </w:rPr>
              <w:t>PI Lower Bound</w:t>
            </w:r>
          </w:p>
        </w:tc>
        <w:tc>
          <w:tcPr>
            <w:tcW w:w="3117" w:type="dxa"/>
          </w:tcPr>
          <w:p w:rsidR="0097094B" w:rsidRDefault="0097094B" w:rsidP="0097094B">
            <w:pPr>
              <w:rPr>
                <w:rFonts w:eastAsiaTheme="minorEastAsia"/>
              </w:rPr>
            </w:pPr>
            <w:r>
              <w:rPr>
                <w:rFonts w:eastAsiaTheme="minorEastAsia"/>
              </w:rPr>
              <w:t>70.05417</w:t>
            </w:r>
          </w:p>
        </w:tc>
        <w:tc>
          <w:tcPr>
            <w:tcW w:w="3117" w:type="dxa"/>
          </w:tcPr>
          <w:p w:rsidR="0097094B" w:rsidRDefault="0097094B" w:rsidP="0097094B">
            <w:pPr>
              <w:rPr>
                <w:rFonts w:eastAsiaTheme="minorEastAsia"/>
              </w:rPr>
            </w:pPr>
            <w:r>
              <w:rPr>
                <w:rFonts w:eastAsiaTheme="minorEastAsia"/>
              </w:rPr>
              <w:t>77.19436</w:t>
            </w:r>
          </w:p>
        </w:tc>
      </w:tr>
      <w:tr w:rsidR="0097094B" w:rsidTr="0097094B">
        <w:tc>
          <w:tcPr>
            <w:tcW w:w="3116" w:type="dxa"/>
          </w:tcPr>
          <w:p w:rsidR="0097094B" w:rsidRDefault="0097094B" w:rsidP="0097094B">
            <w:pPr>
              <w:tabs>
                <w:tab w:val="left" w:pos="1965"/>
              </w:tabs>
              <w:rPr>
                <w:rFonts w:eastAsiaTheme="minorEastAsia"/>
              </w:rPr>
            </w:pPr>
            <w:r>
              <w:rPr>
                <w:rFonts w:eastAsiaTheme="minorEastAsia"/>
              </w:rPr>
              <w:t>PI Upper Bound</w:t>
            </w:r>
          </w:p>
        </w:tc>
        <w:tc>
          <w:tcPr>
            <w:tcW w:w="3117" w:type="dxa"/>
          </w:tcPr>
          <w:p w:rsidR="0097094B" w:rsidRDefault="0097094B" w:rsidP="0097094B">
            <w:pPr>
              <w:rPr>
                <w:rFonts w:eastAsiaTheme="minorEastAsia"/>
              </w:rPr>
            </w:pPr>
            <w:r>
              <w:rPr>
                <w:rFonts w:eastAsiaTheme="minorEastAsia"/>
              </w:rPr>
              <w:t>119.0670</w:t>
            </w:r>
          </w:p>
        </w:tc>
        <w:tc>
          <w:tcPr>
            <w:tcW w:w="3117" w:type="dxa"/>
          </w:tcPr>
          <w:p w:rsidR="0097094B" w:rsidRDefault="0097094B" w:rsidP="0097094B">
            <w:pPr>
              <w:rPr>
                <w:rFonts w:eastAsiaTheme="minorEastAsia"/>
              </w:rPr>
            </w:pPr>
            <w:r>
              <w:rPr>
                <w:rFonts w:eastAsiaTheme="minorEastAsia"/>
              </w:rPr>
              <w:t>126.8768</w:t>
            </w:r>
          </w:p>
        </w:tc>
      </w:tr>
      <w:tr w:rsidR="0097094B" w:rsidTr="0097094B">
        <w:tc>
          <w:tcPr>
            <w:tcW w:w="3116" w:type="dxa"/>
          </w:tcPr>
          <w:p w:rsidR="0097094B" w:rsidRDefault="0097094B" w:rsidP="0097094B">
            <w:pPr>
              <w:tabs>
                <w:tab w:val="left" w:pos="1965"/>
              </w:tabs>
              <w:rPr>
                <w:rFonts w:eastAsiaTheme="minorEastAsia"/>
              </w:rPr>
            </w:pPr>
            <w:r>
              <w:rPr>
                <w:rFonts w:eastAsiaTheme="minorEastAsia"/>
              </w:rPr>
              <w:t>PI Width</w:t>
            </w:r>
          </w:p>
        </w:tc>
        <w:tc>
          <w:tcPr>
            <w:tcW w:w="3117" w:type="dxa"/>
          </w:tcPr>
          <w:p w:rsidR="0097094B" w:rsidRDefault="0097094B" w:rsidP="0097094B">
            <w:pPr>
              <w:rPr>
                <w:rFonts w:eastAsiaTheme="minorEastAsia"/>
              </w:rPr>
            </w:pPr>
            <w:r>
              <w:rPr>
                <w:rFonts w:eastAsiaTheme="minorEastAsia"/>
              </w:rPr>
              <w:t>49.01281</w:t>
            </w:r>
          </w:p>
        </w:tc>
        <w:tc>
          <w:tcPr>
            <w:tcW w:w="3117" w:type="dxa"/>
          </w:tcPr>
          <w:p w:rsidR="0097094B" w:rsidRDefault="0097094B" w:rsidP="0097094B">
            <w:pPr>
              <w:rPr>
                <w:rFonts w:eastAsiaTheme="minorEastAsia"/>
              </w:rPr>
            </w:pPr>
            <w:r>
              <w:rPr>
                <w:rFonts w:eastAsiaTheme="minorEastAsia"/>
              </w:rPr>
              <w:t>49.68242</w:t>
            </w:r>
          </w:p>
        </w:tc>
      </w:tr>
    </w:tbl>
    <w:p w:rsidR="0097094B" w:rsidRDefault="0097094B" w:rsidP="0097094B">
      <w:pPr>
        <w:ind w:firstLine="720"/>
        <w:rPr>
          <w:rFonts w:eastAsiaTheme="minorEastAsia"/>
        </w:rPr>
      </w:pPr>
    </w:p>
    <w:p w:rsidR="0097094B" w:rsidRDefault="0097094B" w:rsidP="0097094B">
      <w:pPr>
        <w:ind w:firstLine="720"/>
        <w:rPr>
          <w:rFonts w:eastAsiaTheme="minorEastAsia"/>
        </w:rPr>
      </w:pPr>
      <w:r>
        <w:rPr>
          <w:rFonts w:eastAsiaTheme="minorEastAsia"/>
        </w:rPr>
        <w:t>As stated before, the reason that the 90</w:t>
      </w:r>
      <w:r w:rsidRPr="0097094B">
        <w:rPr>
          <w:rFonts w:eastAsiaTheme="minorEastAsia"/>
          <w:vertAlign w:val="superscript"/>
        </w:rPr>
        <w:t>th</w:t>
      </w:r>
      <w:r>
        <w:rPr>
          <w:rFonts w:eastAsiaTheme="minorEastAsia"/>
        </w:rPr>
        <w:t xml:space="preserve"> percentile’s width is larger is </w:t>
      </w:r>
      <w:proofErr w:type="gramStart"/>
      <w:r>
        <w:rPr>
          <w:rFonts w:eastAsiaTheme="minorEastAsia"/>
        </w:rPr>
        <w:t>due to the fact that</w:t>
      </w:r>
      <w:proofErr w:type="gramEnd"/>
      <w:r>
        <w:rPr>
          <w:rFonts w:eastAsiaTheme="minorEastAsia"/>
        </w:rPr>
        <w:t xml:space="preserve"> there are more points to inform the prediction for the 50</w:t>
      </w:r>
      <w:r w:rsidRPr="0097094B">
        <w:rPr>
          <w:rFonts w:eastAsiaTheme="minorEastAsia"/>
          <w:vertAlign w:val="superscript"/>
        </w:rPr>
        <w:t>th</w:t>
      </w:r>
      <w:r>
        <w:rPr>
          <w:rFonts w:eastAsiaTheme="minorEastAsia"/>
        </w:rPr>
        <w:t xml:space="preserve"> percentile than the 90</w:t>
      </w:r>
      <w:r w:rsidRPr="0097094B">
        <w:rPr>
          <w:rFonts w:eastAsiaTheme="minorEastAsia"/>
          <w:vertAlign w:val="superscript"/>
        </w:rPr>
        <w:t>th</w:t>
      </w:r>
      <w:r>
        <w:rPr>
          <w:rFonts w:eastAsiaTheme="minorEastAsia"/>
        </w:rPr>
        <w:t xml:space="preserve"> so the fitted value is more likely to have higher accuracy for the 50</w:t>
      </w:r>
      <w:r w:rsidRPr="0097094B">
        <w:rPr>
          <w:rFonts w:eastAsiaTheme="minorEastAsia"/>
          <w:vertAlign w:val="superscript"/>
        </w:rPr>
        <w:t>th</w:t>
      </w:r>
      <w:r>
        <w:rPr>
          <w:rFonts w:eastAsiaTheme="minorEastAsia"/>
        </w:rPr>
        <w:t xml:space="preserve"> percentile.</w:t>
      </w:r>
    </w:p>
    <w:p w:rsidR="00F86AF1" w:rsidRPr="00876E50" w:rsidRDefault="0097094B" w:rsidP="00F86AF1">
      <w:pPr>
        <w:ind w:firstLine="720"/>
        <w:rPr>
          <w:rFonts w:eastAsiaTheme="minorEastAsia"/>
        </w:rPr>
      </w:pPr>
      <w:r>
        <w:rPr>
          <w:rFonts w:eastAsiaTheme="minorEastAsia"/>
        </w:rPr>
        <w:t>The prediction intervals are wider than the confidence intervals because the CI is simply concerned with the variance of the mean response based on the data obtained</w:t>
      </w:r>
      <w:r w:rsidR="00F86AF1">
        <w:rPr>
          <w:rFonts w:eastAsiaTheme="minorEastAsia"/>
        </w:rPr>
        <w:t xml:space="preserve"> while the PI attempts to find an interval that a new response will fall in given an unobserved data point. This interval is larger because we are uncertain about the actual mean response, so to predict a point that would fall outside of this mean creates a larger interval.</w:t>
      </w:r>
      <w:bookmarkStart w:id="0" w:name="_GoBack"/>
      <w:bookmarkEnd w:id="0"/>
    </w:p>
    <w:p w:rsidR="0039044F" w:rsidRPr="0097094B" w:rsidRDefault="007358CC">
      <w:r>
        <w:rPr>
          <w:rFonts w:eastAsia="Times New Roman"/>
        </w:rPr>
        <w:br w:type="page"/>
      </w:r>
    </w:p>
    <w:p w:rsidR="00592948" w:rsidRDefault="00592948" w:rsidP="00592948">
      <w:pPr>
        <w:pStyle w:val="Title"/>
        <w:rPr>
          <w:rFonts w:eastAsia="Times New Roman"/>
        </w:rPr>
      </w:pPr>
      <w:r>
        <w:rPr>
          <w:rFonts w:eastAsia="Times New Roman"/>
        </w:rPr>
        <w:lastRenderedPageBreak/>
        <w:t>CODE</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&gt; cement=</w:t>
      </w:r>
      <w:proofErr w:type="spellStart"/>
      <w:proofErr w:type="gramStart"/>
      <w:r w:rsidRPr="0097094B">
        <w:rPr>
          <w:rFonts w:ascii="Lucida Console" w:eastAsia="Times New Roman" w:hAnsi="Lucida Console" w:cs="Courier New"/>
          <w:color w:val="0000FF"/>
          <w:sz w:val="20"/>
          <w:szCs w:val="20"/>
        </w:rPr>
        <w:t>read.table</w:t>
      </w:r>
      <w:proofErr w:type="spellEnd"/>
      <w:proofErr w:type="gramEnd"/>
      <w:r w:rsidRPr="0097094B">
        <w:rPr>
          <w:rFonts w:ascii="Lucida Console" w:eastAsia="Times New Roman" w:hAnsi="Lucida Console" w:cs="Courier New"/>
          <w:color w:val="0000FF"/>
          <w:sz w:val="20"/>
          <w:szCs w:val="20"/>
        </w:rPr>
        <w:t>('</w:t>
      </w:r>
      <w:proofErr w:type="spellStart"/>
      <w:r w:rsidRPr="0097094B">
        <w:rPr>
          <w:rFonts w:ascii="Lucida Console" w:eastAsia="Times New Roman" w:hAnsi="Lucida Console" w:cs="Courier New"/>
          <w:color w:val="0000FF"/>
          <w:sz w:val="20"/>
          <w:szCs w:val="20"/>
        </w:rPr>
        <w:t>cement.txt',header</w:t>
      </w:r>
      <w:proofErr w:type="spellEnd"/>
      <w:r w:rsidRPr="0097094B">
        <w:rPr>
          <w:rFonts w:ascii="Lucida Console" w:eastAsia="Times New Roman" w:hAnsi="Lucida Console" w:cs="Courier New"/>
          <w:color w:val="0000FF"/>
          <w:sz w:val="20"/>
          <w:szCs w:val="20"/>
        </w:rPr>
        <w:t>=</w:t>
      </w:r>
      <w:proofErr w:type="spellStart"/>
      <w:r w:rsidRPr="0097094B">
        <w:rPr>
          <w:rFonts w:ascii="Lucida Console" w:eastAsia="Times New Roman" w:hAnsi="Lucida Console" w:cs="Courier New"/>
          <w:color w:val="0000FF"/>
          <w:sz w:val="20"/>
          <w:szCs w:val="20"/>
        </w:rPr>
        <w:t>TRUE,sep</w:t>
      </w:r>
      <w:proofErr w:type="spellEnd"/>
      <w:r w:rsidRPr="0097094B">
        <w:rPr>
          <w:rFonts w:ascii="Lucida Console" w:eastAsia="Times New Roman" w:hAnsi="Lucida Console" w:cs="Courier New"/>
          <w:color w:val="0000FF"/>
          <w:sz w:val="20"/>
          <w:szCs w:val="20"/>
        </w:rPr>
        <w:t>='\t')</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w:t>
      </w:r>
      <w:proofErr w:type="spellStart"/>
      <w:r w:rsidRPr="0097094B">
        <w:rPr>
          <w:rFonts w:ascii="Lucida Console" w:eastAsia="Times New Roman" w:hAnsi="Lucida Console" w:cs="Courier New"/>
          <w:color w:val="0000FF"/>
          <w:sz w:val="20"/>
          <w:szCs w:val="20"/>
        </w:rPr>
        <w:t>lm_aluminum</w:t>
      </w:r>
      <w:proofErr w:type="spellEnd"/>
      <w:r w:rsidRPr="0097094B">
        <w:rPr>
          <w:rFonts w:ascii="Lucida Console" w:eastAsia="Times New Roman" w:hAnsi="Lucida Console" w:cs="Courier New"/>
          <w:color w:val="0000FF"/>
          <w:sz w:val="20"/>
          <w:szCs w:val="20"/>
        </w:rPr>
        <w:t xml:space="preserve"> = </w:t>
      </w:r>
      <w:proofErr w:type="spellStart"/>
      <w:proofErr w:type="gramStart"/>
      <w:r w:rsidRPr="0097094B">
        <w:rPr>
          <w:rFonts w:ascii="Lucida Console" w:eastAsia="Times New Roman" w:hAnsi="Lucida Console" w:cs="Courier New"/>
          <w:color w:val="0000FF"/>
          <w:sz w:val="20"/>
          <w:szCs w:val="20"/>
        </w:rPr>
        <w:t>lm</w:t>
      </w:r>
      <w:proofErr w:type="spellEnd"/>
      <w:r w:rsidRPr="0097094B">
        <w:rPr>
          <w:rFonts w:ascii="Lucida Console" w:eastAsia="Times New Roman" w:hAnsi="Lucida Console" w:cs="Courier New"/>
          <w:color w:val="0000FF"/>
          <w:sz w:val="20"/>
          <w:szCs w:val="20"/>
        </w:rPr>
        <w:t>(</w:t>
      </w:r>
      <w:proofErr w:type="spellStart"/>
      <w:proofErr w:type="gramEnd"/>
      <w:r w:rsidRPr="0097094B">
        <w:rPr>
          <w:rFonts w:ascii="Lucida Console" w:eastAsia="Times New Roman" w:hAnsi="Lucida Console" w:cs="Courier New"/>
          <w:color w:val="0000FF"/>
          <w:sz w:val="20"/>
          <w:szCs w:val="20"/>
        </w:rPr>
        <w:t>Hardness_cement~Aluminum</w:t>
      </w:r>
      <w:proofErr w:type="spellEnd"/>
      <w:r w:rsidRPr="0097094B">
        <w:rPr>
          <w:rFonts w:ascii="Lucida Console" w:eastAsia="Times New Roman" w:hAnsi="Lucida Console" w:cs="Courier New"/>
          <w:color w:val="0000FF"/>
          <w:sz w:val="20"/>
          <w:szCs w:val="20"/>
        </w:rPr>
        <w:t>, data=cement)</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quantiles = </w:t>
      </w:r>
      <w:proofErr w:type="gramStart"/>
      <w:r w:rsidRPr="0097094B">
        <w:rPr>
          <w:rFonts w:ascii="Lucida Console" w:eastAsia="Times New Roman" w:hAnsi="Lucida Console" w:cs="Courier New"/>
          <w:color w:val="0000FF"/>
          <w:sz w:val="20"/>
          <w:szCs w:val="20"/>
        </w:rPr>
        <w:t>quantile(</w:t>
      </w:r>
      <w:proofErr w:type="spellStart"/>
      <w:proofErr w:type="gramEnd"/>
      <w:r w:rsidRPr="0097094B">
        <w:rPr>
          <w:rFonts w:ascii="Lucida Console" w:eastAsia="Times New Roman" w:hAnsi="Lucida Console" w:cs="Courier New"/>
          <w:color w:val="0000FF"/>
          <w:sz w:val="20"/>
          <w:szCs w:val="20"/>
        </w:rPr>
        <w:t>cement$Aluminum</w:t>
      </w:r>
      <w:proofErr w:type="spellEnd"/>
      <w:r w:rsidRPr="0097094B">
        <w:rPr>
          <w:rFonts w:ascii="Lucida Console" w:eastAsia="Times New Roman" w:hAnsi="Lucida Console" w:cs="Courier New"/>
          <w:color w:val="0000FF"/>
          <w:sz w:val="20"/>
          <w:szCs w:val="20"/>
        </w:rPr>
        <w:t xml:space="preserve">, </w:t>
      </w:r>
      <w:proofErr w:type="spellStart"/>
      <w:r w:rsidRPr="0097094B">
        <w:rPr>
          <w:rFonts w:ascii="Lucida Console" w:eastAsia="Times New Roman" w:hAnsi="Lucida Console" w:cs="Courier New"/>
          <w:color w:val="0000FF"/>
          <w:sz w:val="20"/>
          <w:szCs w:val="20"/>
        </w:rPr>
        <w:t>probs</w:t>
      </w:r>
      <w:proofErr w:type="spellEnd"/>
      <w:r w:rsidRPr="0097094B">
        <w:rPr>
          <w:rFonts w:ascii="Lucida Console" w:eastAsia="Times New Roman" w:hAnsi="Lucida Console" w:cs="Courier New"/>
          <w:color w:val="0000FF"/>
          <w:sz w:val="20"/>
          <w:szCs w:val="20"/>
        </w:rPr>
        <w:t>=c(0.5,0.9))</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estimates = </w:t>
      </w:r>
      <w:proofErr w:type="gramStart"/>
      <w:r w:rsidRPr="0097094B">
        <w:rPr>
          <w:rFonts w:ascii="Lucida Console" w:eastAsia="Times New Roman" w:hAnsi="Lucida Console" w:cs="Courier New"/>
          <w:color w:val="0000FF"/>
          <w:sz w:val="20"/>
          <w:szCs w:val="20"/>
        </w:rPr>
        <w:t>predict(</w:t>
      </w:r>
      <w:proofErr w:type="spellStart"/>
      <w:proofErr w:type="gramEnd"/>
      <w:r w:rsidRPr="0097094B">
        <w:rPr>
          <w:rFonts w:ascii="Lucida Console" w:eastAsia="Times New Roman" w:hAnsi="Lucida Console" w:cs="Courier New"/>
          <w:color w:val="0000FF"/>
          <w:sz w:val="20"/>
          <w:szCs w:val="20"/>
        </w:rPr>
        <w:t>lm_aluminum</w:t>
      </w:r>
      <w:proofErr w:type="spellEnd"/>
      <w:r w:rsidRPr="0097094B">
        <w:rPr>
          <w:rFonts w:ascii="Lucida Console" w:eastAsia="Times New Roman" w:hAnsi="Lucida Console" w:cs="Courier New"/>
          <w:color w:val="0000FF"/>
          <w:sz w:val="20"/>
          <w:szCs w:val="20"/>
        </w:rPr>
        <w:t xml:space="preserve">, </w:t>
      </w:r>
      <w:proofErr w:type="spellStart"/>
      <w:r w:rsidRPr="0097094B">
        <w:rPr>
          <w:rFonts w:ascii="Lucida Console" w:eastAsia="Times New Roman" w:hAnsi="Lucida Console" w:cs="Courier New"/>
          <w:color w:val="0000FF"/>
          <w:sz w:val="20"/>
          <w:szCs w:val="20"/>
        </w:rPr>
        <w:t>data.frame</w:t>
      </w:r>
      <w:proofErr w:type="spellEnd"/>
      <w:r w:rsidRPr="0097094B">
        <w:rPr>
          <w:rFonts w:ascii="Lucida Console" w:eastAsia="Times New Roman" w:hAnsi="Lucida Console" w:cs="Courier New"/>
          <w:color w:val="0000FF"/>
          <w:sz w:val="20"/>
          <w:szCs w:val="20"/>
        </w:rPr>
        <w:t>(Aluminum=quantiles))</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confidence = </w:t>
      </w:r>
      <w:proofErr w:type="gramStart"/>
      <w:r w:rsidRPr="0097094B">
        <w:rPr>
          <w:rFonts w:ascii="Lucida Console" w:eastAsia="Times New Roman" w:hAnsi="Lucida Console" w:cs="Courier New"/>
          <w:color w:val="0000FF"/>
          <w:sz w:val="20"/>
          <w:szCs w:val="20"/>
        </w:rPr>
        <w:t>predict(</w:t>
      </w:r>
      <w:proofErr w:type="spellStart"/>
      <w:proofErr w:type="gramEnd"/>
      <w:r w:rsidRPr="0097094B">
        <w:rPr>
          <w:rFonts w:ascii="Lucida Console" w:eastAsia="Times New Roman" w:hAnsi="Lucida Console" w:cs="Courier New"/>
          <w:color w:val="0000FF"/>
          <w:sz w:val="20"/>
          <w:szCs w:val="20"/>
        </w:rPr>
        <w:t>lm_aluminum</w:t>
      </w:r>
      <w:proofErr w:type="spellEnd"/>
      <w:r w:rsidRPr="0097094B">
        <w:rPr>
          <w:rFonts w:ascii="Lucida Console" w:eastAsia="Times New Roman" w:hAnsi="Lucida Console" w:cs="Courier New"/>
          <w:color w:val="0000FF"/>
          <w:sz w:val="20"/>
          <w:szCs w:val="20"/>
        </w:rPr>
        <w:t xml:space="preserve">, </w:t>
      </w:r>
      <w:proofErr w:type="spellStart"/>
      <w:r w:rsidRPr="0097094B">
        <w:rPr>
          <w:rFonts w:ascii="Lucida Console" w:eastAsia="Times New Roman" w:hAnsi="Lucida Console" w:cs="Courier New"/>
          <w:color w:val="0000FF"/>
          <w:sz w:val="20"/>
          <w:szCs w:val="20"/>
        </w:rPr>
        <w:t>data.frame</w:t>
      </w:r>
      <w:proofErr w:type="spellEnd"/>
      <w:r w:rsidRPr="0097094B">
        <w:rPr>
          <w:rFonts w:ascii="Lucida Console" w:eastAsia="Times New Roman" w:hAnsi="Lucida Console" w:cs="Courier New"/>
          <w:color w:val="0000FF"/>
          <w:sz w:val="20"/>
          <w:szCs w:val="20"/>
        </w:rPr>
        <w:t>(Aluminum=quantiles), interval="confidence", level=.95)</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prediction = </w:t>
      </w:r>
      <w:proofErr w:type="gramStart"/>
      <w:r w:rsidRPr="0097094B">
        <w:rPr>
          <w:rFonts w:ascii="Lucida Console" w:eastAsia="Times New Roman" w:hAnsi="Lucida Console" w:cs="Courier New"/>
          <w:color w:val="0000FF"/>
          <w:sz w:val="20"/>
          <w:szCs w:val="20"/>
        </w:rPr>
        <w:t>predict(</w:t>
      </w:r>
      <w:proofErr w:type="spellStart"/>
      <w:proofErr w:type="gramEnd"/>
      <w:r w:rsidRPr="0097094B">
        <w:rPr>
          <w:rFonts w:ascii="Lucida Console" w:eastAsia="Times New Roman" w:hAnsi="Lucida Console" w:cs="Courier New"/>
          <w:color w:val="0000FF"/>
          <w:sz w:val="20"/>
          <w:szCs w:val="20"/>
        </w:rPr>
        <w:t>lm_aluminum</w:t>
      </w:r>
      <w:proofErr w:type="spellEnd"/>
      <w:r w:rsidRPr="0097094B">
        <w:rPr>
          <w:rFonts w:ascii="Lucida Console" w:eastAsia="Times New Roman" w:hAnsi="Lucida Console" w:cs="Courier New"/>
          <w:color w:val="0000FF"/>
          <w:sz w:val="20"/>
          <w:szCs w:val="20"/>
        </w:rPr>
        <w:t xml:space="preserve">, </w:t>
      </w:r>
      <w:proofErr w:type="spellStart"/>
      <w:r w:rsidRPr="0097094B">
        <w:rPr>
          <w:rFonts w:ascii="Lucida Console" w:eastAsia="Times New Roman" w:hAnsi="Lucida Console" w:cs="Courier New"/>
          <w:color w:val="0000FF"/>
          <w:sz w:val="20"/>
          <w:szCs w:val="20"/>
        </w:rPr>
        <w:t>data.frame</w:t>
      </w:r>
      <w:proofErr w:type="spellEnd"/>
      <w:r w:rsidRPr="0097094B">
        <w:rPr>
          <w:rFonts w:ascii="Lucida Console" w:eastAsia="Times New Roman" w:hAnsi="Lucida Console" w:cs="Courier New"/>
          <w:color w:val="0000FF"/>
          <w:sz w:val="20"/>
          <w:szCs w:val="20"/>
        </w:rPr>
        <w:t>(Aluminum=quantiles), interval="prediction", level=.95)</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w:t>
      </w:r>
      <w:proofErr w:type="spellStart"/>
      <w:r w:rsidRPr="0097094B">
        <w:rPr>
          <w:rFonts w:ascii="Lucida Console" w:eastAsia="Times New Roman" w:hAnsi="Lucida Console" w:cs="Courier New"/>
          <w:color w:val="0000FF"/>
          <w:sz w:val="20"/>
          <w:szCs w:val="20"/>
        </w:rPr>
        <w:t>confwidth</w:t>
      </w:r>
      <w:proofErr w:type="spellEnd"/>
      <w:r w:rsidRPr="0097094B">
        <w:rPr>
          <w:rFonts w:ascii="Lucida Console" w:eastAsia="Times New Roman" w:hAnsi="Lucida Console" w:cs="Courier New"/>
          <w:color w:val="0000FF"/>
          <w:sz w:val="20"/>
          <w:szCs w:val="20"/>
        </w:rPr>
        <w:t xml:space="preserve"> = </w:t>
      </w:r>
      <w:proofErr w:type="spellStart"/>
      <w:r w:rsidRPr="0097094B">
        <w:rPr>
          <w:rFonts w:ascii="Lucida Console" w:eastAsia="Times New Roman" w:hAnsi="Lucida Console" w:cs="Courier New"/>
          <w:color w:val="0000FF"/>
          <w:sz w:val="20"/>
          <w:szCs w:val="20"/>
        </w:rPr>
        <w:t>cbind</w:t>
      </w:r>
      <w:proofErr w:type="spellEnd"/>
      <w:r w:rsidRPr="0097094B">
        <w:rPr>
          <w:rFonts w:ascii="Lucida Console" w:eastAsia="Times New Roman" w:hAnsi="Lucida Console" w:cs="Courier New"/>
          <w:color w:val="0000FF"/>
          <w:sz w:val="20"/>
          <w:szCs w:val="20"/>
        </w:rPr>
        <w:t>(confidence[,3]-</w:t>
      </w:r>
      <w:proofErr w:type="gramStart"/>
      <w:r w:rsidRPr="0097094B">
        <w:rPr>
          <w:rFonts w:ascii="Lucida Console" w:eastAsia="Times New Roman" w:hAnsi="Lucida Console" w:cs="Courier New"/>
          <w:color w:val="0000FF"/>
          <w:sz w:val="20"/>
          <w:szCs w:val="20"/>
        </w:rPr>
        <w:t>confidence[</w:t>
      </w:r>
      <w:proofErr w:type="gramEnd"/>
      <w:r w:rsidRPr="0097094B">
        <w:rPr>
          <w:rFonts w:ascii="Lucida Console" w:eastAsia="Times New Roman" w:hAnsi="Lucida Console" w:cs="Courier New"/>
          <w:color w:val="0000FF"/>
          <w:sz w:val="20"/>
          <w:szCs w:val="20"/>
        </w:rPr>
        <w:t>,2])</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w:t>
      </w:r>
      <w:proofErr w:type="spellStart"/>
      <w:r w:rsidRPr="0097094B">
        <w:rPr>
          <w:rFonts w:ascii="Lucida Console" w:eastAsia="Times New Roman" w:hAnsi="Lucida Console" w:cs="Courier New"/>
          <w:color w:val="0000FF"/>
          <w:sz w:val="20"/>
          <w:szCs w:val="20"/>
        </w:rPr>
        <w:t>colnames</w:t>
      </w:r>
      <w:proofErr w:type="spellEnd"/>
      <w:r w:rsidRPr="0097094B">
        <w:rPr>
          <w:rFonts w:ascii="Lucida Console" w:eastAsia="Times New Roman" w:hAnsi="Lucida Console" w:cs="Courier New"/>
          <w:color w:val="0000FF"/>
          <w:sz w:val="20"/>
          <w:szCs w:val="20"/>
        </w:rPr>
        <w:t>(</w:t>
      </w:r>
      <w:proofErr w:type="spellStart"/>
      <w:r w:rsidRPr="0097094B">
        <w:rPr>
          <w:rFonts w:ascii="Lucida Console" w:eastAsia="Times New Roman" w:hAnsi="Lucida Console" w:cs="Courier New"/>
          <w:color w:val="0000FF"/>
          <w:sz w:val="20"/>
          <w:szCs w:val="20"/>
        </w:rPr>
        <w:t>confwidth</w:t>
      </w:r>
      <w:proofErr w:type="spellEnd"/>
      <w:r w:rsidRPr="0097094B">
        <w:rPr>
          <w:rFonts w:ascii="Lucida Console" w:eastAsia="Times New Roman" w:hAnsi="Lucida Console" w:cs="Courier New"/>
          <w:color w:val="0000FF"/>
          <w:sz w:val="20"/>
          <w:szCs w:val="20"/>
        </w:rPr>
        <w:t xml:space="preserve">) &lt;- </w:t>
      </w:r>
      <w:proofErr w:type="gramStart"/>
      <w:r w:rsidRPr="0097094B">
        <w:rPr>
          <w:rFonts w:ascii="Lucida Console" w:eastAsia="Times New Roman" w:hAnsi="Lucida Console" w:cs="Courier New"/>
          <w:color w:val="0000FF"/>
          <w:sz w:val="20"/>
          <w:szCs w:val="20"/>
        </w:rPr>
        <w:t>c(</w:t>
      </w:r>
      <w:proofErr w:type="gramEnd"/>
      <w:r w:rsidRPr="0097094B">
        <w:rPr>
          <w:rFonts w:ascii="Lucida Console" w:eastAsia="Times New Roman" w:hAnsi="Lucida Console" w:cs="Courier New"/>
          <w:color w:val="0000FF"/>
          <w:sz w:val="20"/>
          <w:szCs w:val="20"/>
        </w:rPr>
        <w:t>"CI Width")</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w:t>
      </w:r>
      <w:proofErr w:type="spellStart"/>
      <w:r w:rsidRPr="0097094B">
        <w:rPr>
          <w:rFonts w:ascii="Lucida Console" w:eastAsia="Times New Roman" w:hAnsi="Lucida Console" w:cs="Courier New"/>
          <w:color w:val="0000FF"/>
          <w:sz w:val="20"/>
          <w:szCs w:val="20"/>
        </w:rPr>
        <w:t>predwidth</w:t>
      </w:r>
      <w:proofErr w:type="spellEnd"/>
      <w:r w:rsidRPr="0097094B">
        <w:rPr>
          <w:rFonts w:ascii="Lucida Console" w:eastAsia="Times New Roman" w:hAnsi="Lucida Console" w:cs="Courier New"/>
          <w:color w:val="0000FF"/>
          <w:sz w:val="20"/>
          <w:szCs w:val="20"/>
        </w:rPr>
        <w:t xml:space="preserve"> = </w:t>
      </w:r>
      <w:proofErr w:type="spellStart"/>
      <w:r w:rsidRPr="0097094B">
        <w:rPr>
          <w:rFonts w:ascii="Lucida Console" w:eastAsia="Times New Roman" w:hAnsi="Lucida Console" w:cs="Courier New"/>
          <w:color w:val="0000FF"/>
          <w:sz w:val="20"/>
          <w:szCs w:val="20"/>
        </w:rPr>
        <w:t>cbind</w:t>
      </w:r>
      <w:proofErr w:type="spellEnd"/>
      <w:r w:rsidRPr="0097094B">
        <w:rPr>
          <w:rFonts w:ascii="Lucida Console" w:eastAsia="Times New Roman" w:hAnsi="Lucida Console" w:cs="Courier New"/>
          <w:color w:val="0000FF"/>
          <w:sz w:val="20"/>
          <w:szCs w:val="20"/>
        </w:rPr>
        <w:t>(prediction[,3]-</w:t>
      </w:r>
      <w:proofErr w:type="gramStart"/>
      <w:r w:rsidRPr="0097094B">
        <w:rPr>
          <w:rFonts w:ascii="Lucida Console" w:eastAsia="Times New Roman" w:hAnsi="Lucida Console" w:cs="Courier New"/>
          <w:color w:val="0000FF"/>
          <w:sz w:val="20"/>
          <w:szCs w:val="20"/>
        </w:rPr>
        <w:t>prediction[</w:t>
      </w:r>
      <w:proofErr w:type="gramEnd"/>
      <w:r w:rsidRPr="0097094B">
        <w:rPr>
          <w:rFonts w:ascii="Lucida Console" w:eastAsia="Times New Roman" w:hAnsi="Lucida Console" w:cs="Courier New"/>
          <w:color w:val="0000FF"/>
          <w:sz w:val="20"/>
          <w:szCs w:val="20"/>
        </w:rPr>
        <w:t>,2])</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w:t>
      </w:r>
      <w:proofErr w:type="spellStart"/>
      <w:r w:rsidRPr="0097094B">
        <w:rPr>
          <w:rFonts w:ascii="Lucida Console" w:eastAsia="Times New Roman" w:hAnsi="Lucida Console" w:cs="Courier New"/>
          <w:color w:val="0000FF"/>
          <w:sz w:val="20"/>
          <w:szCs w:val="20"/>
        </w:rPr>
        <w:t>colnames</w:t>
      </w:r>
      <w:proofErr w:type="spellEnd"/>
      <w:r w:rsidRPr="0097094B">
        <w:rPr>
          <w:rFonts w:ascii="Lucida Console" w:eastAsia="Times New Roman" w:hAnsi="Lucida Console" w:cs="Courier New"/>
          <w:color w:val="0000FF"/>
          <w:sz w:val="20"/>
          <w:szCs w:val="20"/>
        </w:rPr>
        <w:t>(</w:t>
      </w:r>
      <w:proofErr w:type="spellStart"/>
      <w:r w:rsidRPr="0097094B">
        <w:rPr>
          <w:rFonts w:ascii="Lucida Console" w:eastAsia="Times New Roman" w:hAnsi="Lucida Console" w:cs="Courier New"/>
          <w:color w:val="0000FF"/>
          <w:sz w:val="20"/>
          <w:szCs w:val="20"/>
        </w:rPr>
        <w:t>predwidth</w:t>
      </w:r>
      <w:proofErr w:type="spellEnd"/>
      <w:r w:rsidRPr="0097094B">
        <w:rPr>
          <w:rFonts w:ascii="Lucida Console" w:eastAsia="Times New Roman" w:hAnsi="Lucida Console" w:cs="Courier New"/>
          <w:color w:val="0000FF"/>
          <w:sz w:val="20"/>
          <w:szCs w:val="20"/>
        </w:rPr>
        <w:t xml:space="preserve">) &lt;- </w:t>
      </w:r>
      <w:proofErr w:type="gramStart"/>
      <w:r w:rsidRPr="0097094B">
        <w:rPr>
          <w:rFonts w:ascii="Lucida Console" w:eastAsia="Times New Roman" w:hAnsi="Lucida Console" w:cs="Courier New"/>
          <w:color w:val="0000FF"/>
          <w:sz w:val="20"/>
          <w:szCs w:val="20"/>
        </w:rPr>
        <w:t>c(</w:t>
      </w:r>
      <w:proofErr w:type="gramEnd"/>
      <w:r w:rsidRPr="0097094B">
        <w:rPr>
          <w:rFonts w:ascii="Lucida Console" w:eastAsia="Times New Roman" w:hAnsi="Lucida Console" w:cs="Courier New"/>
          <w:color w:val="0000FF"/>
          <w:sz w:val="20"/>
          <w:szCs w:val="20"/>
        </w:rPr>
        <w:t>"PI Width")</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97094B">
        <w:rPr>
          <w:rFonts w:ascii="Lucida Console" w:eastAsia="Times New Roman" w:hAnsi="Lucida Console" w:cs="Courier New"/>
          <w:color w:val="0000FF"/>
          <w:sz w:val="20"/>
          <w:szCs w:val="20"/>
        </w:rPr>
        <w:t>&gt; summary(</w:t>
      </w:r>
      <w:proofErr w:type="spellStart"/>
      <w:r w:rsidRPr="0097094B">
        <w:rPr>
          <w:rFonts w:ascii="Lucida Console" w:eastAsia="Times New Roman" w:hAnsi="Lucida Console" w:cs="Courier New"/>
          <w:color w:val="0000FF"/>
          <w:sz w:val="20"/>
          <w:szCs w:val="20"/>
        </w:rPr>
        <w:t>lm_aluminum</w:t>
      </w:r>
      <w:proofErr w:type="spellEnd"/>
      <w:r w:rsidRPr="0097094B">
        <w:rPr>
          <w:rFonts w:ascii="Lucida Console" w:eastAsia="Times New Roman" w:hAnsi="Lucida Console" w:cs="Courier New"/>
          <w:color w:val="0000FF"/>
          <w:sz w:val="20"/>
          <w:szCs w:val="20"/>
        </w:rPr>
        <w:t>)</w:t>
      </w:r>
    </w:p>
    <w:p w:rsid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Call:</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97094B">
        <w:rPr>
          <w:rFonts w:ascii="Lucida Console" w:eastAsia="Times New Roman" w:hAnsi="Lucida Console" w:cs="Courier New"/>
          <w:color w:val="000000"/>
          <w:sz w:val="20"/>
          <w:szCs w:val="20"/>
        </w:rPr>
        <w:t>lm</w:t>
      </w:r>
      <w:proofErr w:type="spellEnd"/>
      <w:r w:rsidRPr="0097094B">
        <w:rPr>
          <w:rFonts w:ascii="Lucida Console" w:eastAsia="Times New Roman" w:hAnsi="Lucida Console" w:cs="Courier New"/>
          <w:color w:val="000000"/>
          <w:sz w:val="20"/>
          <w:szCs w:val="20"/>
        </w:rPr>
        <w:t>(</w:t>
      </w:r>
      <w:proofErr w:type="gramEnd"/>
      <w:r w:rsidRPr="0097094B">
        <w:rPr>
          <w:rFonts w:ascii="Lucida Console" w:eastAsia="Times New Roman" w:hAnsi="Lucida Console" w:cs="Courier New"/>
          <w:color w:val="000000"/>
          <w:sz w:val="20"/>
          <w:szCs w:val="20"/>
        </w:rPr>
        <w:t xml:space="preserve">formula = </w:t>
      </w:r>
      <w:proofErr w:type="spellStart"/>
      <w:r w:rsidRPr="0097094B">
        <w:rPr>
          <w:rFonts w:ascii="Lucida Console" w:eastAsia="Times New Roman" w:hAnsi="Lucida Console" w:cs="Courier New"/>
          <w:color w:val="000000"/>
          <w:sz w:val="20"/>
          <w:szCs w:val="20"/>
        </w:rPr>
        <w:t>Hardness_cement</w:t>
      </w:r>
      <w:proofErr w:type="spellEnd"/>
      <w:r w:rsidRPr="0097094B">
        <w:rPr>
          <w:rFonts w:ascii="Lucida Console" w:eastAsia="Times New Roman" w:hAnsi="Lucida Console" w:cs="Courier New"/>
          <w:color w:val="000000"/>
          <w:sz w:val="20"/>
          <w:szCs w:val="20"/>
        </w:rPr>
        <w:t xml:space="preserve"> ~ Aluminum, data = cement)</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Residuals:</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    Min      1</w:t>
      </w:r>
      <w:proofErr w:type="gramStart"/>
      <w:r w:rsidRPr="0097094B">
        <w:rPr>
          <w:rFonts w:ascii="Lucida Console" w:eastAsia="Times New Roman" w:hAnsi="Lucida Console" w:cs="Courier New"/>
          <w:color w:val="000000"/>
          <w:sz w:val="20"/>
          <w:szCs w:val="20"/>
        </w:rPr>
        <w:t>Q  Median</w:t>
      </w:r>
      <w:proofErr w:type="gramEnd"/>
      <w:r w:rsidRPr="0097094B">
        <w:rPr>
          <w:rFonts w:ascii="Lucida Console" w:eastAsia="Times New Roman" w:hAnsi="Lucida Console" w:cs="Courier New"/>
          <w:color w:val="000000"/>
          <w:sz w:val="20"/>
          <w:szCs w:val="20"/>
        </w:rPr>
        <w:t xml:space="preserve">      3Q     Max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-16.</w:t>
      </w:r>
      <w:proofErr w:type="gramStart"/>
      <w:r w:rsidRPr="0097094B">
        <w:rPr>
          <w:rFonts w:ascii="Lucida Console" w:eastAsia="Times New Roman" w:hAnsi="Lucida Console" w:cs="Courier New"/>
          <w:color w:val="000000"/>
          <w:sz w:val="20"/>
          <w:szCs w:val="20"/>
        </w:rPr>
        <w:t>061  -</w:t>
      </w:r>
      <w:proofErr w:type="gramEnd"/>
      <w:r w:rsidRPr="0097094B">
        <w:rPr>
          <w:rFonts w:ascii="Lucida Console" w:eastAsia="Times New Roman" w:hAnsi="Lucida Console" w:cs="Courier New"/>
          <w:color w:val="000000"/>
          <w:sz w:val="20"/>
          <w:szCs w:val="20"/>
        </w:rPr>
        <w:t xml:space="preserve">9.048   1.339   7.883  15.614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Coefficients:</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            Estimate Std. Error t value </w:t>
      </w:r>
      <w:proofErr w:type="spellStart"/>
      <w:r w:rsidRPr="0097094B">
        <w:rPr>
          <w:rFonts w:ascii="Lucida Console" w:eastAsia="Times New Roman" w:hAnsi="Lucida Console" w:cs="Courier New"/>
          <w:color w:val="000000"/>
          <w:sz w:val="20"/>
          <w:szCs w:val="20"/>
        </w:rPr>
        <w:t>Pr</w:t>
      </w:r>
      <w:proofErr w:type="spellEnd"/>
      <w:r w:rsidRPr="0097094B">
        <w:rPr>
          <w:rFonts w:ascii="Lucida Console" w:eastAsia="Times New Roman" w:hAnsi="Lucida Console" w:cs="Courier New"/>
          <w:color w:val="000000"/>
          <w:sz w:val="20"/>
          <w:szCs w:val="20"/>
        </w:rPr>
        <w:t xml:space="preserve">(&gt;|t|)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w:t>
      </w:r>
      <w:proofErr w:type="gramStart"/>
      <w:r w:rsidRPr="0097094B">
        <w:rPr>
          <w:rFonts w:ascii="Lucida Console" w:eastAsia="Times New Roman" w:hAnsi="Lucida Console" w:cs="Courier New"/>
          <w:color w:val="000000"/>
          <w:sz w:val="20"/>
          <w:szCs w:val="20"/>
        </w:rPr>
        <w:t>Intercept)  81.4793</w:t>
      </w:r>
      <w:proofErr w:type="gramEnd"/>
      <w:r w:rsidRPr="0097094B">
        <w:rPr>
          <w:rFonts w:ascii="Lucida Console" w:eastAsia="Times New Roman" w:hAnsi="Lucida Console" w:cs="Courier New"/>
          <w:color w:val="000000"/>
          <w:sz w:val="20"/>
          <w:szCs w:val="20"/>
        </w:rPr>
        <w:t xml:space="preserve">     4.9273   16.54 4.07e-09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Aluminum      1.8687     0.5264    </w:t>
      </w:r>
      <w:proofErr w:type="gramStart"/>
      <w:r w:rsidRPr="0097094B">
        <w:rPr>
          <w:rFonts w:ascii="Lucida Console" w:eastAsia="Times New Roman" w:hAnsi="Lucida Console" w:cs="Courier New"/>
          <w:color w:val="000000"/>
          <w:sz w:val="20"/>
          <w:szCs w:val="20"/>
        </w:rPr>
        <w:t>3.55  0.00455</w:t>
      </w:r>
      <w:proofErr w:type="gramEnd"/>
      <w:r w:rsidRPr="0097094B">
        <w:rPr>
          <w:rFonts w:ascii="Lucida Console" w:eastAsia="Times New Roman" w:hAnsi="Lucida Console" w:cs="Courier New"/>
          <w:color w:val="000000"/>
          <w:sz w:val="20"/>
          <w:szCs w:val="20"/>
        </w:rPr>
        <w:t xml:space="preserve"> **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7094B">
        <w:rPr>
          <w:rFonts w:ascii="Lucida Console" w:eastAsia="Times New Roman" w:hAnsi="Lucida Console" w:cs="Courier New"/>
          <w:color w:val="000000"/>
          <w:sz w:val="20"/>
          <w:szCs w:val="20"/>
        </w:rPr>
        <w:t>Signif</w:t>
      </w:r>
      <w:proofErr w:type="spellEnd"/>
      <w:r w:rsidRPr="0097094B">
        <w:rPr>
          <w:rFonts w:ascii="Lucida Console" w:eastAsia="Times New Roman" w:hAnsi="Lucida Console" w:cs="Courier New"/>
          <w:color w:val="000000"/>
          <w:sz w:val="20"/>
          <w:szCs w:val="20"/>
        </w:rPr>
        <w:t xml:space="preserve">. codes:  0 ‘***’ 0.001 ‘**’ 0.01 ‘*’ 0.05 ‘.’ 0.1 </w:t>
      </w:r>
      <w:proofErr w:type="gramStart"/>
      <w:r w:rsidRPr="0097094B">
        <w:rPr>
          <w:rFonts w:ascii="Lucida Console" w:eastAsia="Times New Roman" w:hAnsi="Lucida Console" w:cs="Courier New"/>
          <w:color w:val="000000"/>
          <w:sz w:val="20"/>
          <w:szCs w:val="20"/>
        </w:rPr>
        <w:t>‘ ’</w:t>
      </w:r>
      <w:proofErr w:type="gramEnd"/>
      <w:r w:rsidRPr="0097094B">
        <w:rPr>
          <w:rFonts w:ascii="Lucida Console" w:eastAsia="Times New Roman" w:hAnsi="Lucida Console" w:cs="Courier New"/>
          <w:color w:val="000000"/>
          <w:sz w:val="20"/>
          <w:szCs w:val="20"/>
        </w:rPr>
        <w:t xml:space="preserve"> 1</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Residual standard error: 10.73 on 11 degrees of freedom</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Multiple R-squared:  0.5339,</w:t>
      </w:r>
      <w:r w:rsidRPr="0097094B">
        <w:rPr>
          <w:rFonts w:ascii="Lucida Console" w:eastAsia="Times New Roman" w:hAnsi="Lucida Console" w:cs="Courier New"/>
          <w:color w:val="000000"/>
          <w:sz w:val="20"/>
          <w:szCs w:val="20"/>
        </w:rPr>
        <w:tab/>
        <w:t xml:space="preserve">Adjusted R-squared:  0.4916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F-statistic:  12.6 on 1 and 11 </w:t>
      </w:r>
      <w:proofErr w:type="gramStart"/>
      <w:r w:rsidRPr="0097094B">
        <w:rPr>
          <w:rFonts w:ascii="Lucida Console" w:eastAsia="Times New Roman" w:hAnsi="Lucida Console" w:cs="Courier New"/>
          <w:color w:val="000000"/>
          <w:sz w:val="20"/>
          <w:szCs w:val="20"/>
        </w:rPr>
        <w:t>DF,  p</w:t>
      </w:r>
      <w:proofErr w:type="gramEnd"/>
      <w:r w:rsidRPr="0097094B">
        <w:rPr>
          <w:rFonts w:ascii="Lucida Console" w:eastAsia="Times New Roman" w:hAnsi="Lucida Console" w:cs="Courier New"/>
          <w:color w:val="000000"/>
          <w:sz w:val="20"/>
          <w:szCs w:val="20"/>
        </w:rPr>
        <w:t>-value: 0.004552</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bookmarkStart w:id="1" w:name="_Hlk494880932"/>
      <w:r w:rsidRPr="0097094B">
        <w:rPr>
          <w:rFonts w:ascii="Lucida Console" w:eastAsia="Times New Roman" w:hAnsi="Lucida Console" w:cs="Courier New"/>
          <w:color w:val="0000FF"/>
          <w:sz w:val="20"/>
          <w:szCs w:val="20"/>
        </w:rPr>
        <w:t>&gt; quantiles</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50% 90%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  </w:t>
      </w:r>
      <w:proofErr w:type="gramStart"/>
      <w:r w:rsidRPr="0097094B">
        <w:rPr>
          <w:rFonts w:ascii="Lucida Console" w:eastAsia="Times New Roman" w:hAnsi="Lucida Console" w:cs="Courier New"/>
          <w:color w:val="000000"/>
          <w:sz w:val="20"/>
          <w:szCs w:val="20"/>
        </w:rPr>
        <w:t>7  11</w:t>
      </w:r>
      <w:proofErr w:type="gramEnd"/>
      <w:r w:rsidRPr="0097094B">
        <w:rPr>
          <w:rFonts w:ascii="Lucida Console" w:eastAsia="Times New Roman" w:hAnsi="Lucida Console" w:cs="Courier New"/>
          <w:color w:val="000000"/>
          <w:sz w:val="20"/>
          <w:szCs w:val="20"/>
        </w:rPr>
        <w:t xml:space="preserve">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&gt; estimates</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      50%       90%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 94.56058 102.03557 </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&gt; confidence</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          fit      </w:t>
      </w:r>
      <w:proofErr w:type="spellStart"/>
      <w:r w:rsidRPr="0097094B">
        <w:rPr>
          <w:rFonts w:ascii="Lucida Console" w:eastAsia="Times New Roman" w:hAnsi="Lucida Console" w:cs="Courier New"/>
          <w:color w:val="000000"/>
          <w:sz w:val="20"/>
          <w:szCs w:val="20"/>
        </w:rPr>
        <w:t>lwr</w:t>
      </w:r>
      <w:proofErr w:type="spellEnd"/>
      <w:r w:rsidRPr="0097094B">
        <w:rPr>
          <w:rFonts w:ascii="Lucida Console" w:eastAsia="Times New Roman" w:hAnsi="Lucida Console" w:cs="Courier New"/>
          <w:color w:val="000000"/>
          <w:sz w:val="20"/>
          <w:szCs w:val="20"/>
        </w:rPr>
        <w:t xml:space="preserve">      </w:t>
      </w:r>
      <w:proofErr w:type="spellStart"/>
      <w:r w:rsidRPr="0097094B">
        <w:rPr>
          <w:rFonts w:ascii="Lucida Console" w:eastAsia="Times New Roman" w:hAnsi="Lucida Console" w:cs="Courier New"/>
          <w:color w:val="000000"/>
          <w:sz w:val="20"/>
          <w:szCs w:val="20"/>
        </w:rPr>
        <w:t>upr</w:t>
      </w:r>
      <w:proofErr w:type="spellEnd"/>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50</w:t>
      </w:r>
      <w:proofErr w:type="gramStart"/>
      <w:r w:rsidRPr="0097094B">
        <w:rPr>
          <w:rFonts w:ascii="Lucida Console" w:eastAsia="Times New Roman" w:hAnsi="Lucida Console" w:cs="Courier New"/>
          <w:color w:val="000000"/>
          <w:sz w:val="20"/>
          <w:szCs w:val="20"/>
        </w:rPr>
        <w:t>%  94.56058</w:t>
      </w:r>
      <w:proofErr w:type="gramEnd"/>
      <w:r w:rsidRPr="0097094B">
        <w:rPr>
          <w:rFonts w:ascii="Lucida Console" w:eastAsia="Times New Roman" w:hAnsi="Lucida Console" w:cs="Courier New"/>
          <w:color w:val="000000"/>
          <w:sz w:val="20"/>
          <w:szCs w:val="20"/>
        </w:rPr>
        <w:t xml:space="preserve"> 87.99073 101.1304</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90% 102.03557 94.30998 109.7612</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&gt; prediction</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          fit      </w:t>
      </w:r>
      <w:proofErr w:type="spellStart"/>
      <w:r w:rsidRPr="0097094B">
        <w:rPr>
          <w:rFonts w:ascii="Lucida Console" w:eastAsia="Times New Roman" w:hAnsi="Lucida Console" w:cs="Courier New"/>
          <w:color w:val="000000"/>
          <w:sz w:val="20"/>
          <w:szCs w:val="20"/>
        </w:rPr>
        <w:t>lwr</w:t>
      </w:r>
      <w:proofErr w:type="spellEnd"/>
      <w:r w:rsidRPr="0097094B">
        <w:rPr>
          <w:rFonts w:ascii="Lucida Console" w:eastAsia="Times New Roman" w:hAnsi="Lucida Console" w:cs="Courier New"/>
          <w:color w:val="000000"/>
          <w:sz w:val="20"/>
          <w:szCs w:val="20"/>
        </w:rPr>
        <w:t xml:space="preserve">      </w:t>
      </w:r>
      <w:proofErr w:type="spellStart"/>
      <w:r w:rsidRPr="0097094B">
        <w:rPr>
          <w:rFonts w:ascii="Lucida Console" w:eastAsia="Times New Roman" w:hAnsi="Lucida Console" w:cs="Courier New"/>
          <w:color w:val="000000"/>
          <w:sz w:val="20"/>
          <w:szCs w:val="20"/>
        </w:rPr>
        <w:t>upr</w:t>
      </w:r>
      <w:proofErr w:type="spellEnd"/>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50</w:t>
      </w:r>
      <w:proofErr w:type="gramStart"/>
      <w:r w:rsidRPr="0097094B">
        <w:rPr>
          <w:rFonts w:ascii="Lucida Console" w:eastAsia="Times New Roman" w:hAnsi="Lucida Console" w:cs="Courier New"/>
          <w:color w:val="000000"/>
          <w:sz w:val="20"/>
          <w:szCs w:val="20"/>
        </w:rPr>
        <w:t>%  94.56058</w:t>
      </w:r>
      <w:proofErr w:type="gramEnd"/>
      <w:r w:rsidRPr="0097094B">
        <w:rPr>
          <w:rFonts w:ascii="Lucida Console" w:eastAsia="Times New Roman" w:hAnsi="Lucida Console" w:cs="Courier New"/>
          <w:color w:val="000000"/>
          <w:sz w:val="20"/>
          <w:szCs w:val="20"/>
        </w:rPr>
        <w:t xml:space="preserve"> 70.05417 119.0670</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90% 102.03557 77.19436 126.8768</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w:t>
      </w:r>
      <w:proofErr w:type="spellStart"/>
      <w:r w:rsidRPr="0097094B">
        <w:rPr>
          <w:rFonts w:ascii="Lucida Console" w:eastAsia="Times New Roman" w:hAnsi="Lucida Console" w:cs="Courier New"/>
          <w:color w:val="0000FF"/>
          <w:sz w:val="20"/>
          <w:szCs w:val="20"/>
        </w:rPr>
        <w:t>confwidth</w:t>
      </w:r>
      <w:proofErr w:type="spellEnd"/>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    CI Width</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50% 13.13970</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90% 15.45117</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7094B">
        <w:rPr>
          <w:rFonts w:ascii="Lucida Console" w:eastAsia="Times New Roman" w:hAnsi="Lucida Console" w:cs="Courier New"/>
          <w:color w:val="0000FF"/>
          <w:sz w:val="20"/>
          <w:szCs w:val="20"/>
        </w:rPr>
        <w:t xml:space="preserve">&gt; </w:t>
      </w:r>
      <w:proofErr w:type="spellStart"/>
      <w:r w:rsidRPr="0097094B">
        <w:rPr>
          <w:rFonts w:ascii="Lucida Console" w:eastAsia="Times New Roman" w:hAnsi="Lucida Console" w:cs="Courier New"/>
          <w:color w:val="0000FF"/>
          <w:sz w:val="20"/>
          <w:szCs w:val="20"/>
        </w:rPr>
        <w:t>predwidth</w:t>
      </w:r>
      <w:proofErr w:type="spellEnd"/>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 xml:space="preserve">    PI Width</w:t>
      </w:r>
    </w:p>
    <w:p w:rsidR="0097094B" w:rsidRPr="0097094B"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50% 49.01281</w:t>
      </w:r>
    </w:p>
    <w:p w:rsidR="007358CC" w:rsidRPr="007358CC" w:rsidRDefault="0097094B" w:rsidP="009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094B">
        <w:rPr>
          <w:rFonts w:ascii="Lucida Console" w:eastAsia="Times New Roman" w:hAnsi="Lucida Console" w:cs="Courier New"/>
          <w:color w:val="000000"/>
          <w:sz w:val="20"/>
          <w:szCs w:val="20"/>
        </w:rPr>
        <w:t>90% 49.68242</w:t>
      </w:r>
      <w:bookmarkEnd w:id="1"/>
    </w:p>
    <w:sectPr w:rsidR="007358CC" w:rsidRPr="0073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F125B"/>
    <w:multiLevelType w:val="hybridMultilevel"/>
    <w:tmpl w:val="C902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19"/>
    <w:rsid w:val="000E3310"/>
    <w:rsid w:val="00142EE9"/>
    <w:rsid w:val="00356DF3"/>
    <w:rsid w:val="0039044F"/>
    <w:rsid w:val="003B6545"/>
    <w:rsid w:val="004B6E24"/>
    <w:rsid w:val="00565219"/>
    <w:rsid w:val="005849A9"/>
    <w:rsid w:val="00592948"/>
    <w:rsid w:val="007358CC"/>
    <w:rsid w:val="007F062F"/>
    <w:rsid w:val="0087551B"/>
    <w:rsid w:val="00876E50"/>
    <w:rsid w:val="0097094B"/>
    <w:rsid w:val="00A70179"/>
    <w:rsid w:val="00B930E9"/>
    <w:rsid w:val="00C82CC8"/>
    <w:rsid w:val="00D60C3E"/>
    <w:rsid w:val="00E8383C"/>
    <w:rsid w:val="00F36BCE"/>
    <w:rsid w:val="00F8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D22"/>
  <w15:chartTrackingRefBased/>
  <w15:docId w15:val="{ECF70052-EA5E-4796-B08E-A336AF0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219"/>
    <w:pPr>
      <w:ind w:left="720"/>
      <w:contextualSpacing/>
    </w:pPr>
  </w:style>
  <w:style w:type="character" w:styleId="PlaceholderText">
    <w:name w:val="Placeholder Text"/>
    <w:basedOn w:val="DefaultParagraphFont"/>
    <w:uiPriority w:val="99"/>
    <w:semiHidden/>
    <w:rsid w:val="00565219"/>
    <w:rPr>
      <w:color w:val="808080"/>
    </w:rPr>
  </w:style>
  <w:style w:type="paragraph" w:styleId="HTMLPreformatted">
    <w:name w:val="HTML Preformatted"/>
    <w:basedOn w:val="Normal"/>
    <w:link w:val="HTMLPreformattedChar"/>
    <w:uiPriority w:val="99"/>
    <w:semiHidden/>
    <w:unhideWhenUsed/>
    <w:rsid w:val="0058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9A9"/>
    <w:rPr>
      <w:rFonts w:ascii="Courier New" w:eastAsia="Times New Roman" w:hAnsi="Courier New" w:cs="Courier New"/>
      <w:sz w:val="20"/>
      <w:szCs w:val="20"/>
    </w:rPr>
  </w:style>
  <w:style w:type="character" w:customStyle="1" w:styleId="gghfmyibcpb">
    <w:name w:val="gghfmyibcpb"/>
    <w:basedOn w:val="DefaultParagraphFont"/>
    <w:rsid w:val="005849A9"/>
  </w:style>
  <w:style w:type="character" w:customStyle="1" w:styleId="gghfmyibcob">
    <w:name w:val="gghfmyibcob"/>
    <w:basedOn w:val="DefaultParagraphFont"/>
    <w:rsid w:val="005849A9"/>
  </w:style>
  <w:style w:type="paragraph" w:styleId="Title">
    <w:name w:val="Title"/>
    <w:basedOn w:val="Normal"/>
    <w:next w:val="Normal"/>
    <w:link w:val="TitleChar"/>
    <w:uiPriority w:val="10"/>
    <w:qFormat/>
    <w:rsid w:val="00592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0C3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7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7126">
      <w:bodyDiv w:val="1"/>
      <w:marLeft w:val="0"/>
      <w:marRight w:val="0"/>
      <w:marTop w:val="0"/>
      <w:marBottom w:val="0"/>
      <w:divBdr>
        <w:top w:val="none" w:sz="0" w:space="0" w:color="auto"/>
        <w:left w:val="none" w:sz="0" w:space="0" w:color="auto"/>
        <w:bottom w:val="none" w:sz="0" w:space="0" w:color="auto"/>
        <w:right w:val="none" w:sz="0" w:space="0" w:color="auto"/>
      </w:divBdr>
    </w:div>
    <w:div w:id="372465759">
      <w:bodyDiv w:val="1"/>
      <w:marLeft w:val="0"/>
      <w:marRight w:val="0"/>
      <w:marTop w:val="0"/>
      <w:marBottom w:val="0"/>
      <w:divBdr>
        <w:top w:val="none" w:sz="0" w:space="0" w:color="auto"/>
        <w:left w:val="none" w:sz="0" w:space="0" w:color="auto"/>
        <w:bottom w:val="none" w:sz="0" w:space="0" w:color="auto"/>
        <w:right w:val="none" w:sz="0" w:space="0" w:color="auto"/>
      </w:divBdr>
    </w:div>
    <w:div w:id="435365932">
      <w:bodyDiv w:val="1"/>
      <w:marLeft w:val="0"/>
      <w:marRight w:val="0"/>
      <w:marTop w:val="0"/>
      <w:marBottom w:val="0"/>
      <w:divBdr>
        <w:top w:val="none" w:sz="0" w:space="0" w:color="auto"/>
        <w:left w:val="none" w:sz="0" w:space="0" w:color="auto"/>
        <w:bottom w:val="none" w:sz="0" w:space="0" w:color="auto"/>
        <w:right w:val="none" w:sz="0" w:space="0" w:color="auto"/>
      </w:divBdr>
    </w:div>
    <w:div w:id="622468645">
      <w:bodyDiv w:val="1"/>
      <w:marLeft w:val="0"/>
      <w:marRight w:val="0"/>
      <w:marTop w:val="0"/>
      <w:marBottom w:val="0"/>
      <w:divBdr>
        <w:top w:val="none" w:sz="0" w:space="0" w:color="auto"/>
        <w:left w:val="none" w:sz="0" w:space="0" w:color="auto"/>
        <w:bottom w:val="none" w:sz="0" w:space="0" w:color="auto"/>
        <w:right w:val="none" w:sz="0" w:space="0" w:color="auto"/>
      </w:divBdr>
    </w:div>
    <w:div w:id="972251797">
      <w:bodyDiv w:val="1"/>
      <w:marLeft w:val="0"/>
      <w:marRight w:val="0"/>
      <w:marTop w:val="0"/>
      <w:marBottom w:val="0"/>
      <w:divBdr>
        <w:top w:val="none" w:sz="0" w:space="0" w:color="auto"/>
        <w:left w:val="none" w:sz="0" w:space="0" w:color="auto"/>
        <w:bottom w:val="none" w:sz="0" w:space="0" w:color="auto"/>
        <w:right w:val="none" w:sz="0" w:space="0" w:color="auto"/>
      </w:divBdr>
    </w:div>
    <w:div w:id="987200255">
      <w:bodyDiv w:val="1"/>
      <w:marLeft w:val="0"/>
      <w:marRight w:val="0"/>
      <w:marTop w:val="0"/>
      <w:marBottom w:val="0"/>
      <w:divBdr>
        <w:top w:val="none" w:sz="0" w:space="0" w:color="auto"/>
        <w:left w:val="none" w:sz="0" w:space="0" w:color="auto"/>
        <w:bottom w:val="none" w:sz="0" w:space="0" w:color="auto"/>
        <w:right w:val="none" w:sz="0" w:space="0" w:color="auto"/>
      </w:divBdr>
    </w:div>
    <w:div w:id="1106923460">
      <w:bodyDiv w:val="1"/>
      <w:marLeft w:val="0"/>
      <w:marRight w:val="0"/>
      <w:marTop w:val="0"/>
      <w:marBottom w:val="0"/>
      <w:divBdr>
        <w:top w:val="none" w:sz="0" w:space="0" w:color="auto"/>
        <w:left w:val="none" w:sz="0" w:space="0" w:color="auto"/>
        <w:bottom w:val="none" w:sz="0" w:space="0" w:color="auto"/>
        <w:right w:val="none" w:sz="0" w:space="0" w:color="auto"/>
      </w:divBdr>
    </w:div>
    <w:div w:id="1188831510">
      <w:bodyDiv w:val="1"/>
      <w:marLeft w:val="0"/>
      <w:marRight w:val="0"/>
      <w:marTop w:val="0"/>
      <w:marBottom w:val="0"/>
      <w:divBdr>
        <w:top w:val="none" w:sz="0" w:space="0" w:color="auto"/>
        <w:left w:val="none" w:sz="0" w:space="0" w:color="auto"/>
        <w:bottom w:val="none" w:sz="0" w:space="0" w:color="auto"/>
        <w:right w:val="none" w:sz="0" w:space="0" w:color="auto"/>
      </w:divBdr>
    </w:div>
    <w:div w:id="1287348490">
      <w:bodyDiv w:val="1"/>
      <w:marLeft w:val="0"/>
      <w:marRight w:val="0"/>
      <w:marTop w:val="0"/>
      <w:marBottom w:val="0"/>
      <w:divBdr>
        <w:top w:val="none" w:sz="0" w:space="0" w:color="auto"/>
        <w:left w:val="none" w:sz="0" w:space="0" w:color="auto"/>
        <w:bottom w:val="none" w:sz="0" w:space="0" w:color="auto"/>
        <w:right w:val="none" w:sz="0" w:space="0" w:color="auto"/>
      </w:divBdr>
    </w:div>
    <w:div w:id="1591232514">
      <w:bodyDiv w:val="1"/>
      <w:marLeft w:val="0"/>
      <w:marRight w:val="0"/>
      <w:marTop w:val="0"/>
      <w:marBottom w:val="0"/>
      <w:divBdr>
        <w:top w:val="none" w:sz="0" w:space="0" w:color="auto"/>
        <w:left w:val="none" w:sz="0" w:space="0" w:color="auto"/>
        <w:bottom w:val="none" w:sz="0" w:space="0" w:color="auto"/>
        <w:right w:val="none" w:sz="0" w:space="0" w:color="auto"/>
      </w:divBdr>
    </w:div>
    <w:div w:id="1644963919">
      <w:bodyDiv w:val="1"/>
      <w:marLeft w:val="0"/>
      <w:marRight w:val="0"/>
      <w:marTop w:val="0"/>
      <w:marBottom w:val="0"/>
      <w:divBdr>
        <w:top w:val="none" w:sz="0" w:space="0" w:color="auto"/>
        <w:left w:val="none" w:sz="0" w:space="0" w:color="auto"/>
        <w:bottom w:val="none" w:sz="0" w:space="0" w:color="auto"/>
        <w:right w:val="none" w:sz="0" w:space="0" w:color="auto"/>
      </w:divBdr>
    </w:div>
    <w:div w:id="1760298346">
      <w:bodyDiv w:val="1"/>
      <w:marLeft w:val="0"/>
      <w:marRight w:val="0"/>
      <w:marTop w:val="0"/>
      <w:marBottom w:val="0"/>
      <w:divBdr>
        <w:top w:val="none" w:sz="0" w:space="0" w:color="auto"/>
        <w:left w:val="none" w:sz="0" w:space="0" w:color="auto"/>
        <w:bottom w:val="none" w:sz="0" w:space="0" w:color="auto"/>
        <w:right w:val="none" w:sz="0" w:space="0" w:color="auto"/>
      </w:divBdr>
    </w:div>
    <w:div w:id="1801150749">
      <w:bodyDiv w:val="1"/>
      <w:marLeft w:val="0"/>
      <w:marRight w:val="0"/>
      <w:marTop w:val="0"/>
      <w:marBottom w:val="0"/>
      <w:divBdr>
        <w:top w:val="none" w:sz="0" w:space="0" w:color="auto"/>
        <w:left w:val="none" w:sz="0" w:space="0" w:color="auto"/>
        <w:bottom w:val="none" w:sz="0" w:space="0" w:color="auto"/>
        <w:right w:val="none" w:sz="0" w:space="0" w:color="auto"/>
      </w:divBdr>
    </w:div>
    <w:div w:id="1961495156">
      <w:bodyDiv w:val="1"/>
      <w:marLeft w:val="0"/>
      <w:marRight w:val="0"/>
      <w:marTop w:val="0"/>
      <w:marBottom w:val="0"/>
      <w:divBdr>
        <w:top w:val="none" w:sz="0" w:space="0" w:color="auto"/>
        <w:left w:val="none" w:sz="0" w:space="0" w:color="auto"/>
        <w:bottom w:val="none" w:sz="0" w:space="0" w:color="auto"/>
        <w:right w:val="none" w:sz="0" w:space="0" w:color="auto"/>
      </w:divBdr>
    </w:div>
    <w:div w:id="1962955994">
      <w:bodyDiv w:val="1"/>
      <w:marLeft w:val="0"/>
      <w:marRight w:val="0"/>
      <w:marTop w:val="0"/>
      <w:marBottom w:val="0"/>
      <w:divBdr>
        <w:top w:val="none" w:sz="0" w:space="0" w:color="auto"/>
        <w:left w:val="none" w:sz="0" w:space="0" w:color="auto"/>
        <w:bottom w:val="none" w:sz="0" w:space="0" w:color="auto"/>
        <w:right w:val="none" w:sz="0" w:space="0" w:color="auto"/>
      </w:divBdr>
    </w:div>
    <w:div w:id="205962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Salitrik</dc:creator>
  <cp:keywords/>
  <dc:description/>
  <cp:lastModifiedBy>Kyle Salitrik</cp:lastModifiedBy>
  <cp:revision>7</cp:revision>
  <dcterms:created xsi:type="dcterms:W3CDTF">2017-09-20T16:00:00Z</dcterms:created>
  <dcterms:modified xsi:type="dcterms:W3CDTF">2017-10-04T16:03:00Z</dcterms:modified>
</cp:coreProperties>
</file>