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3899923"/>
        <w:docPartObj>
          <w:docPartGallery w:val="Cover Pages"/>
          <w:docPartUnique/>
        </w:docPartObj>
      </w:sdtPr>
      <w:sdtEnd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End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23T00:00:00Z">
                    <w:dateFormat w:val="dd/MM/yyyy"/>
                    <w:lid w:val="en-GB"/>
                    <w:storeMappedDataAs w:val="dateTime"/>
                    <w:calendar w:val="gregorian"/>
                  </w:date>
                </w:sdtPr>
                <w:sdtEndPr/>
                <w:sdtContent>
                  <w:p w14:paraId="03A34CD5" w14:textId="2341DA19" w:rsidR="00484F68" w:rsidRPr="002D15C3" w:rsidRDefault="00567F17" w:rsidP="00597ED7">
                    <w:pPr>
                      <w:pStyle w:val="NoSpacing"/>
                      <w:spacing w:line="360" w:lineRule="auto"/>
                      <w:rPr>
                        <w:rFonts w:ascii="Times New Roman" w:hAnsi="Times New Roman" w:cs="Times New Roman"/>
                        <w:color w:val="156082" w:themeColor="accent1"/>
                        <w:sz w:val="28"/>
                        <w:szCs w:val="28"/>
                      </w:rPr>
                    </w:pPr>
                    <w:r>
                      <w:rPr>
                        <w:rFonts w:ascii="Times New Roman" w:hAnsi="Times New Roman" w:cs="Times New Roman"/>
                        <w:sz w:val="28"/>
                        <w:szCs w:val="28"/>
                      </w:rPr>
                      <w:t>23</w:t>
                    </w:r>
                    <w:r w:rsidR="00484F68" w:rsidRPr="000B1B3F">
                      <w:rPr>
                        <w:rFonts w:ascii="Times New Roman" w:hAnsi="Times New Roman" w:cs="Times New Roman"/>
                        <w:sz w:val="28"/>
                        <w:szCs w:val="28"/>
                        <w:lang w:val="en-GB"/>
                      </w:rPr>
                      <w:t>/04/2025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3615D6A8"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C86B76">
              <w:rPr>
                <w:noProof/>
                <w:webHidden/>
              </w:rPr>
              <w:t>2</w:t>
            </w:r>
            <w:r w:rsidR="00E824AE">
              <w:rPr>
                <w:noProof/>
                <w:webHidden/>
              </w:rPr>
              <w:fldChar w:fldCharType="end"/>
            </w:r>
          </w:hyperlink>
        </w:p>
        <w:p w14:paraId="666C4694" w14:textId="39484453" w:rsidR="00E824AE" w:rsidRDefault="00B541A9">
          <w:pPr>
            <w:pStyle w:val="TOC1"/>
            <w:tabs>
              <w:tab w:val="right" w:leader="dot" w:pos="9016"/>
            </w:tabs>
            <w:rPr>
              <w:rFonts w:asciiTheme="minorHAnsi" w:eastAsiaTheme="minorEastAsia" w:hAnsiTheme="minorHAnsi"/>
              <w:noProof/>
              <w:lang w:eastAsia="en-ZA"/>
            </w:rPr>
          </w:pPr>
          <w:hyperlink w:anchor="_Toc196104210" w:history="1">
            <w:r w:rsidR="00E824AE" w:rsidRPr="007E318D">
              <w:rPr>
                <w:rStyle w:val="Hyperlink"/>
                <w:noProof/>
              </w:rPr>
              <w:t>Research Problem</w:t>
            </w:r>
            <w:r w:rsidR="00E824AE">
              <w:rPr>
                <w:noProof/>
                <w:webHidden/>
              </w:rPr>
              <w:tab/>
            </w:r>
            <w:r w:rsidR="00E824AE">
              <w:rPr>
                <w:noProof/>
                <w:webHidden/>
              </w:rPr>
              <w:fldChar w:fldCharType="begin"/>
            </w:r>
            <w:r w:rsidR="00E824AE">
              <w:rPr>
                <w:noProof/>
                <w:webHidden/>
              </w:rPr>
              <w:instrText xml:space="preserve"> PAGEREF _Toc196104210 \h </w:instrText>
            </w:r>
            <w:r w:rsidR="00E824AE">
              <w:rPr>
                <w:noProof/>
                <w:webHidden/>
              </w:rPr>
            </w:r>
            <w:r w:rsidR="00E824AE">
              <w:rPr>
                <w:noProof/>
                <w:webHidden/>
              </w:rPr>
              <w:fldChar w:fldCharType="separate"/>
            </w:r>
            <w:r w:rsidR="00C86B76">
              <w:rPr>
                <w:noProof/>
                <w:webHidden/>
              </w:rPr>
              <w:t>2</w:t>
            </w:r>
            <w:r w:rsidR="00E824AE">
              <w:rPr>
                <w:noProof/>
                <w:webHidden/>
              </w:rPr>
              <w:fldChar w:fldCharType="end"/>
            </w:r>
          </w:hyperlink>
        </w:p>
        <w:p w14:paraId="62DC94B3" w14:textId="408394FA" w:rsidR="00E824AE" w:rsidRDefault="00B541A9">
          <w:pPr>
            <w:pStyle w:val="TOC1"/>
            <w:tabs>
              <w:tab w:val="right" w:leader="dot" w:pos="9016"/>
            </w:tabs>
            <w:rPr>
              <w:rFonts w:asciiTheme="minorHAnsi" w:eastAsiaTheme="minorEastAsia" w:hAnsiTheme="minorHAnsi"/>
              <w:noProof/>
              <w:lang w:eastAsia="en-ZA"/>
            </w:rPr>
          </w:pPr>
          <w:hyperlink w:anchor="_Toc196104211" w:history="1">
            <w:r w:rsidR="00E824AE" w:rsidRPr="007E318D">
              <w:rPr>
                <w:rStyle w:val="Hyperlink"/>
                <w:noProof/>
              </w:rPr>
              <w:t>Dataset Details</w:t>
            </w:r>
            <w:r w:rsidR="00E824AE">
              <w:rPr>
                <w:noProof/>
                <w:webHidden/>
              </w:rPr>
              <w:tab/>
            </w:r>
            <w:r w:rsidR="00E824AE">
              <w:rPr>
                <w:noProof/>
                <w:webHidden/>
              </w:rPr>
              <w:fldChar w:fldCharType="begin"/>
            </w:r>
            <w:r w:rsidR="00E824AE">
              <w:rPr>
                <w:noProof/>
                <w:webHidden/>
              </w:rPr>
              <w:instrText xml:space="preserve"> PAGEREF _Toc196104211 \h </w:instrText>
            </w:r>
            <w:r w:rsidR="00E824AE">
              <w:rPr>
                <w:noProof/>
                <w:webHidden/>
              </w:rPr>
            </w:r>
            <w:r w:rsidR="00E824AE">
              <w:rPr>
                <w:noProof/>
                <w:webHidden/>
              </w:rPr>
              <w:fldChar w:fldCharType="separate"/>
            </w:r>
            <w:r w:rsidR="00C86B76">
              <w:rPr>
                <w:noProof/>
                <w:webHidden/>
              </w:rPr>
              <w:t>4</w:t>
            </w:r>
            <w:r w:rsidR="00E824AE">
              <w:rPr>
                <w:noProof/>
                <w:webHidden/>
              </w:rPr>
              <w:fldChar w:fldCharType="end"/>
            </w:r>
          </w:hyperlink>
        </w:p>
        <w:p w14:paraId="4341774F" w14:textId="2B4DCFAA" w:rsidR="00E824AE" w:rsidRDefault="00B541A9">
          <w:pPr>
            <w:pStyle w:val="TOC2"/>
            <w:tabs>
              <w:tab w:val="right" w:leader="dot" w:pos="9016"/>
            </w:tabs>
            <w:rPr>
              <w:rFonts w:asciiTheme="minorHAnsi" w:eastAsiaTheme="minorEastAsia" w:hAnsiTheme="minorHAnsi"/>
              <w:noProof/>
              <w:lang w:eastAsia="en-ZA"/>
            </w:rPr>
          </w:pPr>
          <w:hyperlink w:anchor="_Toc196104212" w:history="1">
            <w:r w:rsidR="00E824AE" w:rsidRPr="007E318D">
              <w:rPr>
                <w:rStyle w:val="Hyperlink"/>
                <w:noProof/>
              </w:rPr>
              <w:t>Dataset (Cleaned)</w:t>
            </w:r>
            <w:r w:rsidR="00E824AE">
              <w:rPr>
                <w:noProof/>
                <w:webHidden/>
              </w:rPr>
              <w:tab/>
            </w:r>
            <w:r w:rsidR="00E824AE">
              <w:rPr>
                <w:noProof/>
                <w:webHidden/>
              </w:rPr>
              <w:fldChar w:fldCharType="begin"/>
            </w:r>
            <w:r w:rsidR="00E824AE">
              <w:rPr>
                <w:noProof/>
                <w:webHidden/>
              </w:rPr>
              <w:instrText xml:space="preserve"> PAGEREF _Toc196104212 \h </w:instrText>
            </w:r>
            <w:r w:rsidR="00E824AE">
              <w:rPr>
                <w:noProof/>
                <w:webHidden/>
              </w:rPr>
            </w:r>
            <w:r w:rsidR="00E824AE">
              <w:rPr>
                <w:noProof/>
                <w:webHidden/>
              </w:rPr>
              <w:fldChar w:fldCharType="separate"/>
            </w:r>
            <w:r w:rsidR="00C86B76">
              <w:rPr>
                <w:noProof/>
                <w:webHidden/>
              </w:rPr>
              <w:t>5</w:t>
            </w:r>
            <w:r w:rsidR="00E824AE">
              <w:rPr>
                <w:noProof/>
                <w:webHidden/>
              </w:rPr>
              <w:fldChar w:fldCharType="end"/>
            </w:r>
          </w:hyperlink>
        </w:p>
        <w:p w14:paraId="418AFB33" w14:textId="083BB090" w:rsidR="00E824AE" w:rsidRDefault="00B541A9">
          <w:pPr>
            <w:pStyle w:val="TOC1"/>
            <w:tabs>
              <w:tab w:val="right" w:leader="dot" w:pos="9016"/>
            </w:tabs>
            <w:rPr>
              <w:rFonts w:asciiTheme="minorHAnsi" w:eastAsiaTheme="minorEastAsia" w:hAnsiTheme="minorHAnsi"/>
              <w:noProof/>
              <w:lang w:eastAsia="en-ZA"/>
            </w:rPr>
          </w:pPr>
          <w:hyperlink w:anchor="_Toc196104213" w:history="1">
            <w:r w:rsidR="00E824AE" w:rsidRPr="007E318D">
              <w:rPr>
                <w:rStyle w:val="Hyperlink"/>
                <w:noProof/>
              </w:rPr>
              <w:t>Hypothesis Generation</w:t>
            </w:r>
            <w:r w:rsidR="00E824AE">
              <w:rPr>
                <w:noProof/>
                <w:webHidden/>
              </w:rPr>
              <w:tab/>
            </w:r>
            <w:r w:rsidR="00E824AE">
              <w:rPr>
                <w:noProof/>
                <w:webHidden/>
              </w:rPr>
              <w:fldChar w:fldCharType="begin"/>
            </w:r>
            <w:r w:rsidR="00E824AE">
              <w:rPr>
                <w:noProof/>
                <w:webHidden/>
              </w:rPr>
              <w:instrText xml:space="preserve"> PAGEREF _Toc196104213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0BD3A3C7" w14:textId="66C4DD3B" w:rsidR="00E824AE" w:rsidRDefault="00B541A9">
          <w:pPr>
            <w:pStyle w:val="TOC2"/>
            <w:tabs>
              <w:tab w:val="right" w:leader="dot" w:pos="9016"/>
            </w:tabs>
            <w:rPr>
              <w:rFonts w:asciiTheme="minorHAnsi" w:eastAsiaTheme="minorEastAsia" w:hAnsiTheme="minorHAnsi"/>
              <w:noProof/>
              <w:lang w:eastAsia="en-ZA"/>
            </w:rPr>
          </w:pPr>
          <w:hyperlink w:anchor="_Toc196104214" w:history="1">
            <w:r w:rsidR="00E824AE" w:rsidRPr="007E318D">
              <w:rPr>
                <w:rStyle w:val="Hyperlink"/>
                <w:noProof/>
              </w:rPr>
              <w:t>H</w:t>
            </w:r>
            <w:r w:rsidR="00E824AE" w:rsidRPr="007E318D">
              <w:rPr>
                <w:rStyle w:val="Hyperlink"/>
                <w:noProof/>
                <w:vertAlign w:val="subscript"/>
              </w:rPr>
              <w:t xml:space="preserve">0 </w:t>
            </w:r>
            <w:r w:rsidR="00E824AE" w:rsidRPr="007E318D">
              <w:rPr>
                <w:rStyle w:val="Hyperlink"/>
                <w:noProof/>
              </w:rPr>
              <w:t>(Null Hypothesis):</w:t>
            </w:r>
            <w:r w:rsidR="00E824AE">
              <w:rPr>
                <w:noProof/>
                <w:webHidden/>
              </w:rPr>
              <w:tab/>
            </w:r>
            <w:r w:rsidR="00E824AE">
              <w:rPr>
                <w:noProof/>
                <w:webHidden/>
              </w:rPr>
              <w:fldChar w:fldCharType="begin"/>
            </w:r>
            <w:r w:rsidR="00E824AE">
              <w:rPr>
                <w:noProof/>
                <w:webHidden/>
              </w:rPr>
              <w:instrText xml:space="preserve"> PAGEREF _Toc196104214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513ED160" w14:textId="18F87310" w:rsidR="00E824AE" w:rsidRDefault="00B541A9">
          <w:pPr>
            <w:pStyle w:val="TOC2"/>
            <w:tabs>
              <w:tab w:val="right" w:leader="dot" w:pos="9016"/>
            </w:tabs>
            <w:rPr>
              <w:rFonts w:asciiTheme="minorHAnsi" w:eastAsiaTheme="minorEastAsia" w:hAnsiTheme="minorHAnsi"/>
              <w:noProof/>
              <w:lang w:eastAsia="en-ZA"/>
            </w:rPr>
          </w:pPr>
          <w:hyperlink w:anchor="_Toc196104215" w:history="1">
            <w:r w:rsidR="00E824AE" w:rsidRPr="007E318D">
              <w:rPr>
                <w:rStyle w:val="Hyperlink"/>
                <w:noProof/>
              </w:rPr>
              <w:t>H</w:t>
            </w:r>
            <w:r w:rsidR="00E824AE" w:rsidRPr="007E318D">
              <w:rPr>
                <w:rStyle w:val="Hyperlink"/>
                <w:noProof/>
                <w:vertAlign w:val="subscript"/>
              </w:rPr>
              <w:t xml:space="preserve">1 </w:t>
            </w:r>
            <w:r w:rsidR="00E824AE" w:rsidRPr="007E318D">
              <w:rPr>
                <w:rStyle w:val="Hyperlink"/>
                <w:noProof/>
              </w:rPr>
              <w:t>(Alternative Hypothesis):</w:t>
            </w:r>
            <w:r w:rsidR="00E824AE">
              <w:rPr>
                <w:noProof/>
                <w:webHidden/>
              </w:rPr>
              <w:tab/>
            </w:r>
            <w:r w:rsidR="00E824AE">
              <w:rPr>
                <w:noProof/>
                <w:webHidden/>
              </w:rPr>
              <w:fldChar w:fldCharType="begin"/>
            </w:r>
            <w:r w:rsidR="00E824AE">
              <w:rPr>
                <w:noProof/>
                <w:webHidden/>
              </w:rPr>
              <w:instrText xml:space="preserve"> PAGEREF _Toc196104215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71F31FAC" w14:textId="068D5728" w:rsidR="00E824AE" w:rsidRDefault="00B541A9">
          <w:pPr>
            <w:pStyle w:val="TOC1"/>
            <w:tabs>
              <w:tab w:val="right" w:leader="dot" w:pos="9016"/>
            </w:tabs>
            <w:rPr>
              <w:rFonts w:asciiTheme="minorHAnsi" w:eastAsiaTheme="minorEastAsia" w:hAnsiTheme="minorHAnsi"/>
              <w:noProof/>
              <w:lang w:eastAsia="en-ZA"/>
            </w:rPr>
          </w:pPr>
          <w:hyperlink w:anchor="_Toc196104216" w:history="1">
            <w:r w:rsidR="00E824AE" w:rsidRPr="007E318D">
              <w:rPr>
                <w:rStyle w:val="Hyperlink"/>
                <w:noProof/>
              </w:rPr>
              <w:t>Correlation Data</w:t>
            </w:r>
            <w:r w:rsidR="00E824AE">
              <w:rPr>
                <w:noProof/>
                <w:webHidden/>
              </w:rPr>
              <w:tab/>
            </w:r>
            <w:r w:rsidR="00E824AE">
              <w:rPr>
                <w:noProof/>
                <w:webHidden/>
              </w:rPr>
              <w:fldChar w:fldCharType="begin"/>
            </w:r>
            <w:r w:rsidR="00E824AE">
              <w:rPr>
                <w:noProof/>
                <w:webHidden/>
              </w:rPr>
              <w:instrText xml:space="preserve"> PAGEREF _Toc196104216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1712F47C" w14:textId="1E331A81" w:rsidR="00E824AE" w:rsidRDefault="00B541A9">
          <w:pPr>
            <w:pStyle w:val="TOC2"/>
            <w:tabs>
              <w:tab w:val="right" w:leader="dot" w:pos="9016"/>
            </w:tabs>
            <w:rPr>
              <w:rFonts w:asciiTheme="minorHAnsi" w:eastAsiaTheme="minorEastAsia" w:hAnsiTheme="minorHAnsi"/>
              <w:noProof/>
              <w:lang w:eastAsia="en-ZA"/>
            </w:rPr>
          </w:pPr>
          <w:hyperlink w:anchor="_Toc196104217" w:history="1">
            <w:r w:rsidR="00E824AE" w:rsidRPr="007E318D">
              <w:rPr>
                <w:rStyle w:val="Hyperlink"/>
                <w:noProof/>
              </w:rPr>
              <w:t>Features that increase profits:</w:t>
            </w:r>
            <w:r w:rsidR="00E824AE">
              <w:rPr>
                <w:noProof/>
                <w:webHidden/>
              </w:rPr>
              <w:tab/>
            </w:r>
            <w:r w:rsidR="00E824AE">
              <w:rPr>
                <w:noProof/>
                <w:webHidden/>
              </w:rPr>
              <w:fldChar w:fldCharType="begin"/>
            </w:r>
            <w:r w:rsidR="00E824AE">
              <w:rPr>
                <w:noProof/>
                <w:webHidden/>
              </w:rPr>
              <w:instrText xml:space="preserve"> PAGEREF _Toc196104217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4D39FB35" w14:textId="10858784" w:rsidR="00E824AE" w:rsidRDefault="00B541A9">
          <w:pPr>
            <w:pStyle w:val="TOC2"/>
            <w:tabs>
              <w:tab w:val="right" w:leader="dot" w:pos="9016"/>
            </w:tabs>
            <w:rPr>
              <w:rFonts w:asciiTheme="minorHAnsi" w:eastAsiaTheme="minorEastAsia" w:hAnsiTheme="minorHAnsi"/>
              <w:noProof/>
              <w:lang w:eastAsia="en-ZA"/>
            </w:rPr>
          </w:pPr>
          <w:hyperlink w:anchor="_Toc196104218" w:history="1">
            <w:r w:rsidR="00E824AE" w:rsidRPr="007E318D">
              <w:rPr>
                <w:rStyle w:val="Hyperlink"/>
                <w:noProof/>
              </w:rPr>
              <w:t>Features that decrease profits:</w:t>
            </w:r>
            <w:r w:rsidR="00E824AE">
              <w:rPr>
                <w:noProof/>
                <w:webHidden/>
              </w:rPr>
              <w:tab/>
            </w:r>
            <w:r w:rsidR="00E824AE">
              <w:rPr>
                <w:noProof/>
                <w:webHidden/>
              </w:rPr>
              <w:fldChar w:fldCharType="begin"/>
            </w:r>
            <w:r w:rsidR="00E824AE">
              <w:rPr>
                <w:noProof/>
                <w:webHidden/>
              </w:rPr>
              <w:instrText xml:space="preserve"> PAGEREF _Toc196104218 \h </w:instrText>
            </w:r>
            <w:r w:rsidR="00E824AE">
              <w:rPr>
                <w:noProof/>
                <w:webHidden/>
              </w:rPr>
            </w:r>
            <w:r w:rsidR="00E824AE">
              <w:rPr>
                <w:noProof/>
                <w:webHidden/>
              </w:rPr>
              <w:fldChar w:fldCharType="separate"/>
            </w:r>
            <w:r w:rsidR="00C86B76">
              <w:rPr>
                <w:noProof/>
                <w:webHidden/>
              </w:rPr>
              <w:t>6</w:t>
            </w:r>
            <w:r w:rsidR="00E824AE">
              <w:rPr>
                <w:noProof/>
                <w:webHidden/>
              </w:rPr>
              <w:fldChar w:fldCharType="end"/>
            </w:r>
          </w:hyperlink>
        </w:p>
        <w:p w14:paraId="44670901" w14:textId="12401283" w:rsidR="00E824AE" w:rsidRDefault="00B541A9">
          <w:pPr>
            <w:pStyle w:val="TOC1"/>
            <w:tabs>
              <w:tab w:val="right" w:leader="dot" w:pos="9016"/>
            </w:tabs>
            <w:rPr>
              <w:rFonts w:asciiTheme="minorHAnsi" w:eastAsiaTheme="minorEastAsia" w:hAnsiTheme="minorHAnsi"/>
              <w:noProof/>
              <w:lang w:eastAsia="en-ZA"/>
            </w:rPr>
          </w:pPr>
          <w:hyperlink w:anchor="_Toc196104219" w:history="1">
            <w:r w:rsidR="00E824AE" w:rsidRPr="007E318D">
              <w:rPr>
                <w:rStyle w:val="Hyperlink"/>
                <w:noProof/>
              </w:rPr>
              <w:t>ML Model(s)</w:t>
            </w:r>
            <w:r w:rsidR="00E824AE">
              <w:rPr>
                <w:noProof/>
                <w:webHidden/>
              </w:rPr>
              <w:tab/>
            </w:r>
            <w:r w:rsidR="00E824AE">
              <w:rPr>
                <w:noProof/>
                <w:webHidden/>
              </w:rPr>
              <w:fldChar w:fldCharType="begin"/>
            </w:r>
            <w:r w:rsidR="00E824AE">
              <w:rPr>
                <w:noProof/>
                <w:webHidden/>
              </w:rPr>
              <w:instrText xml:space="preserve"> PAGEREF _Toc196104219 \h </w:instrText>
            </w:r>
            <w:r w:rsidR="00E824AE">
              <w:rPr>
                <w:noProof/>
                <w:webHidden/>
              </w:rPr>
            </w:r>
            <w:r w:rsidR="00E824AE">
              <w:rPr>
                <w:noProof/>
                <w:webHidden/>
              </w:rPr>
              <w:fldChar w:fldCharType="separate"/>
            </w:r>
            <w:r w:rsidR="00C86B76">
              <w:rPr>
                <w:noProof/>
                <w:webHidden/>
              </w:rPr>
              <w:t>7</w:t>
            </w:r>
            <w:r w:rsidR="00E824AE">
              <w:rPr>
                <w:noProof/>
                <w:webHidden/>
              </w:rPr>
              <w:fldChar w:fldCharType="end"/>
            </w:r>
          </w:hyperlink>
        </w:p>
        <w:p w14:paraId="3FD142A8" w14:textId="51076C3A" w:rsidR="00E824AE" w:rsidRDefault="00B541A9">
          <w:pPr>
            <w:pStyle w:val="TOC2"/>
            <w:tabs>
              <w:tab w:val="right" w:leader="dot" w:pos="9016"/>
            </w:tabs>
            <w:rPr>
              <w:rFonts w:asciiTheme="minorHAnsi" w:eastAsiaTheme="minorEastAsia" w:hAnsiTheme="minorHAnsi"/>
              <w:noProof/>
              <w:lang w:eastAsia="en-ZA"/>
            </w:rPr>
          </w:pPr>
          <w:hyperlink w:anchor="_Toc196104220" w:history="1">
            <w:r w:rsidR="00E824AE" w:rsidRPr="007E318D">
              <w:rPr>
                <w:rStyle w:val="Hyperlink"/>
                <w:noProof/>
              </w:rPr>
              <w:t>Objective of Model Development</w:t>
            </w:r>
            <w:r w:rsidR="00E824AE">
              <w:rPr>
                <w:noProof/>
                <w:webHidden/>
              </w:rPr>
              <w:tab/>
            </w:r>
            <w:r w:rsidR="00E824AE">
              <w:rPr>
                <w:noProof/>
                <w:webHidden/>
              </w:rPr>
              <w:fldChar w:fldCharType="begin"/>
            </w:r>
            <w:r w:rsidR="00E824AE">
              <w:rPr>
                <w:noProof/>
                <w:webHidden/>
              </w:rPr>
              <w:instrText xml:space="preserve"> PAGEREF _Toc196104220 \h </w:instrText>
            </w:r>
            <w:r w:rsidR="00E824AE">
              <w:rPr>
                <w:noProof/>
                <w:webHidden/>
              </w:rPr>
            </w:r>
            <w:r w:rsidR="00E824AE">
              <w:rPr>
                <w:noProof/>
                <w:webHidden/>
              </w:rPr>
              <w:fldChar w:fldCharType="separate"/>
            </w:r>
            <w:r w:rsidR="00C86B76">
              <w:rPr>
                <w:noProof/>
                <w:webHidden/>
              </w:rPr>
              <w:t>7</w:t>
            </w:r>
            <w:r w:rsidR="00E824AE">
              <w:rPr>
                <w:noProof/>
                <w:webHidden/>
              </w:rPr>
              <w:fldChar w:fldCharType="end"/>
            </w:r>
          </w:hyperlink>
        </w:p>
        <w:p w14:paraId="59F6F1F5" w14:textId="54984D16" w:rsidR="00E824AE" w:rsidRDefault="00B541A9">
          <w:pPr>
            <w:pStyle w:val="TOC2"/>
            <w:tabs>
              <w:tab w:val="right" w:leader="dot" w:pos="9016"/>
            </w:tabs>
            <w:rPr>
              <w:rFonts w:asciiTheme="minorHAnsi" w:eastAsiaTheme="minorEastAsia" w:hAnsiTheme="minorHAnsi"/>
              <w:noProof/>
              <w:lang w:eastAsia="en-ZA"/>
            </w:rPr>
          </w:pPr>
          <w:hyperlink w:anchor="_Toc196104221" w:history="1">
            <w:r w:rsidR="00E824AE" w:rsidRPr="007E318D">
              <w:rPr>
                <w:rStyle w:val="Hyperlink"/>
                <w:noProof/>
              </w:rPr>
              <w:t>Models Implemented</w:t>
            </w:r>
            <w:r w:rsidR="00E824AE">
              <w:rPr>
                <w:noProof/>
                <w:webHidden/>
              </w:rPr>
              <w:tab/>
            </w:r>
            <w:r w:rsidR="00E824AE">
              <w:rPr>
                <w:noProof/>
                <w:webHidden/>
              </w:rPr>
              <w:fldChar w:fldCharType="begin"/>
            </w:r>
            <w:r w:rsidR="00E824AE">
              <w:rPr>
                <w:noProof/>
                <w:webHidden/>
              </w:rPr>
              <w:instrText xml:space="preserve"> PAGEREF _Toc196104221 \h </w:instrText>
            </w:r>
            <w:r w:rsidR="00E824AE">
              <w:rPr>
                <w:noProof/>
                <w:webHidden/>
              </w:rPr>
            </w:r>
            <w:r w:rsidR="00E824AE">
              <w:rPr>
                <w:noProof/>
                <w:webHidden/>
              </w:rPr>
              <w:fldChar w:fldCharType="separate"/>
            </w:r>
            <w:r w:rsidR="00C86B76">
              <w:rPr>
                <w:noProof/>
                <w:webHidden/>
              </w:rPr>
              <w:t>7</w:t>
            </w:r>
            <w:r w:rsidR="00E824AE">
              <w:rPr>
                <w:noProof/>
                <w:webHidden/>
              </w:rPr>
              <w:fldChar w:fldCharType="end"/>
            </w:r>
          </w:hyperlink>
        </w:p>
        <w:p w14:paraId="71AD366B" w14:textId="290BF3FA" w:rsidR="00E824AE" w:rsidRDefault="00B541A9">
          <w:pPr>
            <w:pStyle w:val="TOC2"/>
            <w:tabs>
              <w:tab w:val="right" w:leader="dot" w:pos="9016"/>
            </w:tabs>
            <w:rPr>
              <w:rFonts w:asciiTheme="minorHAnsi" w:eastAsiaTheme="minorEastAsia" w:hAnsiTheme="minorHAnsi"/>
              <w:noProof/>
              <w:lang w:eastAsia="en-ZA"/>
            </w:rPr>
          </w:pPr>
          <w:hyperlink w:anchor="_Toc196104222" w:history="1">
            <w:r w:rsidR="00E824AE" w:rsidRPr="007E318D">
              <w:rPr>
                <w:rStyle w:val="Hyperlink"/>
                <w:noProof/>
              </w:rPr>
              <w:t>Model Evaluation (Metrics)</w:t>
            </w:r>
            <w:r w:rsidR="00E824AE">
              <w:rPr>
                <w:noProof/>
                <w:webHidden/>
              </w:rPr>
              <w:tab/>
            </w:r>
            <w:r w:rsidR="00E824AE">
              <w:rPr>
                <w:noProof/>
                <w:webHidden/>
              </w:rPr>
              <w:fldChar w:fldCharType="begin"/>
            </w:r>
            <w:r w:rsidR="00E824AE">
              <w:rPr>
                <w:noProof/>
                <w:webHidden/>
              </w:rPr>
              <w:instrText xml:space="preserve"> PAGEREF _Toc196104222 \h </w:instrText>
            </w:r>
            <w:r w:rsidR="00E824AE">
              <w:rPr>
                <w:noProof/>
                <w:webHidden/>
              </w:rPr>
            </w:r>
            <w:r w:rsidR="00E824AE">
              <w:rPr>
                <w:noProof/>
                <w:webHidden/>
              </w:rPr>
              <w:fldChar w:fldCharType="separate"/>
            </w:r>
            <w:r w:rsidR="00C86B76">
              <w:rPr>
                <w:noProof/>
                <w:webHidden/>
              </w:rPr>
              <w:t>8</w:t>
            </w:r>
            <w:r w:rsidR="00E824AE">
              <w:rPr>
                <w:noProof/>
                <w:webHidden/>
              </w:rPr>
              <w:fldChar w:fldCharType="end"/>
            </w:r>
          </w:hyperlink>
        </w:p>
        <w:p w14:paraId="1D0D8EB9" w14:textId="4D75074F" w:rsidR="00E824AE" w:rsidRDefault="00B541A9">
          <w:pPr>
            <w:pStyle w:val="TOC2"/>
            <w:tabs>
              <w:tab w:val="right" w:leader="dot" w:pos="9016"/>
            </w:tabs>
            <w:rPr>
              <w:rFonts w:asciiTheme="minorHAnsi" w:eastAsiaTheme="minorEastAsia" w:hAnsiTheme="minorHAnsi"/>
              <w:noProof/>
              <w:lang w:eastAsia="en-ZA"/>
            </w:rPr>
          </w:pPr>
          <w:hyperlink w:anchor="_Toc196104223" w:history="1">
            <w:r w:rsidR="00E824AE" w:rsidRPr="007E318D">
              <w:rPr>
                <w:rStyle w:val="Hyperlink"/>
                <w:noProof/>
              </w:rPr>
              <w:t>Model Performance</w:t>
            </w:r>
            <w:r w:rsidR="00E824AE">
              <w:rPr>
                <w:noProof/>
                <w:webHidden/>
              </w:rPr>
              <w:tab/>
            </w:r>
            <w:r w:rsidR="00E824AE">
              <w:rPr>
                <w:noProof/>
                <w:webHidden/>
              </w:rPr>
              <w:fldChar w:fldCharType="begin"/>
            </w:r>
            <w:r w:rsidR="00E824AE">
              <w:rPr>
                <w:noProof/>
                <w:webHidden/>
              </w:rPr>
              <w:instrText xml:space="preserve"> PAGEREF _Toc196104223 \h </w:instrText>
            </w:r>
            <w:r w:rsidR="00E824AE">
              <w:rPr>
                <w:noProof/>
                <w:webHidden/>
              </w:rPr>
            </w:r>
            <w:r w:rsidR="00E824AE">
              <w:rPr>
                <w:noProof/>
                <w:webHidden/>
              </w:rPr>
              <w:fldChar w:fldCharType="separate"/>
            </w:r>
            <w:r w:rsidR="00C86B76">
              <w:rPr>
                <w:noProof/>
                <w:webHidden/>
              </w:rPr>
              <w:t>8</w:t>
            </w:r>
            <w:r w:rsidR="00E824AE">
              <w:rPr>
                <w:noProof/>
                <w:webHidden/>
              </w:rPr>
              <w:fldChar w:fldCharType="end"/>
            </w:r>
          </w:hyperlink>
        </w:p>
        <w:p w14:paraId="2C291FC2" w14:textId="0D4CAE8D" w:rsidR="00E824AE" w:rsidRDefault="00B541A9">
          <w:pPr>
            <w:pStyle w:val="TOC1"/>
            <w:tabs>
              <w:tab w:val="right" w:leader="dot" w:pos="9016"/>
            </w:tabs>
            <w:rPr>
              <w:rFonts w:asciiTheme="minorHAnsi" w:eastAsiaTheme="minorEastAsia" w:hAnsiTheme="minorHAnsi"/>
              <w:noProof/>
              <w:lang w:eastAsia="en-ZA"/>
            </w:rPr>
          </w:pPr>
          <w:hyperlink w:anchor="_Toc196104224" w:history="1">
            <w:r w:rsidR="00E824AE" w:rsidRPr="007E318D">
              <w:rPr>
                <w:rStyle w:val="Hyperlink"/>
                <w:noProof/>
              </w:rPr>
              <w:t>Web Application</w:t>
            </w:r>
            <w:r w:rsidR="00E824AE">
              <w:rPr>
                <w:noProof/>
                <w:webHidden/>
              </w:rPr>
              <w:tab/>
            </w:r>
            <w:r w:rsidR="00E824AE">
              <w:rPr>
                <w:noProof/>
                <w:webHidden/>
              </w:rPr>
              <w:fldChar w:fldCharType="begin"/>
            </w:r>
            <w:r w:rsidR="00E824AE">
              <w:rPr>
                <w:noProof/>
                <w:webHidden/>
              </w:rPr>
              <w:instrText xml:space="preserve"> PAGEREF _Toc196104224 \h </w:instrText>
            </w:r>
            <w:r w:rsidR="00E824AE">
              <w:rPr>
                <w:noProof/>
                <w:webHidden/>
              </w:rPr>
            </w:r>
            <w:r w:rsidR="00E824AE">
              <w:rPr>
                <w:noProof/>
                <w:webHidden/>
              </w:rPr>
              <w:fldChar w:fldCharType="separate"/>
            </w:r>
            <w:r w:rsidR="00C86B76">
              <w:rPr>
                <w:noProof/>
                <w:webHidden/>
              </w:rPr>
              <w:t>9</w:t>
            </w:r>
            <w:r w:rsidR="00E824AE">
              <w:rPr>
                <w:noProof/>
                <w:webHidden/>
              </w:rPr>
              <w:fldChar w:fldCharType="end"/>
            </w:r>
          </w:hyperlink>
        </w:p>
        <w:p w14:paraId="40B41311" w14:textId="5A46D5B3" w:rsidR="00E824AE" w:rsidRDefault="00B541A9">
          <w:pPr>
            <w:pStyle w:val="TOC1"/>
            <w:tabs>
              <w:tab w:val="right" w:leader="dot" w:pos="9016"/>
            </w:tabs>
            <w:rPr>
              <w:rFonts w:asciiTheme="minorHAnsi" w:eastAsiaTheme="minorEastAsia" w:hAnsiTheme="minorHAnsi"/>
              <w:noProof/>
              <w:lang w:eastAsia="en-ZA"/>
            </w:rPr>
          </w:pPr>
          <w:hyperlink w:anchor="_Toc196104225" w:history="1">
            <w:r w:rsidR="00E824AE" w:rsidRPr="007E318D">
              <w:rPr>
                <w:rStyle w:val="Hyperlink"/>
                <w:noProof/>
              </w:rPr>
              <w:t>Deployment Steps</w:t>
            </w:r>
            <w:r w:rsidR="00E824AE">
              <w:rPr>
                <w:noProof/>
                <w:webHidden/>
              </w:rPr>
              <w:tab/>
            </w:r>
            <w:r w:rsidR="00E824AE">
              <w:rPr>
                <w:noProof/>
                <w:webHidden/>
              </w:rPr>
              <w:fldChar w:fldCharType="begin"/>
            </w:r>
            <w:r w:rsidR="00E824AE">
              <w:rPr>
                <w:noProof/>
                <w:webHidden/>
              </w:rPr>
              <w:instrText xml:space="preserve"> PAGEREF _Toc196104225 \h </w:instrText>
            </w:r>
            <w:r w:rsidR="00E824AE">
              <w:rPr>
                <w:noProof/>
                <w:webHidden/>
              </w:rPr>
            </w:r>
            <w:r w:rsidR="00E824AE">
              <w:rPr>
                <w:noProof/>
                <w:webHidden/>
              </w:rPr>
              <w:fldChar w:fldCharType="separate"/>
            </w:r>
            <w:r w:rsidR="00C86B76">
              <w:rPr>
                <w:noProof/>
                <w:webHidden/>
              </w:rPr>
              <w:t>10</w:t>
            </w:r>
            <w:r w:rsidR="00E824AE">
              <w:rPr>
                <w:noProof/>
                <w:webHidden/>
              </w:rPr>
              <w:fldChar w:fldCharType="end"/>
            </w:r>
          </w:hyperlink>
        </w:p>
        <w:p w14:paraId="574C58DA" w14:textId="7692F193" w:rsidR="00E824AE" w:rsidRDefault="00B541A9">
          <w:pPr>
            <w:pStyle w:val="TOC1"/>
            <w:tabs>
              <w:tab w:val="right" w:leader="dot" w:pos="9016"/>
            </w:tabs>
            <w:rPr>
              <w:rFonts w:asciiTheme="minorHAnsi" w:eastAsiaTheme="minorEastAsia" w:hAnsiTheme="minorHAnsi"/>
              <w:noProof/>
              <w:lang w:eastAsia="en-ZA"/>
            </w:rPr>
          </w:pPr>
          <w:hyperlink w:anchor="_Toc196104226" w:history="1">
            <w:r w:rsidR="00E824AE" w:rsidRPr="007E318D">
              <w:rPr>
                <w:rStyle w:val="Hyperlink"/>
                <w:noProof/>
              </w:rPr>
              <w:t>Development Process</w:t>
            </w:r>
            <w:r w:rsidR="00E824AE">
              <w:rPr>
                <w:noProof/>
                <w:webHidden/>
              </w:rPr>
              <w:tab/>
            </w:r>
            <w:r w:rsidR="00E824AE">
              <w:rPr>
                <w:noProof/>
                <w:webHidden/>
              </w:rPr>
              <w:fldChar w:fldCharType="begin"/>
            </w:r>
            <w:r w:rsidR="00E824AE">
              <w:rPr>
                <w:noProof/>
                <w:webHidden/>
              </w:rPr>
              <w:instrText xml:space="preserve"> PAGEREF _Toc196104226 \h </w:instrText>
            </w:r>
            <w:r w:rsidR="00E824AE">
              <w:rPr>
                <w:noProof/>
                <w:webHidden/>
              </w:rPr>
            </w:r>
            <w:r w:rsidR="00E824AE">
              <w:rPr>
                <w:noProof/>
                <w:webHidden/>
              </w:rPr>
              <w:fldChar w:fldCharType="separate"/>
            </w:r>
            <w:r w:rsidR="00C86B76">
              <w:rPr>
                <w:noProof/>
                <w:webHidden/>
              </w:rPr>
              <w:t>10</w:t>
            </w:r>
            <w:r w:rsidR="00E824AE">
              <w:rPr>
                <w:noProof/>
                <w:webHidden/>
              </w:rPr>
              <w:fldChar w:fldCharType="end"/>
            </w:r>
          </w:hyperlink>
        </w:p>
        <w:p w14:paraId="26F98FB1" w14:textId="0A11FFA7" w:rsidR="00E824AE" w:rsidRDefault="00B541A9">
          <w:pPr>
            <w:pStyle w:val="TOC1"/>
            <w:tabs>
              <w:tab w:val="right" w:leader="dot" w:pos="9016"/>
            </w:tabs>
            <w:rPr>
              <w:rFonts w:asciiTheme="minorHAnsi" w:eastAsiaTheme="minorEastAsia" w:hAnsiTheme="minorHAnsi"/>
              <w:noProof/>
              <w:lang w:eastAsia="en-ZA"/>
            </w:rPr>
          </w:pPr>
          <w:hyperlink w:anchor="_Toc196104227" w:history="1">
            <w:r w:rsidR="00E824AE" w:rsidRPr="007E318D">
              <w:rPr>
                <w:rStyle w:val="Hyperlink"/>
                <w:noProof/>
              </w:rPr>
              <w:t>Conclusion</w:t>
            </w:r>
            <w:r w:rsidR="00E824AE">
              <w:rPr>
                <w:noProof/>
                <w:webHidden/>
              </w:rPr>
              <w:tab/>
            </w:r>
            <w:r w:rsidR="00E824AE">
              <w:rPr>
                <w:noProof/>
                <w:webHidden/>
              </w:rPr>
              <w:fldChar w:fldCharType="begin"/>
            </w:r>
            <w:r w:rsidR="00E824AE">
              <w:rPr>
                <w:noProof/>
                <w:webHidden/>
              </w:rPr>
              <w:instrText xml:space="preserve"> PAGEREF _Toc196104227 \h </w:instrText>
            </w:r>
            <w:r w:rsidR="00E824AE">
              <w:rPr>
                <w:noProof/>
                <w:webHidden/>
              </w:rPr>
            </w:r>
            <w:r w:rsidR="00E824AE">
              <w:rPr>
                <w:noProof/>
                <w:webHidden/>
              </w:rPr>
              <w:fldChar w:fldCharType="separate"/>
            </w:r>
            <w:r w:rsidR="00C86B76">
              <w:rPr>
                <w:noProof/>
                <w:webHidden/>
              </w:rPr>
              <w:t>11</w:t>
            </w:r>
            <w:r w:rsidR="00E824AE">
              <w:rPr>
                <w:noProof/>
                <w:webHidden/>
              </w:rPr>
              <w:fldChar w:fldCharType="end"/>
            </w:r>
          </w:hyperlink>
        </w:p>
        <w:p w14:paraId="4F0A53BD" w14:textId="021239C6" w:rsidR="00E824AE" w:rsidRDefault="00B541A9">
          <w:pPr>
            <w:pStyle w:val="TOC1"/>
            <w:tabs>
              <w:tab w:val="right" w:leader="dot" w:pos="9016"/>
            </w:tabs>
            <w:rPr>
              <w:rFonts w:asciiTheme="minorHAnsi" w:eastAsiaTheme="minorEastAsia" w:hAnsiTheme="minorHAnsi"/>
              <w:noProof/>
              <w:lang w:eastAsia="en-ZA"/>
            </w:rPr>
          </w:pPr>
          <w:hyperlink w:anchor="_Toc196104228" w:history="1">
            <w:r w:rsidR="00E824AE" w:rsidRPr="007E318D">
              <w:rPr>
                <w:rStyle w:val="Hyperlink"/>
                <w:noProof/>
                <w:lang w:val="en-GB"/>
              </w:rPr>
              <w:t>References</w:t>
            </w:r>
            <w:r w:rsidR="00E824AE">
              <w:rPr>
                <w:noProof/>
                <w:webHidden/>
              </w:rPr>
              <w:tab/>
            </w:r>
            <w:r w:rsidR="00E824AE">
              <w:rPr>
                <w:noProof/>
                <w:webHidden/>
              </w:rPr>
              <w:fldChar w:fldCharType="begin"/>
            </w:r>
            <w:r w:rsidR="00E824AE">
              <w:rPr>
                <w:noProof/>
                <w:webHidden/>
              </w:rPr>
              <w:instrText xml:space="preserve"> PAGEREF _Toc196104228 \h </w:instrText>
            </w:r>
            <w:r w:rsidR="00E824AE">
              <w:rPr>
                <w:noProof/>
                <w:webHidden/>
              </w:rPr>
            </w:r>
            <w:r w:rsidR="00E824AE">
              <w:rPr>
                <w:noProof/>
                <w:webHidden/>
              </w:rPr>
              <w:fldChar w:fldCharType="separate"/>
            </w:r>
            <w:r w:rsidR="00C86B76">
              <w:rPr>
                <w:noProof/>
                <w:webHidden/>
              </w:rPr>
              <w:t>12</w:t>
            </w:r>
            <w:r w:rsidR="00E824AE">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B541A9" w:rsidP="005C236B">
      <w:pPr>
        <w:spacing w:line="360" w:lineRule="auto"/>
        <w:jc w:val="center"/>
        <w:rPr>
          <w:sz w:val="32"/>
          <w:szCs w:val="32"/>
        </w:rPr>
      </w:pPr>
      <w:hyperlink r:id="rId12" w:history="1">
        <w:r w:rsidR="007C4BC6"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547CCA4F" w14:textId="5C4A7364" w:rsidR="00567F17" w:rsidRDefault="00B541A9" w:rsidP="001A673D">
      <w:pPr>
        <w:spacing w:line="360" w:lineRule="auto"/>
        <w:jc w:val="center"/>
        <w:rPr>
          <w:sz w:val="32"/>
          <w:szCs w:val="32"/>
        </w:rPr>
      </w:pPr>
      <w:hyperlink r:id="rId13" w:history="1">
        <w:r w:rsidR="00567F17" w:rsidRPr="007A5551">
          <w:rPr>
            <w:rStyle w:val="Hyperlink"/>
            <w:sz w:val="32"/>
            <w:szCs w:val="32"/>
          </w:rPr>
          <w:t>https://mlg382-cyo-proj-groupx.onrender.com</w:t>
        </w:r>
      </w:hyperlink>
    </w:p>
    <w:p w14:paraId="76E67099" w14:textId="77777777" w:rsidR="00567F17" w:rsidRDefault="00567F17"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End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1274BD6A" w14:textId="57AF3CA0" w:rsidR="00484F68" w:rsidRDefault="00484F68" w:rsidP="00910491">
      <w:pPr>
        <w:pStyle w:val="Heading1"/>
        <w:spacing w:line="360" w:lineRule="auto"/>
      </w:pPr>
      <w:bookmarkStart w:id="1" w:name="_Toc196104210"/>
      <w:r>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End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End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7DB25BEA" w14:textId="3E7D21DC" w:rsidR="00567F17" w:rsidRDefault="00567F17" w:rsidP="00567F17">
      <w:pPr>
        <w:spacing w:line="360" w:lineRule="auto"/>
      </w:pPr>
      <w:r>
        <w:br w:type="page"/>
      </w:r>
    </w:p>
    <w:p w14:paraId="63EF74A5" w14:textId="5FBBF34D" w:rsidR="000E3EC9" w:rsidRDefault="001322DF" w:rsidP="00597ED7">
      <w:pPr>
        <w:pStyle w:val="ListParagraph"/>
        <w:numPr>
          <w:ilvl w:val="0"/>
          <w:numId w:val="1"/>
        </w:numPr>
        <w:spacing w:line="360" w:lineRule="auto"/>
      </w:pPr>
      <w:r>
        <w:lastRenderedPageBreak/>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End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End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6DBB02DC" w14:textId="2F54F787" w:rsidR="00567F17" w:rsidRDefault="00567F17" w:rsidP="007D10B9">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4"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D984A80" w14:textId="3AB88B45" w:rsidR="006A5CC9" w:rsidRDefault="001959E0" w:rsidP="00990E3C">
      <w:pPr>
        <w:pStyle w:val="Heading1"/>
      </w:pPr>
      <w:bookmarkStart w:id="7" w:name="_Toc196104216"/>
      <w:r>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515"/>
        <w:gridCol w:w="1350"/>
        <w:gridCol w:w="5151"/>
      </w:tblGrid>
      <w:tr w:rsidR="001959E0" w14:paraId="4D7F22BC" w14:textId="77777777" w:rsidTr="00567F17">
        <w:tc>
          <w:tcPr>
            <w:tcW w:w="2515" w:type="dxa"/>
          </w:tcPr>
          <w:p w14:paraId="4A65B82E" w14:textId="7BC7DC6C" w:rsidR="001959E0" w:rsidRDefault="001959E0" w:rsidP="00597ED7">
            <w:pPr>
              <w:spacing w:line="360" w:lineRule="auto"/>
            </w:pPr>
            <w:r>
              <w:t>Feature</w:t>
            </w:r>
          </w:p>
        </w:tc>
        <w:tc>
          <w:tcPr>
            <w:tcW w:w="1350" w:type="dxa"/>
          </w:tcPr>
          <w:p w14:paraId="3B5793B4" w14:textId="4B2C7375" w:rsidR="001959E0" w:rsidRDefault="001959E0" w:rsidP="00597ED7">
            <w:pPr>
              <w:spacing w:line="360" w:lineRule="auto"/>
            </w:pPr>
            <w:r>
              <w:t>Correlation</w:t>
            </w:r>
          </w:p>
        </w:tc>
        <w:tc>
          <w:tcPr>
            <w:tcW w:w="5151" w:type="dxa"/>
          </w:tcPr>
          <w:p w14:paraId="29CA35D0" w14:textId="0C7B9E0B" w:rsidR="001959E0" w:rsidRDefault="001959E0" w:rsidP="00597ED7">
            <w:pPr>
              <w:spacing w:line="360" w:lineRule="auto"/>
            </w:pPr>
            <w:r>
              <w:t>Description</w:t>
            </w:r>
          </w:p>
        </w:tc>
      </w:tr>
      <w:tr w:rsidR="001959E0" w14:paraId="6FDFC625" w14:textId="77777777" w:rsidTr="00567F17">
        <w:tc>
          <w:tcPr>
            <w:tcW w:w="2515" w:type="dxa"/>
          </w:tcPr>
          <w:p w14:paraId="21646CA7" w14:textId="457539FF" w:rsidR="001959E0" w:rsidRDefault="00C2406F" w:rsidP="00597ED7">
            <w:pPr>
              <w:spacing w:line="360" w:lineRule="auto"/>
            </w:pPr>
            <w:r>
              <w:t>Order Item Quantity</w:t>
            </w:r>
          </w:p>
        </w:tc>
        <w:tc>
          <w:tcPr>
            <w:tcW w:w="1350" w:type="dxa"/>
          </w:tcPr>
          <w:p w14:paraId="24A8FACB" w14:textId="567D3094" w:rsidR="001959E0" w:rsidRDefault="00C2406F" w:rsidP="00597ED7">
            <w:pPr>
              <w:spacing w:line="360" w:lineRule="auto"/>
            </w:pPr>
            <w:r>
              <w:t>+0.77</w:t>
            </w:r>
          </w:p>
        </w:tc>
        <w:tc>
          <w:tcPr>
            <w:tcW w:w="5151"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567F17">
        <w:tc>
          <w:tcPr>
            <w:tcW w:w="2515" w:type="dxa"/>
          </w:tcPr>
          <w:p w14:paraId="76C15EE4" w14:textId="7129CAD5" w:rsidR="001959E0" w:rsidRDefault="00C2406F" w:rsidP="00597ED7">
            <w:pPr>
              <w:spacing w:line="360" w:lineRule="auto"/>
            </w:pPr>
            <w:r>
              <w:t>Profit</w:t>
            </w:r>
          </w:p>
        </w:tc>
        <w:tc>
          <w:tcPr>
            <w:tcW w:w="1350" w:type="dxa"/>
          </w:tcPr>
          <w:p w14:paraId="73625A52" w14:textId="218D0BAF" w:rsidR="001959E0" w:rsidRDefault="00C2406F" w:rsidP="00597ED7">
            <w:pPr>
              <w:spacing w:line="360" w:lineRule="auto"/>
            </w:pPr>
            <w:r>
              <w:t>+0.46</w:t>
            </w:r>
          </w:p>
        </w:tc>
        <w:tc>
          <w:tcPr>
            <w:tcW w:w="5151"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567F17">
        <w:tc>
          <w:tcPr>
            <w:tcW w:w="2515" w:type="dxa"/>
          </w:tcPr>
          <w:p w14:paraId="173F33AA" w14:textId="0D5533F9" w:rsidR="001959E0" w:rsidRDefault="00C2406F" w:rsidP="00597ED7">
            <w:pPr>
              <w:spacing w:line="360" w:lineRule="auto"/>
            </w:pPr>
            <w:r>
              <w:t>Product List Price</w:t>
            </w:r>
          </w:p>
        </w:tc>
        <w:tc>
          <w:tcPr>
            <w:tcW w:w="1350" w:type="dxa"/>
          </w:tcPr>
          <w:p w14:paraId="6EADBA13" w14:textId="2D6D0918" w:rsidR="001959E0" w:rsidRDefault="00C2406F" w:rsidP="00597ED7">
            <w:pPr>
              <w:spacing w:line="360" w:lineRule="auto"/>
            </w:pPr>
            <w:r>
              <w:t>+0.37</w:t>
            </w:r>
          </w:p>
        </w:tc>
        <w:tc>
          <w:tcPr>
            <w:tcW w:w="5151"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567F17">
        <w:tc>
          <w:tcPr>
            <w:tcW w:w="2515" w:type="dxa"/>
          </w:tcPr>
          <w:p w14:paraId="13151097" w14:textId="6542D804" w:rsidR="00865A92" w:rsidRDefault="00865A92" w:rsidP="00865A92">
            <w:pPr>
              <w:spacing w:line="360" w:lineRule="auto"/>
            </w:pPr>
            <w:r>
              <w:t>Product Standard Cost</w:t>
            </w:r>
          </w:p>
        </w:tc>
        <w:tc>
          <w:tcPr>
            <w:tcW w:w="1350" w:type="dxa"/>
          </w:tcPr>
          <w:p w14:paraId="2A2A3677" w14:textId="6DFFDBB5" w:rsidR="00865A92" w:rsidRDefault="00865A92" w:rsidP="00865A92">
            <w:pPr>
              <w:spacing w:line="360" w:lineRule="auto"/>
            </w:pPr>
            <w:r>
              <w:t>+0.36</w:t>
            </w:r>
          </w:p>
        </w:tc>
        <w:tc>
          <w:tcPr>
            <w:tcW w:w="5151"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567F17">
        <w:tc>
          <w:tcPr>
            <w:tcW w:w="2515"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50" w:type="dxa"/>
          </w:tcPr>
          <w:p w14:paraId="7285C263" w14:textId="3096C9B1" w:rsidR="00865A92" w:rsidRDefault="00865A92" w:rsidP="00865A92">
            <w:pPr>
              <w:spacing w:line="360" w:lineRule="auto"/>
            </w:pPr>
            <w:r>
              <w:t>+0.25</w:t>
            </w:r>
          </w:p>
        </w:tc>
        <w:tc>
          <w:tcPr>
            <w:tcW w:w="5151"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1277"/>
        <w:gridCol w:w="1508"/>
        <w:gridCol w:w="6231"/>
      </w:tblGrid>
      <w:tr w:rsidR="00990E3C" w14:paraId="5FFE58FB" w14:textId="77777777" w:rsidTr="00567F17">
        <w:tc>
          <w:tcPr>
            <w:tcW w:w="1277" w:type="dxa"/>
          </w:tcPr>
          <w:p w14:paraId="5F72090D" w14:textId="79A9B6E6" w:rsidR="00990E3C" w:rsidRDefault="00990E3C" w:rsidP="00597ED7">
            <w:pPr>
              <w:spacing w:line="360" w:lineRule="auto"/>
            </w:pPr>
            <w:r>
              <w:t>Feature</w:t>
            </w:r>
          </w:p>
        </w:tc>
        <w:tc>
          <w:tcPr>
            <w:tcW w:w="1508" w:type="dxa"/>
          </w:tcPr>
          <w:p w14:paraId="34D20ECA" w14:textId="5D3C99AC" w:rsidR="00990E3C" w:rsidRDefault="00990E3C" w:rsidP="00597ED7">
            <w:pPr>
              <w:spacing w:line="360" w:lineRule="auto"/>
            </w:pPr>
            <w:r>
              <w:t>Correlation</w:t>
            </w:r>
          </w:p>
        </w:tc>
        <w:tc>
          <w:tcPr>
            <w:tcW w:w="6231" w:type="dxa"/>
          </w:tcPr>
          <w:p w14:paraId="798E37C4" w14:textId="5F57F50F" w:rsidR="00990E3C" w:rsidRDefault="00990E3C" w:rsidP="00597ED7">
            <w:pPr>
              <w:spacing w:line="360" w:lineRule="auto"/>
            </w:pPr>
            <w:r>
              <w:t>Description</w:t>
            </w:r>
          </w:p>
        </w:tc>
      </w:tr>
      <w:tr w:rsidR="00990E3C" w14:paraId="208C5D23" w14:textId="77777777" w:rsidTr="00567F17">
        <w:tc>
          <w:tcPr>
            <w:tcW w:w="1277" w:type="dxa"/>
          </w:tcPr>
          <w:p w14:paraId="01531011" w14:textId="1F89D8DC" w:rsidR="00990E3C" w:rsidRDefault="00C2406F" w:rsidP="00597ED7">
            <w:pPr>
              <w:spacing w:line="360" w:lineRule="auto"/>
            </w:pPr>
            <w:r>
              <w:t>Month</w:t>
            </w:r>
          </w:p>
        </w:tc>
        <w:tc>
          <w:tcPr>
            <w:tcW w:w="1508" w:type="dxa"/>
          </w:tcPr>
          <w:p w14:paraId="6A9C1977" w14:textId="3ED697A5" w:rsidR="00990E3C" w:rsidRDefault="00C2406F" w:rsidP="00597ED7">
            <w:pPr>
              <w:spacing w:line="360" w:lineRule="auto"/>
            </w:pPr>
            <w:r>
              <w:t>0.01</w:t>
            </w:r>
          </w:p>
        </w:tc>
        <w:tc>
          <w:tcPr>
            <w:tcW w:w="6231"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567F17">
        <w:tc>
          <w:tcPr>
            <w:tcW w:w="1277" w:type="dxa"/>
          </w:tcPr>
          <w:p w14:paraId="456F854F" w14:textId="36F2425D" w:rsidR="00C2406F" w:rsidRDefault="00C2406F" w:rsidP="00597ED7">
            <w:pPr>
              <w:spacing w:line="360" w:lineRule="auto"/>
            </w:pPr>
            <w:r>
              <w:t>Year</w:t>
            </w:r>
          </w:p>
        </w:tc>
        <w:tc>
          <w:tcPr>
            <w:tcW w:w="1508" w:type="dxa"/>
          </w:tcPr>
          <w:p w14:paraId="625A0B21" w14:textId="1506AE22" w:rsidR="00C2406F" w:rsidRDefault="00C2406F" w:rsidP="00597ED7">
            <w:pPr>
              <w:spacing w:line="360" w:lineRule="auto"/>
            </w:pPr>
            <w:r>
              <w:t>0.03</w:t>
            </w:r>
          </w:p>
        </w:tc>
        <w:tc>
          <w:tcPr>
            <w:tcW w:w="6231"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567F17">
        <w:tc>
          <w:tcPr>
            <w:tcW w:w="1277" w:type="dxa"/>
          </w:tcPr>
          <w:p w14:paraId="43DDD8A3" w14:textId="4C49DBF8" w:rsidR="00990E3C" w:rsidRDefault="00C2406F" w:rsidP="00597ED7">
            <w:pPr>
              <w:spacing w:line="360" w:lineRule="auto"/>
            </w:pPr>
            <w:r>
              <w:t>Warehouse Name</w:t>
            </w:r>
          </w:p>
        </w:tc>
        <w:tc>
          <w:tcPr>
            <w:tcW w:w="1508" w:type="dxa"/>
          </w:tcPr>
          <w:p w14:paraId="30CCD126" w14:textId="1F6F56FF" w:rsidR="00990E3C" w:rsidRDefault="00C2406F" w:rsidP="00597ED7">
            <w:pPr>
              <w:spacing w:line="360" w:lineRule="auto"/>
            </w:pPr>
            <w:r>
              <w:t>-0.06</w:t>
            </w:r>
          </w:p>
        </w:tc>
        <w:tc>
          <w:tcPr>
            <w:tcW w:w="6231"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157FE4DB" w14:textId="51B785A4" w:rsidR="00567F17" w:rsidRDefault="00567F17" w:rsidP="00567F17">
      <w:r>
        <w:br w:type="page"/>
      </w:r>
    </w:p>
    <w:p w14:paraId="78E1B73B" w14:textId="6817D4FD" w:rsidR="00CF792A" w:rsidRDefault="00CF792A" w:rsidP="00031F8B">
      <w:pPr>
        <w:pStyle w:val="Heading2"/>
      </w:pPr>
      <w:bookmarkStart w:id="13" w:name="_Toc196104222"/>
      <w:r>
        <w:lastRenderedPageBreak/>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5C9642BF" w:rsidR="00484F68" w:rsidRDefault="00484F68" w:rsidP="00597ED7">
      <w:pPr>
        <w:pStyle w:val="Heading1"/>
        <w:spacing w:line="360" w:lineRule="auto"/>
      </w:pPr>
      <w:bookmarkStart w:id="15" w:name="_Toc196104224"/>
      <w:r>
        <w:lastRenderedPageBreak/>
        <w:t>Web Application</w:t>
      </w:r>
      <w:bookmarkEnd w:id="15"/>
    </w:p>
    <w:p w14:paraId="0B8B8CEE" w14:textId="78DBC78F" w:rsidR="00525F03" w:rsidRDefault="00525F03" w:rsidP="00525F03">
      <w:pPr>
        <w:pStyle w:val="Heading2"/>
      </w:pPr>
      <w:r>
        <w:t>Purpose</w:t>
      </w:r>
    </w:p>
    <w:p w14:paraId="2283B08A" w14:textId="5D2B984A" w:rsidR="00525F03" w:rsidRDefault="00525F03" w:rsidP="00525F03">
      <w:r>
        <w:t>The Total Item Quantity Prediction Web App is designed to provide Vertex PC Supply with a user-friendly interface that allows for the prediction of total order quantities using multiple advanced machine learning models.</w:t>
      </w:r>
    </w:p>
    <w:p w14:paraId="78347869" w14:textId="0B684FED" w:rsidR="00525F03" w:rsidRDefault="00525F03" w:rsidP="00525F03">
      <w:pPr>
        <w:pStyle w:val="Heading2"/>
      </w:pPr>
      <w:r>
        <w:t>Styling and Layout</w:t>
      </w:r>
    </w:p>
    <w:p w14:paraId="3BCEFA29" w14:textId="1006CE84" w:rsidR="00525F03" w:rsidRDefault="00525F03" w:rsidP="00525F03">
      <w:r>
        <w:t xml:space="preserve">The web application emphasises clarity and simplicity. It uses Dash and Dash Bootstrap Components for the UI. Form inputs and neatly segmented for different types of input data. Key UI components such as drop downs and input fields are styled with rounded edges, soft shadows, and intuitive spacing </w:t>
      </w:r>
      <w:r w:rsidR="007050A9">
        <w:t xml:space="preserve">to improve readability and user experience. </w:t>
      </w:r>
    </w:p>
    <w:p w14:paraId="702D4D61" w14:textId="6837B487" w:rsidR="007050A9" w:rsidRDefault="007050A9" w:rsidP="007050A9">
      <w:pPr>
        <w:pStyle w:val="Heading2"/>
      </w:pPr>
      <w:r>
        <w:t>Overview of functionality</w:t>
      </w:r>
    </w:p>
    <w:p w14:paraId="3C159A73" w14:textId="1C5A24DF" w:rsidR="007050A9" w:rsidRDefault="007050A9" w:rsidP="007050A9">
      <w:pPr>
        <w:pStyle w:val="Heading3"/>
      </w:pPr>
      <w:r>
        <w:t>Loading models</w:t>
      </w:r>
    </w:p>
    <w:p w14:paraId="7964103E" w14:textId="77777777" w:rsidR="007050A9" w:rsidRP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The application loads five pre-trained models:</w:t>
      </w:r>
    </w:p>
    <w:p w14:paraId="0ED00214"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Deep Learning (</w:t>
      </w:r>
      <w:proofErr w:type="spellStart"/>
      <w:r w:rsidRPr="007050A9">
        <w:rPr>
          <w:rFonts w:eastAsia="Times New Roman" w:cs="Times New Roman"/>
          <w:kern w:val="0"/>
          <w:lang w:val="en-US"/>
          <w14:ligatures w14:val="none"/>
        </w:rPr>
        <w:t>Keras</w:t>
      </w:r>
      <w:proofErr w:type="spellEnd"/>
      <w:r w:rsidRPr="007050A9">
        <w:rPr>
          <w:rFonts w:eastAsia="Times New Roman" w:cs="Times New Roman"/>
          <w:kern w:val="0"/>
          <w:lang w:val="en-US"/>
          <w14:ligatures w14:val="none"/>
        </w:rPr>
        <w:t>-based Neural Network)</w:t>
      </w:r>
    </w:p>
    <w:p w14:paraId="5CEC6DF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Random Forest Regressor</w:t>
      </w:r>
    </w:p>
    <w:p w14:paraId="754284A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AdaBoost Regressor</w:t>
      </w:r>
    </w:p>
    <w:p w14:paraId="13E6D24F"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Gradient Boosting Regressor</w:t>
      </w:r>
    </w:p>
    <w:p w14:paraId="191ECEA2"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proofErr w:type="spellStart"/>
      <w:r w:rsidRPr="007050A9">
        <w:rPr>
          <w:rFonts w:eastAsia="Times New Roman" w:cs="Times New Roman"/>
          <w:kern w:val="0"/>
          <w:lang w:val="en-US"/>
          <w14:ligatures w14:val="none"/>
        </w:rPr>
        <w:t>XGBoost</w:t>
      </w:r>
      <w:proofErr w:type="spellEnd"/>
      <w:r w:rsidRPr="007050A9">
        <w:rPr>
          <w:rFonts w:eastAsia="Times New Roman" w:cs="Times New Roman"/>
          <w:kern w:val="0"/>
          <w:lang w:val="en-US"/>
          <w14:ligatures w14:val="none"/>
        </w:rPr>
        <w:t xml:space="preserve"> Regressor</w:t>
      </w:r>
    </w:p>
    <w:p w14:paraId="49452D18" w14:textId="620E10D7" w:rsid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 xml:space="preserve">It also loads a reference dataset to dynamically generate input fields and set default values. </w:t>
      </w:r>
      <w:r>
        <w:rPr>
          <w:rFonts w:eastAsia="Times New Roman" w:cs="Times New Roman"/>
          <w:kern w:val="0"/>
          <w:lang w:val="en-US"/>
          <w14:ligatures w14:val="none"/>
        </w:rPr>
        <w:t xml:space="preserve">This allows for quick and easy model and integration testing. </w:t>
      </w:r>
    </w:p>
    <w:p w14:paraId="50A8E4A4" w14:textId="7FE86B90" w:rsidR="007050A9" w:rsidRDefault="007050A9" w:rsidP="007050A9">
      <w:pPr>
        <w:pStyle w:val="Heading3"/>
        <w:rPr>
          <w:rFonts w:eastAsia="Times New Roman"/>
          <w:lang w:val="en-US"/>
        </w:rPr>
      </w:pPr>
      <w:r>
        <w:rPr>
          <w:rFonts w:eastAsia="Times New Roman"/>
          <w:lang w:val="en-US"/>
        </w:rPr>
        <w:t>Input fields</w:t>
      </w:r>
    </w:p>
    <w:p w14:paraId="33A97D0E" w14:textId="202191B4" w:rsidR="007050A9" w:rsidRPr="007050A9" w:rsidRDefault="007050A9" w:rsidP="007050A9">
      <w:r>
        <w:t xml:space="preserve">The web app supports a comprehensive set of features split between product details (e.g., category and pricing) and order details (e.g., region, month, day, and quantities). Each feature is a numeric input field and a dropdown menu is used for model selection. </w:t>
      </w:r>
    </w:p>
    <w:p w14:paraId="6303A96C" w14:textId="77777777" w:rsidR="00525F03" w:rsidRDefault="00525F03" w:rsidP="00525F03">
      <w:pPr>
        <w:pStyle w:val="Heading2"/>
      </w:pPr>
      <w:r>
        <w:t>Technologies Used</w:t>
      </w:r>
    </w:p>
    <w:p w14:paraId="1E877C63" w14:textId="77777777" w:rsidR="00525F03" w:rsidRDefault="00525F03" w:rsidP="00525F03">
      <w:pPr>
        <w:numPr>
          <w:ilvl w:val="0"/>
          <w:numId w:val="6"/>
        </w:numPr>
        <w:spacing w:before="100" w:beforeAutospacing="1" w:after="100" w:afterAutospacing="1" w:line="240" w:lineRule="auto"/>
      </w:pPr>
      <w:r>
        <w:t>Dash</w:t>
      </w:r>
    </w:p>
    <w:p w14:paraId="4EBBA7DF" w14:textId="77777777" w:rsidR="00525F03" w:rsidRDefault="00525F03" w:rsidP="00525F03">
      <w:pPr>
        <w:numPr>
          <w:ilvl w:val="0"/>
          <w:numId w:val="6"/>
        </w:numPr>
        <w:spacing w:before="100" w:beforeAutospacing="1" w:after="100" w:afterAutospacing="1" w:line="240" w:lineRule="auto"/>
      </w:pPr>
      <w:r>
        <w:t>Dash Bootstrap Components</w:t>
      </w:r>
    </w:p>
    <w:p w14:paraId="102401E9" w14:textId="77777777" w:rsidR="00525F03" w:rsidRDefault="00525F03" w:rsidP="00525F03">
      <w:pPr>
        <w:numPr>
          <w:ilvl w:val="0"/>
          <w:numId w:val="6"/>
        </w:numPr>
        <w:spacing w:before="100" w:beforeAutospacing="1" w:after="100" w:afterAutospacing="1" w:line="240" w:lineRule="auto"/>
      </w:pPr>
      <w:r>
        <w:t>NumPy / Pandas</w:t>
      </w:r>
    </w:p>
    <w:p w14:paraId="506A10B3" w14:textId="77777777" w:rsidR="00525F03" w:rsidRDefault="00525F03" w:rsidP="00525F03">
      <w:pPr>
        <w:numPr>
          <w:ilvl w:val="0"/>
          <w:numId w:val="6"/>
        </w:numPr>
        <w:spacing w:before="100" w:beforeAutospacing="1" w:after="100" w:afterAutospacing="1" w:line="240" w:lineRule="auto"/>
      </w:pPr>
      <w:r>
        <w:t>Scikit-learn</w:t>
      </w:r>
    </w:p>
    <w:p w14:paraId="100F80B1" w14:textId="77777777" w:rsidR="00525F03" w:rsidRDefault="00525F03" w:rsidP="00525F03">
      <w:pPr>
        <w:numPr>
          <w:ilvl w:val="0"/>
          <w:numId w:val="6"/>
        </w:numPr>
        <w:spacing w:before="100" w:beforeAutospacing="1" w:after="100" w:afterAutospacing="1" w:line="240" w:lineRule="auto"/>
      </w:pPr>
      <w:r>
        <w:t xml:space="preserve">TensorFlow / </w:t>
      </w:r>
      <w:proofErr w:type="spellStart"/>
      <w:r>
        <w:t>Keras</w:t>
      </w:r>
      <w:proofErr w:type="spellEnd"/>
    </w:p>
    <w:p w14:paraId="3DC8BBBA" w14:textId="77777777" w:rsidR="00525F03" w:rsidRDefault="00525F03" w:rsidP="00525F03">
      <w:pPr>
        <w:numPr>
          <w:ilvl w:val="0"/>
          <w:numId w:val="6"/>
        </w:numPr>
        <w:spacing w:before="100" w:beforeAutospacing="1" w:after="100" w:afterAutospacing="1" w:line="240" w:lineRule="auto"/>
      </w:pPr>
      <w:proofErr w:type="spellStart"/>
      <w:r>
        <w:t>XGBoost</w:t>
      </w:r>
      <w:proofErr w:type="spellEnd"/>
    </w:p>
    <w:p w14:paraId="3A966D24" w14:textId="4752CE7B" w:rsidR="00DA2C1C" w:rsidRDefault="00525F03" w:rsidP="001E6695">
      <w:pPr>
        <w:numPr>
          <w:ilvl w:val="0"/>
          <w:numId w:val="6"/>
        </w:numPr>
        <w:spacing w:before="100" w:beforeAutospacing="1" w:after="100" w:afterAutospacing="1" w:line="240" w:lineRule="auto"/>
      </w:pPr>
      <w:r>
        <w:t>Pickle</w:t>
      </w: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391899A9" w14:textId="20F2E74B"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Set up project structure with modular code components.</w:t>
      </w:r>
    </w:p>
    <w:p w14:paraId="7FCBBC3C" w14:textId="6F71A2F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Train and store models in the </w:t>
      </w:r>
      <w:proofErr w:type="gramStart"/>
      <w:r w:rsidRPr="009F77C3">
        <w:rPr>
          <w:rFonts w:ascii="Courier New" w:eastAsia="Times New Roman" w:hAnsi="Courier New" w:cs="Courier New"/>
          <w:kern w:val="0"/>
          <w:sz w:val="20"/>
          <w:szCs w:val="20"/>
          <w:lang w:val="en-US"/>
          <w14:ligatures w14:val="none"/>
        </w:rPr>
        <w:t>artifacts</w:t>
      </w:r>
      <w:proofErr w:type="gramEnd"/>
      <w:r w:rsidRPr="009F77C3">
        <w:rPr>
          <w:rFonts w:eastAsia="Times New Roman" w:cs="Times New Roman"/>
          <w:kern w:val="0"/>
          <w:lang w:val="en-US"/>
          <w14:ligatures w14:val="none"/>
        </w:rPr>
        <w:t xml:space="preserve"> directory.</w:t>
      </w:r>
    </w:p>
    <w:p w14:paraId="460153D1" w14:textId="018826C4"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Build the interactive Dash web app and test locally.</w:t>
      </w:r>
    </w:p>
    <w:p w14:paraId="3BF942E1" w14:textId="1855679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Generate </w:t>
      </w:r>
      <w:r w:rsidRPr="009F77C3">
        <w:rPr>
          <w:rFonts w:ascii="Courier New" w:eastAsia="Times New Roman" w:hAnsi="Courier New" w:cs="Courier New"/>
          <w:kern w:val="0"/>
          <w:sz w:val="20"/>
          <w:szCs w:val="20"/>
          <w:lang w:val="en-US"/>
          <w14:ligatures w14:val="none"/>
        </w:rPr>
        <w:t>requirements.txt</w:t>
      </w:r>
      <w:r w:rsidRPr="009F77C3">
        <w:rPr>
          <w:rFonts w:eastAsia="Times New Roman" w:cs="Times New Roman"/>
          <w:kern w:val="0"/>
          <w:lang w:val="en-US"/>
          <w14:ligatures w14:val="none"/>
        </w:rPr>
        <w:t xml:space="preserve"> using </w:t>
      </w:r>
      <w:r w:rsidRPr="009F77C3">
        <w:rPr>
          <w:rFonts w:ascii="Courier New" w:eastAsia="Times New Roman" w:hAnsi="Courier New" w:cs="Courier New"/>
          <w:kern w:val="0"/>
          <w:sz w:val="20"/>
          <w:szCs w:val="20"/>
          <w:lang w:val="en-US"/>
          <w14:ligatures w14:val="none"/>
        </w:rPr>
        <w:t>pip freeze &gt; requirements.txt</w:t>
      </w:r>
      <w:r w:rsidRPr="009F77C3">
        <w:rPr>
          <w:rFonts w:eastAsia="Times New Roman" w:cs="Times New Roman"/>
          <w:kern w:val="0"/>
          <w:lang w:val="en-US"/>
          <w14:ligatures w14:val="none"/>
        </w:rPr>
        <w:t>.</w:t>
      </w:r>
    </w:p>
    <w:p w14:paraId="6487964A" w14:textId="32BC3A9C"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Push project repository to GitHub.</w:t>
      </w:r>
    </w:p>
    <w:p w14:paraId="409D8BF2" w14:textId="526B6137"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Create and configure a web service on Render.</w:t>
      </w:r>
    </w:p>
    <w:p w14:paraId="770E8E70" w14:textId="437DC86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Deploy the application with environment paths and scaling configurations.</w:t>
      </w:r>
    </w:p>
    <w:p w14:paraId="2A3E0E7E" w14:textId="77777777" w:rsidR="00484F68" w:rsidRDefault="00484F68" w:rsidP="00597ED7">
      <w:pPr>
        <w:spacing w:line="360" w:lineRule="auto"/>
      </w:pPr>
    </w:p>
    <w:p w14:paraId="3E030AED" w14:textId="77777777" w:rsidR="005C6B26" w:rsidRDefault="005C6B26" w:rsidP="005C6B26">
      <w:pPr>
        <w:pStyle w:val="Heading1"/>
        <w:spacing w:line="360" w:lineRule="auto"/>
      </w:pPr>
      <w:bookmarkStart w:id="17" w:name="_Toc196104226"/>
      <w:r>
        <w:t>Development Process</w:t>
      </w:r>
      <w:bookmarkEnd w:id="17"/>
    </w:p>
    <w:p w14:paraId="15C6F7C6" w14:textId="796E13C6"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w:t>
      </w:r>
      <w:r w:rsidR="00B824F0">
        <w:tab/>
      </w:r>
      <w:r w:rsidR="00B824F0">
        <w:tab/>
      </w:r>
      <w:proofErr w:type="spellStart"/>
      <w:r>
        <w:t>lenging</w:t>
      </w:r>
      <w:proofErr w:type="spellEnd"/>
      <w:r>
        <w:t xml:space="preserve">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0619D30" w14:textId="4F240585" w:rsidR="005C6B26" w:rsidRDefault="001E6695" w:rsidP="005C6B26">
      <w:r>
        <w:br w:type="page"/>
      </w:r>
    </w:p>
    <w:p w14:paraId="05DBEE5A" w14:textId="103F20B2" w:rsidR="005C6B26" w:rsidRDefault="005C6B26" w:rsidP="005C6B26">
      <w:r>
        <w:lastRenderedPageBreak/>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1020479B" w14:textId="77777777" w:rsidR="00C86B76" w:rsidRDefault="00C86B7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649347D1" w14:textId="6462FB63" w:rsidR="00484F68" w:rsidRDefault="00484F68" w:rsidP="00597ED7">
      <w:pPr>
        <w:pStyle w:val="Heading1"/>
        <w:spacing w:line="360" w:lineRule="auto"/>
      </w:pPr>
      <w:bookmarkStart w:id="18" w:name="_Toc196104227"/>
      <w:r>
        <w:t>Conclusion</w:t>
      </w:r>
      <w:bookmarkEnd w:id="18"/>
    </w:p>
    <w:p w14:paraId="281D789E" w14:textId="447ABBC8" w:rsidR="00DE1C46" w:rsidRDefault="001E6695" w:rsidP="00597ED7">
      <w:pPr>
        <w:spacing w:line="360" w:lineRule="auto"/>
      </w:pPr>
      <w:r>
        <w:t>This project proved that machine learning can significantly improve inventory management by predicting total item quantities based on key features like pricing, category, and region. Gradient Boosting emerged as the most accurate model. The modular code structure, combined with a user-friendly web app, enabled practical development of predictions. Overall, the project successfully transformed raw data into actionable insights, helping Vertex PC Supply reduce stockouts, control inventory costs and improve decision-making.</w:t>
      </w: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End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5264" w14:textId="77777777" w:rsidR="00B541A9" w:rsidRDefault="00B541A9" w:rsidP="00484F68">
      <w:pPr>
        <w:spacing w:after="0" w:line="240" w:lineRule="auto"/>
      </w:pPr>
      <w:r>
        <w:separator/>
      </w:r>
    </w:p>
  </w:endnote>
  <w:endnote w:type="continuationSeparator" w:id="0">
    <w:p w14:paraId="0F8ADEA4" w14:textId="77777777" w:rsidR="00B541A9" w:rsidRDefault="00B541A9"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21093571"/>
      <w:docPartObj>
        <w:docPartGallery w:val="Page Numbers (Bottom of Page)"/>
        <w:docPartUnique/>
      </w:docPartObj>
    </w:sdtPr>
    <w:sdtEnd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A46D" w14:textId="77777777" w:rsidR="00B541A9" w:rsidRDefault="00B541A9" w:rsidP="00484F68">
      <w:pPr>
        <w:spacing w:after="0" w:line="240" w:lineRule="auto"/>
      </w:pPr>
      <w:r>
        <w:separator/>
      </w:r>
    </w:p>
  </w:footnote>
  <w:footnote w:type="continuationSeparator" w:id="0">
    <w:p w14:paraId="5CC9969B" w14:textId="77777777" w:rsidR="00B541A9" w:rsidRDefault="00B541A9"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881"/>
    <w:multiLevelType w:val="hybridMultilevel"/>
    <w:tmpl w:val="DBCE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093525"/>
    <w:multiLevelType w:val="multilevel"/>
    <w:tmpl w:val="F4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abstractNum w:abstractNumId="6" w15:restartNumberingAfterBreak="0">
    <w:nsid w:val="5F883208"/>
    <w:multiLevelType w:val="multilevel"/>
    <w:tmpl w:val="45F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1E6695"/>
    <w:rsid w:val="00201829"/>
    <w:rsid w:val="002206DD"/>
    <w:rsid w:val="002266A3"/>
    <w:rsid w:val="0025160F"/>
    <w:rsid w:val="00270B9B"/>
    <w:rsid w:val="002C17D4"/>
    <w:rsid w:val="002D15C3"/>
    <w:rsid w:val="002E5C1F"/>
    <w:rsid w:val="00305B1C"/>
    <w:rsid w:val="003566AE"/>
    <w:rsid w:val="00361DC7"/>
    <w:rsid w:val="00396E6F"/>
    <w:rsid w:val="003E3913"/>
    <w:rsid w:val="00406794"/>
    <w:rsid w:val="00422E30"/>
    <w:rsid w:val="004341E6"/>
    <w:rsid w:val="0044264D"/>
    <w:rsid w:val="004560C6"/>
    <w:rsid w:val="0046518F"/>
    <w:rsid w:val="004710E7"/>
    <w:rsid w:val="0047724E"/>
    <w:rsid w:val="00484F68"/>
    <w:rsid w:val="004A05D4"/>
    <w:rsid w:val="004C7388"/>
    <w:rsid w:val="004D5C0E"/>
    <w:rsid w:val="004F1B91"/>
    <w:rsid w:val="00525F03"/>
    <w:rsid w:val="00530DD4"/>
    <w:rsid w:val="00567F17"/>
    <w:rsid w:val="00597ED7"/>
    <w:rsid w:val="005C236B"/>
    <w:rsid w:val="005C6B26"/>
    <w:rsid w:val="005E2A29"/>
    <w:rsid w:val="0060171B"/>
    <w:rsid w:val="00650E77"/>
    <w:rsid w:val="0068011C"/>
    <w:rsid w:val="006A5CC9"/>
    <w:rsid w:val="006F29DB"/>
    <w:rsid w:val="006F4631"/>
    <w:rsid w:val="00700299"/>
    <w:rsid w:val="007050A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9C11A1"/>
    <w:rsid w:val="009F77C3"/>
    <w:rsid w:val="00A4204B"/>
    <w:rsid w:val="00A43088"/>
    <w:rsid w:val="00A445C1"/>
    <w:rsid w:val="00A72E44"/>
    <w:rsid w:val="00A806C1"/>
    <w:rsid w:val="00A97B2A"/>
    <w:rsid w:val="00AF58F3"/>
    <w:rsid w:val="00B46CA8"/>
    <w:rsid w:val="00B51075"/>
    <w:rsid w:val="00B541A9"/>
    <w:rsid w:val="00B61701"/>
    <w:rsid w:val="00B824F0"/>
    <w:rsid w:val="00B87C6A"/>
    <w:rsid w:val="00B951C6"/>
    <w:rsid w:val="00B96109"/>
    <w:rsid w:val="00BB5A29"/>
    <w:rsid w:val="00C2387A"/>
    <w:rsid w:val="00C2406F"/>
    <w:rsid w:val="00C453E5"/>
    <w:rsid w:val="00C64884"/>
    <w:rsid w:val="00C86B76"/>
    <w:rsid w:val="00CA4F14"/>
    <w:rsid w:val="00CB700B"/>
    <w:rsid w:val="00CC37C0"/>
    <w:rsid w:val="00CE005C"/>
    <w:rsid w:val="00CF792A"/>
    <w:rsid w:val="00D90376"/>
    <w:rsid w:val="00D93A92"/>
    <w:rsid w:val="00DA0D40"/>
    <w:rsid w:val="00DA2C1C"/>
    <w:rsid w:val="00DB7FA0"/>
    <w:rsid w:val="00DE1C46"/>
    <w:rsid w:val="00DF138D"/>
    <w:rsid w:val="00E04412"/>
    <w:rsid w:val="00E22C9A"/>
    <w:rsid w:val="00E3716D"/>
    <w:rsid w:val="00E42521"/>
    <w:rsid w:val="00E71B05"/>
    <w:rsid w:val="00E824AE"/>
    <w:rsid w:val="00EA00B1"/>
    <w:rsid w:val="00F46171"/>
    <w:rsid w:val="00F72F02"/>
    <w:rsid w:val="00F83FDA"/>
    <w:rsid w:val="00FC3654"/>
    <w:rsid w:val="00FF67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7050A9"/>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7050A9"/>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 w:type="character" w:styleId="HTMLCode">
    <w:name w:val="HTML Code"/>
    <w:basedOn w:val="DefaultParagraphFont"/>
    <w:uiPriority w:val="99"/>
    <w:semiHidden/>
    <w:unhideWhenUsed/>
    <w:rsid w:val="009F7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26550718">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40129272">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692992484">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lg382-cyo-proj-groupx.onren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hetulparmar/inventory-management-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2F5496"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4472C4"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06794"/>
    <w:rsid w:val="004D5161"/>
    <w:rsid w:val="00530DD4"/>
    <w:rsid w:val="0079481C"/>
    <w:rsid w:val="008B5CC3"/>
    <w:rsid w:val="008C43A6"/>
    <w:rsid w:val="00945D08"/>
    <w:rsid w:val="009643BA"/>
    <w:rsid w:val="0099013A"/>
    <w:rsid w:val="00AF5890"/>
    <w:rsid w:val="00AF58F3"/>
    <w:rsid w:val="00B61701"/>
    <w:rsid w:val="00B641D7"/>
    <w:rsid w:val="00D309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8DAC6C-0A93-45AF-868B-EFF448287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Noah Blaauw</cp:lastModifiedBy>
  <cp:revision>33</cp:revision>
  <cp:lastPrinted>2025-04-23T12:00:00Z</cp:lastPrinted>
  <dcterms:created xsi:type="dcterms:W3CDTF">2025-04-14T15:55:00Z</dcterms:created>
  <dcterms:modified xsi:type="dcterms:W3CDTF">2025-04-23T16:20:00Z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