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color w:val="1F3B57"/>
          <w:sz w:val="44"/>
          <w:szCs w:val="44"/>
        </w:rPr>
        <w:t>OFFRE DE SERVICE</w:t>
      </w:r>
    </w:p>
    <w:p>
      <w:pPr>
        <w:pStyle w:val="Normal"/>
        <w:spacing w:before="0" w:after="300"/>
        <w:jc w:val="center"/>
        <w:rPr/>
      </w:pPr>
      <w:r>
        <w:rPr>
          <w:color w:val="1F3B57"/>
          <w:sz w:val="26"/>
          <w:szCs w:val="26"/>
        </w:rPr>
        <w:t>Développement du site web — Agence Immobilière Akili</w:t>
      </w:r>
    </w:p>
    <w:p>
      <w:pPr>
        <w:pStyle w:val="Normal"/>
        <w:spacing w:before="0" w:after="400"/>
        <w:jc w:val="center"/>
        <w:rPr/>
      </w:pPr>
      <w:r>
        <w:rPr>
          <w:i/>
          <w:iCs/>
          <w:sz w:val="20"/>
          <w:szCs w:val="20"/>
        </w:rPr>
        <w:t xml:space="preserve">Date d'émission : 05/10/2026 </w:t>
      </w:r>
    </w:p>
    <w:p>
      <w:pPr>
        <w:pStyle w:val="Heading2"/>
        <w:spacing w:before="200" w:after="100"/>
        <w:rPr/>
      </w:pPr>
      <w:r>
        <w:rPr>
          <w:b/>
          <w:bCs/>
          <w:color w:val="1F3B57"/>
        </w:rPr>
        <w:t>Entre les soussignés</w:t>
      </w:r>
    </w:p>
    <w:p>
      <w:pPr>
        <w:pStyle w:val="Normal"/>
        <w:spacing w:before="0" w:after="120"/>
        <w:rPr/>
      </w:pPr>
      <w:r>
        <w:rPr>
          <w:b w:val="false"/>
          <w:bCs w:val="false"/>
        </w:rPr>
        <w:t xml:space="preserve">Le Prestataire : Aziz Sellal, développeur — contact : </w:t>
      </w:r>
      <w:hyperlink r:id="rId2">
        <w:r>
          <w:rPr>
            <w:rStyle w:val="Hyperlink"/>
            <w:rFonts w:ascii="Lato;sans-serif" w:hAnsi="Lato;sans-serif"/>
            <w:b w:val="false"/>
            <w:i w:val="false"/>
            <w:caps w:val="false"/>
            <w:smallCaps w:val="false"/>
            <w:color w:val="0050CC"/>
            <w:spacing w:val="0"/>
            <w:u w:val="single"/>
          </w:rPr>
          <w:t>contact@ay-web.com</w:t>
        </w:r>
      </w:hyperlink>
      <w:r>
        <w:rPr/>
        <w:t xml:space="preserve"> </w:t>
      </w:r>
    </w:p>
    <w:p>
      <w:pPr>
        <w:pStyle w:val="Normal"/>
        <w:spacing w:before="0" w:after="120"/>
        <w:rPr/>
      </w:pPr>
      <w:r>
        <w:rPr/>
        <w:t>Le Client : Akili, Agence Immobilière — représenté(e) par : _____________________________</w:t>
      </w:r>
    </w:p>
    <w:p>
      <w:pPr>
        <w:pStyle w:val="Heading1"/>
        <w:spacing w:before="300" w:after="150"/>
        <w:rPr/>
      </w:pPr>
      <w:r>
        <w:rPr>
          <w:b/>
          <w:bCs/>
          <w:color w:val="1F3B57"/>
        </w:rPr>
        <w:t>1. Objet de l'offre</w:t>
      </w:r>
    </w:p>
    <w:p>
      <w:pPr>
        <w:pStyle w:val="Normal"/>
        <w:spacing w:before="0" w:after="120"/>
        <w:rPr/>
      </w:pPr>
      <w:r>
        <w:rPr/>
        <w:t>La présente offre a pour objet la conception et le développement d'un site web pour l'agence immobilière Akili, comprenant une partie publique (vitrine et catalogue de biens), des formulaires d'échange avec les clients, et un espace d'administration (back-office) pour la gestion des produits, services, demandes et offres de vente.</w:t>
      </w:r>
    </w:p>
    <w:p>
      <w:pPr>
        <w:pStyle w:val="Heading1"/>
        <w:spacing w:before="300" w:after="150"/>
        <w:rPr/>
      </w:pPr>
      <w:r>
        <w:rPr>
          <w:b/>
          <w:bCs/>
          <w:color w:val="1F3B57"/>
        </w:rPr>
        <w:t>2. Périmètre fonctionnel</w:t>
      </w:r>
    </w:p>
    <w:p>
      <w:pPr>
        <w:pStyle w:val="Normal"/>
        <w:spacing w:before="0" w:after="120"/>
        <w:rPr/>
      </w:pPr>
      <w:r>
        <w:rPr/>
        <w:t>Le site comprendra les sections suivantes :</w:t>
      </w:r>
    </w:p>
    <w:p>
      <w:pPr>
        <w:pStyle w:val="ListParagraph"/>
        <w:numPr>
          <w:ilvl w:val="0"/>
          <w:numId w:val="4"/>
        </w:numPr>
        <w:spacing w:before="0" w:after="60"/>
        <w:rPr/>
      </w:pPr>
      <w:r>
        <w:rPr/>
        <w:t>Présentation : qui est l'agence Akili, son activité, ses valeurs.</w:t>
      </w:r>
    </w:p>
    <w:p>
      <w:pPr>
        <w:pStyle w:val="ListParagraph"/>
        <w:numPr>
          <w:ilvl w:val="0"/>
          <w:numId w:val="5"/>
        </w:numPr>
        <w:spacing w:before="0" w:after="60"/>
        <w:rPr/>
      </w:pPr>
      <w:r>
        <w:rPr/>
        <w:t>Services : présentation des services proposés par l'agence.</w:t>
      </w:r>
    </w:p>
    <w:p>
      <w:pPr>
        <w:pStyle w:val="ListParagraph"/>
        <w:numPr>
          <w:ilvl w:val="0"/>
          <w:numId w:val="6"/>
        </w:numPr>
        <w:spacing w:before="0" w:after="60"/>
        <w:rPr/>
      </w:pPr>
      <w:r>
        <w:rPr/>
        <w:t>Produits : catalogue des biens proposés par l'agence (liste et fiche détaillée).</w:t>
      </w:r>
    </w:p>
    <w:p>
      <w:pPr>
        <w:pStyle w:val="ListParagraph"/>
        <w:numPr>
          <w:ilvl w:val="0"/>
          <w:numId w:val="7"/>
        </w:numPr>
        <w:spacing w:before="0" w:after="60"/>
        <w:rPr/>
      </w:pPr>
      <w:r>
        <w:rPr/>
        <w:t>Contact : formulaire d'envoi d'e-mail et lien/API WhatsApp.</w:t>
      </w:r>
    </w:p>
    <w:p>
      <w:pPr>
        <w:pStyle w:val="ListParagraph"/>
        <w:numPr>
          <w:ilvl w:val="0"/>
          <w:numId w:val="8"/>
        </w:numPr>
        <w:spacing w:before="0" w:after="60"/>
        <w:rPr/>
      </w:pPr>
      <w:r>
        <w:rPr/>
        <w:t>Vente (Offre) : formulaire permettant à un client de proposer un bien à la vente.</w:t>
      </w:r>
    </w:p>
    <w:p>
      <w:pPr>
        <w:pStyle w:val="ListParagraph"/>
        <w:numPr>
          <w:ilvl w:val="0"/>
          <w:numId w:val="9"/>
        </w:numPr>
        <w:spacing w:before="0" w:after="60"/>
        <w:rPr/>
      </w:pPr>
      <w:r>
        <w:rPr/>
        <w:t>Demande : formulaire permettant à un client de formuler une demande sur un produit ou un service.</w:t>
      </w:r>
    </w:p>
    <w:p>
      <w:pPr>
        <w:pStyle w:val="ListParagraph"/>
        <w:numPr>
          <w:ilvl w:val="0"/>
          <w:numId w:val="10"/>
        </w:numPr>
        <w:spacing w:before="0" w:after="60"/>
        <w:rPr/>
      </w:pPr>
      <w:r>
        <w:rPr/>
        <w:t>Espace Admin : ajout, modification et suppression des produits/services ; consultation et traitement des demandes clients et des offres de vente reçues.</w:t>
      </w:r>
    </w:p>
    <w:p>
      <w:pPr>
        <w:pStyle w:val="Normal"/>
        <w:spacing w:before="0" w:after="120"/>
        <w:rPr/>
      </w:pPr>
      <w:r>
        <w:rPr/>
      </w:r>
    </w:p>
    <w:p>
      <w:pPr>
        <w:pStyle w:val="Heading1"/>
        <w:spacing w:before="300" w:after="150"/>
        <w:rPr/>
      </w:pPr>
      <w:r>
        <w:rPr>
          <w:b/>
          <w:bCs/>
          <w:color w:val="1F3B57"/>
        </w:rPr>
        <w:t>3. Phases, livrables et délais</w:t>
      </w:r>
    </w:p>
    <w:p>
      <w:pPr>
        <w:pStyle w:val="Normal"/>
        <w:spacing w:before="0" w:after="120"/>
        <w:rPr/>
      </w:pPr>
      <w:r>
        <w:rPr/>
        <w:t>Durée totale indicative : 4 semaines à compter de la signature de la présente offre et du versement de l'acompte de démarrage.</w:t>
      </w:r>
    </w:p>
    <w:tbl>
      <w:tblPr>
        <w:tblW w:w="9600" w:type="dxa"/>
        <w:jc w:val="left"/>
        <w:tblInd w:w="0" w:type="dxa"/>
        <w:tblLayout w:type="fixed"/>
        <w:tblCellMar>
          <w:top w:w="80" w:type="dxa"/>
          <w:left w:w="100" w:type="dxa"/>
          <w:bottom w:w="80" w:type="dxa"/>
          <w:right w:w="100" w:type="dxa"/>
        </w:tblCellMar>
      </w:tblPr>
      <w:tblGrid>
        <w:gridCol w:w="1298"/>
        <w:gridCol w:w="2002"/>
        <w:gridCol w:w="4699"/>
        <w:gridCol w:w="1600"/>
      </w:tblGrid>
      <w:tr>
        <w:trPr>
          <w:tblHeader w:val="true"/>
        </w:trPr>
        <w:tc>
          <w:tcPr>
            <w:tcW w:w="1298"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Phase</w:t>
            </w:r>
          </w:p>
        </w:tc>
        <w:tc>
          <w:tcPr>
            <w:tcW w:w="2002"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Délai indicatif</w:t>
            </w:r>
          </w:p>
        </w:tc>
        <w:tc>
          <w:tcPr>
            <w:tcW w:w="4699"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Livrable</w:t>
            </w:r>
          </w:p>
        </w:tc>
        <w:tc>
          <w:tcPr>
            <w:tcW w:w="1600"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Validation requise</w:t>
            </w:r>
          </w:p>
        </w:tc>
      </w:tr>
      <w:tr>
        <w:trPr/>
        <w:tc>
          <w:tcPr>
            <w:tcW w:w="1298"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Phase 0</w:t>
            </w:r>
          </w:p>
        </w:tc>
        <w:tc>
          <w:tcPr>
            <w:tcW w:w="2002"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Semaine 1</w:t>
            </w:r>
          </w:p>
        </w:tc>
        <w:tc>
          <w:tcPr>
            <w:tcW w:w="46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Squelette du site : navigation complète entre toutes les sections, architecture visuelle, contenu provisoire.</w:t>
            </w:r>
          </w:p>
        </w:tc>
        <w:tc>
          <w:tcPr>
            <w:tcW w:w="16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Oui — avant Phase 1</w:t>
            </w:r>
          </w:p>
        </w:tc>
      </w:tr>
      <w:tr>
        <w:trPr/>
        <w:tc>
          <w:tcPr>
            <w:tcW w:w="1298"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Phase 1</w:t>
            </w:r>
          </w:p>
        </w:tc>
        <w:tc>
          <w:tcPr>
            <w:tcW w:w="2002"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Semaines 1-2</w:t>
            </w:r>
          </w:p>
        </w:tc>
        <w:tc>
          <w:tcPr>
            <w:tcW w:w="46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Socle technique (backend + base de données) et pages publiques avec le contenu réel validé par le client.</w:t>
            </w:r>
          </w:p>
        </w:tc>
        <w:tc>
          <w:tcPr>
            <w:tcW w:w="16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Oui — avant Phase 2</w:t>
            </w:r>
          </w:p>
        </w:tc>
      </w:tr>
      <w:tr>
        <w:trPr/>
        <w:tc>
          <w:tcPr>
            <w:tcW w:w="1298"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Phase 2</w:t>
            </w:r>
          </w:p>
        </w:tc>
        <w:tc>
          <w:tcPr>
            <w:tcW w:w="2002"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Semaines 2-3</w:t>
            </w:r>
          </w:p>
        </w:tc>
        <w:tc>
          <w:tcPr>
            <w:tcW w:w="46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Formulaires fonctionnels : Contact (email + WhatsApp), Vendre, Demande — avec enregistrement réel des données.</w:t>
            </w:r>
          </w:p>
        </w:tc>
        <w:tc>
          <w:tcPr>
            <w:tcW w:w="16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Oui — avant Phase 3</w:t>
            </w:r>
          </w:p>
        </w:tc>
      </w:tr>
      <w:tr>
        <w:trPr/>
        <w:tc>
          <w:tcPr>
            <w:tcW w:w="1298"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Phase 3</w:t>
            </w:r>
          </w:p>
        </w:tc>
        <w:tc>
          <w:tcPr>
            <w:tcW w:w="2002"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Semaines 3-4</w:t>
            </w:r>
          </w:p>
        </w:tc>
        <w:tc>
          <w:tcPr>
            <w:tcW w:w="46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Back-office Admin complet (gestion produits/services, demandes, offres), sécurisation, mise en production.</w:t>
            </w:r>
          </w:p>
        </w:tc>
        <w:tc>
          <w:tcPr>
            <w:tcW w:w="16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Oui — avant mise en ligne</w:t>
            </w:r>
          </w:p>
        </w:tc>
      </w:tr>
      <w:tr>
        <w:trPr/>
        <w:tc>
          <w:tcPr>
            <w:tcW w:w="1298"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Post-livraison</w:t>
            </w:r>
          </w:p>
        </w:tc>
        <w:tc>
          <w:tcPr>
            <w:tcW w:w="2002"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7 jours après mise en ligne</w:t>
            </w:r>
          </w:p>
        </w:tc>
        <w:tc>
          <w:tcPr>
            <w:tcW w:w="46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Période de vérification du bon fonctionnement du site en conditions réelles.</w:t>
            </w:r>
          </w:p>
        </w:tc>
        <w:tc>
          <w:tcPr>
            <w:tcW w:w="16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Oui — avant solde final</w:t>
            </w:r>
          </w:p>
        </w:tc>
      </w:tr>
    </w:tbl>
    <w:p>
      <w:pPr>
        <w:pStyle w:val="Normal"/>
        <w:spacing w:before="150" w:after="0"/>
        <w:rPr/>
      </w:pPr>
      <w:r>
        <w:rPr>
          <w:i/>
          <w:iCs/>
          <w:sz w:val="20"/>
          <w:szCs w:val="20"/>
        </w:rPr>
        <w:t>Chaque phase fait l'objet d'une validation explicite du client avant le démarrage de la phase suivante et avant le versement de la tranche correspondante (voir section 5 et tableau de suivi en fin de document).</w:t>
      </w:r>
    </w:p>
    <w:p>
      <w:pPr>
        <w:pStyle w:val="Heading1"/>
        <w:spacing w:before="300" w:after="150"/>
        <w:rPr/>
      </w:pPr>
      <w:r>
        <w:rPr>
          <w:b/>
          <w:bCs/>
          <w:color w:val="1F3B57"/>
        </w:rPr>
        <w:t>4. Tarif et modalités de paiement</w:t>
      </w:r>
    </w:p>
    <w:p>
      <w:pPr>
        <w:pStyle w:val="Normal"/>
        <w:spacing w:before="0" w:after="120"/>
        <w:rPr/>
      </w:pPr>
      <w:r>
        <w:rPr/>
        <w:t>Prix forfaitaire total : 60 000 DZD, réparti en 5 tranches égales comme suit :</w:t>
      </w:r>
    </w:p>
    <w:tbl>
      <w:tblPr>
        <w:tblW w:w="9600" w:type="dxa"/>
        <w:jc w:val="left"/>
        <w:tblInd w:w="0" w:type="dxa"/>
        <w:tblLayout w:type="fixed"/>
        <w:tblCellMar>
          <w:top w:w="80" w:type="dxa"/>
          <w:left w:w="100" w:type="dxa"/>
          <w:bottom w:w="80" w:type="dxa"/>
          <w:right w:w="100" w:type="dxa"/>
        </w:tblCellMar>
      </w:tblPr>
      <w:tblGrid>
        <w:gridCol w:w="698"/>
        <w:gridCol w:w="4301"/>
        <w:gridCol w:w="2300"/>
        <w:gridCol w:w="2300"/>
      </w:tblGrid>
      <w:tr>
        <w:trPr>
          <w:tblHeader w:val="true"/>
        </w:trPr>
        <w:tc>
          <w:tcPr>
            <w:tcW w:w="698" w:type="dxa"/>
            <w:tcBorders>
              <w:top w:val="single" w:sz="2" w:space="0" w:color="CCCCCC"/>
              <w:left w:val="single" w:sz="2" w:space="0" w:color="CCCCCC"/>
              <w:bottom w:val="single" w:sz="2" w:space="0" w:color="CCCCCC"/>
              <w:right w:val="single" w:sz="2" w:space="0" w:color="CCCCCC"/>
            </w:tcBorders>
            <w:shd w:fill="1F3B57" w:val="clear"/>
          </w:tcPr>
          <w:p>
            <w:pPr>
              <w:pStyle w:val="Normal"/>
              <w:jc w:val="center"/>
              <w:rPr/>
            </w:pPr>
            <w:r>
              <w:rPr>
                <w:b/>
                <w:bCs/>
                <w:color w:val="FFFFFF"/>
              </w:rPr>
              <w:t>N°</w:t>
            </w:r>
          </w:p>
        </w:tc>
        <w:tc>
          <w:tcPr>
            <w:tcW w:w="4301"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Tranche</w:t>
            </w:r>
          </w:p>
        </w:tc>
        <w:tc>
          <w:tcPr>
            <w:tcW w:w="2300"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Déclencheur</w:t>
            </w:r>
          </w:p>
        </w:tc>
        <w:tc>
          <w:tcPr>
            <w:tcW w:w="2300" w:type="dxa"/>
            <w:tcBorders>
              <w:top w:val="single" w:sz="2" w:space="0" w:color="CCCCCC"/>
              <w:left w:val="single" w:sz="2" w:space="0" w:color="CCCCCC"/>
              <w:bottom w:val="single" w:sz="2" w:space="0" w:color="CCCCCC"/>
              <w:right w:val="single" w:sz="2" w:space="0" w:color="CCCCCC"/>
            </w:tcBorders>
            <w:shd w:fill="1F3B57" w:val="clear"/>
          </w:tcPr>
          <w:p>
            <w:pPr>
              <w:pStyle w:val="Normal"/>
              <w:jc w:val="center"/>
              <w:rPr/>
            </w:pPr>
            <w:r>
              <w:rPr>
                <w:b/>
                <w:bCs/>
                <w:color w:val="FFFFFF"/>
              </w:rPr>
              <w:t>Montant</w:t>
            </w:r>
          </w:p>
        </w:tc>
      </w:tr>
      <w:tr>
        <w:trPr/>
        <w:tc>
          <w:tcPr>
            <w:tcW w:w="698"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rPr>
              <w:t>1</w:t>
            </w:r>
          </w:p>
        </w:tc>
        <w:tc>
          <w:tcPr>
            <w:tcW w:w="4301"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Acompte de démarrage</w:t>
            </w:r>
          </w:p>
        </w:tc>
        <w:tc>
          <w:tcPr>
            <w:tcW w:w="23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À la signature de la présente offre</w:t>
            </w:r>
          </w:p>
        </w:tc>
        <w:tc>
          <w:tcPr>
            <w:tcW w:w="2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rPr>
              <w:t>12 000 DZD</w:t>
            </w:r>
          </w:p>
        </w:tc>
      </w:tr>
      <w:tr>
        <w:trPr/>
        <w:tc>
          <w:tcPr>
            <w:tcW w:w="698"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rPr>
              <w:t>2</w:t>
            </w:r>
          </w:p>
        </w:tc>
        <w:tc>
          <w:tcPr>
            <w:tcW w:w="4301"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2ème tranche</w:t>
            </w:r>
          </w:p>
        </w:tc>
        <w:tc>
          <w:tcPr>
            <w:tcW w:w="23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À la validation de la Phase 1</w:t>
            </w:r>
          </w:p>
        </w:tc>
        <w:tc>
          <w:tcPr>
            <w:tcW w:w="2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rPr>
              <w:t>12 000 DZD</w:t>
            </w:r>
          </w:p>
        </w:tc>
      </w:tr>
      <w:tr>
        <w:trPr/>
        <w:tc>
          <w:tcPr>
            <w:tcW w:w="698"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rPr>
              <w:t>3</w:t>
            </w:r>
          </w:p>
        </w:tc>
        <w:tc>
          <w:tcPr>
            <w:tcW w:w="4301"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3ème tranche</w:t>
            </w:r>
          </w:p>
        </w:tc>
        <w:tc>
          <w:tcPr>
            <w:tcW w:w="23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À la validation de la Phase 2</w:t>
            </w:r>
          </w:p>
        </w:tc>
        <w:tc>
          <w:tcPr>
            <w:tcW w:w="2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rPr>
              <w:t>12 000 DZD</w:t>
            </w:r>
          </w:p>
        </w:tc>
      </w:tr>
      <w:tr>
        <w:trPr/>
        <w:tc>
          <w:tcPr>
            <w:tcW w:w="698"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rPr>
              <w:t>4</w:t>
            </w:r>
          </w:p>
        </w:tc>
        <w:tc>
          <w:tcPr>
            <w:tcW w:w="4301"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4ème tranche</w:t>
            </w:r>
          </w:p>
        </w:tc>
        <w:tc>
          <w:tcPr>
            <w:tcW w:w="23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À la validation de la Phase 3 / mise en production</w:t>
            </w:r>
          </w:p>
        </w:tc>
        <w:tc>
          <w:tcPr>
            <w:tcW w:w="2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rPr>
              <w:t>12 000 DZD</w:t>
            </w:r>
          </w:p>
        </w:tc>
      </w:tr>
      <w:tr>
        <w:trPr/>
        <w:tc>
          <w:tcPr>
            <w:tcW w:w="698" w:type="dxa"/>
            <w:tcBorders>
              <w:top w:val="single" w:sz="2" w:space="0" w:color="CCCCCC"/>
              <w:left w:val="single" w:sz="2" w:space="0" w:color="CCCCCC"/>
              <w:bottom w:val="single" w:sz="2" w:space="0" w:color="CCCCCC"/>
              <w:right w:val="single" w:sz="2" w:space="0" w:color="CCCCCC"/>
            </w:tcBorders>
            <w:shd w:fill="EAF0F4" w:val="clear"/>
          </w:tcPr>
          <w:p>
            <w:pPr>
              <w:pStyle w:val="Normal"/>
              <w:jc w:val="center"/>
              <w:rPr/>
            </w:pPr>
            <w:r>
              <w:rPr>
                <w:b w:val="false"/>
                <w:bCs w:val="false"/>
              </w:rPr>
              <w:t>5</w:t>
            </w:r>
          </w:p>
        </w:tc>
        <w:tc>
          <w:tcPr>
            <w:tcW w:w="4301" w:type="dxa"/>
            <w:tcBorders>
              <w:top w:val="single" w:sz="2" w:space="0" w:color="CCCCCC"/>
              <w:left w:val="single" w:sz="2" w:space="0" w:color="CCCCCC"/>
              <w:bottom w:val="single" w:sz="2" w:space="0" w:color="CCCCCC"/>
              <w:right w:val="single" w:sz="2" w:space="0" w:color="CCCCCC"/>
            </w:tcBorders>
            <w:shd w:fill="EAF0F4" w:val="clear"/>
          </w:tcPr>
          <w:p>
            <w:pPr>
              <w:pStyle w:val="Normal"/>
              <w:jc w:val="left"/>
              <w:rPr/>
            </w:pPr>
            <w:r>
              <w:rPr>
                <w:b w:val="false"/>
                <w:bCs w:val="false"/>
              </w:rPr>
              <w:t>Solde final</w:t>
            </w:r>
          </w:p>
        </w:tc>
        <w:tc>
          <w:tcPr>
            <w:tcW w:w="2300" w:type="dxa"/>
            <w:tcBorders>
              <w:top w:val="single" w:sz="2" w:space="0" w:color="CCCCCC"/>
              <w:left w:val="single" w:sz="2" w:space="0" w:color="CCCCCC"/>
              <w:bottom w:val="single" w:sz="2" w:space="0" w:color="CCCCCC"/>
              <w:right w:val="single" w:sz="2" w:space="0" w:color="CCCCCC"/>
            </w:tcBorders>
            <w:shd w:fill="EAF0F4" w:val="clear"/>
          </w:tcPr>
          <w:p>
            <w:pPr>
              <w:pStyle w:val="Normal"/>
              <w:jc w:val="left"/>
              <w:rPr/>
            </w:pPr>
            <w:r>
              <w:rPr>
                <w:b w:val="false"/>
                <w:bCs w:val="false"/>
              </w:rPr>
              <w:t>Après la période de vérification post-livraison, une fois le bon fonctionnement confirmé</w:t>
            </w:r>
          </w:p>
        </w:tc>
        <w:tc>
          <w:tcPr>
            <w:tcW w:w="2300" w:type="dxa"/>
            <w:tcBorders>
              <w:top w:val="single" w:sz="2" w:space="0" w:color="CCCCCC"/>
              <w:left w:val="single" w:sz="2" w:space="0" w:color="CCCCCC"/>
              <w:bottom w:val="single" w:sz="2" w:space="0" w:color="CCCCCC"/>
              <w:right w:val="single" w:sz="2" w:space="0" w:color="CCCCCC"/>
            </w:tcBorders>
            <w:shd w:fill="EAF0F4" w:val="clear"/>
          </w:tcPr>
          <w:p>
            <w:pPr>
              <w:pStyle w:val="Normal"/>
              <w:jc w:val="center"/>
              <w:rPr/>
            </w:pPr>
            <w:r>
              <w:rPr>
                <w:b w:val="false"/>
                <w:bCs w:val="false"/>
              </w:rPr>
              <w:t>12 000 DZD</w:t>
            </w:r>
          </w:p>
        </w:tc>
      </w:tr>
    </w:tbl>
    <w:p>
      <w:pPr>
        <w:pStyle w:val="Normal"/>
        <w:spacing w:before="150" w:after="200"/>
        <w:jc w:val="right"/>
        <w:rPr/>
      </w:pPr>
      <w:r>
        <w:rPr>
          <w:b/>
          <w:bCs/>
          <w:color w:val="1F3B57"/>
          <w:sz w:val="26"/>
          <w:szCs w:val="26"/>
        </w:rPr>
        <w:t>Total forfaitaire : 60 000 DZD</w:t>
      </w:r>
    </w:p>
    <w:p>
      <w:pPr>
        <w:pStyle w:val="Normal"/>
        <w:spacing w:before="0" w:after="120"/>
        <w:rPr/>
      </w:pPr>
      <w:r>
        <w:rPr/>
        <w:t>La dernière tranche correspond à une période de garantie courte (7 jours) après la mise en production : elle est versée une fois que le client a pu vérifier que le site fonctionne correctement en conditions réelles.</w:t>
      </w:r>
    </w:p>
    <w:p>
      <w:pPr>
        <w:pStyle w:val="Heading1"/>
        <w:spacing w:before="300" w:after="150"/>
        <w:rPr/>
      </w:pPr>
      <w:r>
        <w:rPr>
          <w:b/>
          <w:bCs/>
          <w:color w:val="1F3B57"/>
        </w:rPr>
        <w:t>5. Modalités de validation des phases</w:t>
      </w:r>
    </w:p>
    <w:p>
      <w:pPr>
        <w:pStyle w:val="Normal"/>
        <w:spacing w:before="0" w:after="120"/>
        <w:rPr/>
      </w:pPr>
      <w:r>
        <w:rPr/>
        <w:t>Une phase est considérée comme validée lorsque le client confirme, par signature sur le tableau de suivi (section 7) ou par écrit (e-mail), que les livrables correspondants répondent au besoin exprimé.</w:t>
      </w:r>
    </w:p>
    <w:p>
      <w:pPr>
        <w:pStyle w:val="Normal"/>
        <w:spacing w:before="0" w:after="120"/>
        <w:rPr/>
      </w:pPr>
      <w:r>
        <w:rPr/>
        <w:t>Toute demande de modification significative formulée après la validation d'une phase pourra faire l'objet d'un avenant à la présente offre (impact sur le délai et/ou le coût), communiqué au client avant toute réalisation.</w:t>
      </w:r>
    </w:p>
    <w:p>
      <w:pPr>
        <w:pStyle w:val="Heading1"/>
        <w:spacing w:before="300" w:after="150"/>
        <w:rPr/>
      </w:pPr>
      <w:r>
        <w:rPr>
          <w:b/>
          <w:bCs/>
          <w:color w:val="1F3B57"/>
        </w:rPr>
        <w:t>6. Hors périmètre</w:t>
      </w:r>
    </w:p>
    <w:p>
      <w:pPr>
        <w:pStyle w:val="ListParagraph"/>
        <w:numPr>
          <w:ilvl w:val="0"/>
          <w:numId w:val="11"/>
        </w:numPr>
        <w:spacing w:before="0" w:after="60"/>
        <w:rPr/>
      </w:pPr>
      <w:r>
        <w:rPr/>
        <w:t>Rédaction et fourniture des contenus définitifs (textes, photos des biens, mentions légales).</w:t>
      </w:r>
    </w:p>
    <w:p>
      <w:pPr>
        <w:pStyle w:val="ListParagraph"/>
        <w:numPr>
          <w:ilvl w:val="0"/>
          <w:numId w:val="12"/>
        </w:numPr>
        <w:spacing w:before="0" w:after="60"/>
        <w:rPr/>
      </w:pPr>
      <w:r>
        <w:rPr/>
        <w:t>Nom de domaine et hébergement (coûts tiers) — à la charge du client.</w:t>
      </w:r>
    </w:p>
    <w:p>
      <w:pPr>
        <w:pStyle w:val="ListParagraph"/>
        <w:numPr>
          <w:ilvl w:val="0"/>
          <w:numId w:val="13"/>
        </w:numPr>
        <w:spacing w:before="0" w:after="60"/>
        <w:rPr/>
      </w:pPr>
      <w:r>
        <w:rPr/>
        <w:t>API WhatsApp Business payante — seul un lien simple vers WhatsApp (wa.me) est inclus par défaut ; l'intégration de l'API officielle fera l'objet d'un avenant si demandée.</w:t>
      </w:r>
    </w:p>
    <w:p>
      <w:pPr>
        <w:pStyle w:val="ListParagraph"/>
        <w:numPr>
          <w:ilvl w:val="0"/>
          <w:numId w:val="14"/>
        </w:numPr>
        <w:spacing w:before="0" w:after="60"/>
        <w:rPr/>
      </w:pPr>
      <w:r>
        <w:rPr/>
        <w:t>Maintenance évolutive après la période de garantie post-livraison.</w:t>
      </w:r>
    </w:p>
    <w:p>
      <w:pPr>
        <w:pStyle w:val="Heading1"/>
        <w:spacing w:before="300" w:after="150"/>
        <w:rPr/>
      </w:pPr>
      <w:r>
        <w:rPr>
          <w:b/>
          <w:bCs/>
          <w:color w:val="1F3B57"/>
        </w:rPr>
        <w:t>7. Tableau de suivi et validation par phase</w:t>
      </w:r>
    </w:p>
    <w:p>
      <w:pPr>
        <w:pStyle w:val="Normal"/>
        <w:spacing w:before="0" w:after="120"/>
        <w:rPr/>
      </w:pPr>
      <w:r>
        <w:rPr/>
        <w:t>À compléter au fur et à mesure de l'avancement du projet, d'un commun accord entre le prestataire et le client.</w:t>
      </w:r>
    </w:p>
    <w:tbl>
      <w:tblPr>
        <w:tblW w:w="9600" w:type="dxa"/>
        <w:jc w:val="left"/>
        <w:tblInd w:w="0" w:type="dxa"/>
        <w:tblLayout w:type="fixed"/>
        <w:tblCellMar>
          <w:top w:w="80" w:type="dxa"/>
          <w:left w:w="100" w:type="dxa"/>
          <w:bottom w:w="80" w:type="dxa"/>
          <w:right w:w="100" w:type="dxa"/>
        </w:tblCellMar>
      </w:tblPr>
      <w:tblGrid>
        <w:gridCol w:w="1800"/>
        <w:gridCol w:w="3798"/>
        <w:gridCol w:w="4002"/>
      </w:tblGrid>
      <w:tr>
        <w:trPr>
          <w:tblHeader w:val="true"/>
        </w:trPr>
        <w:tc>
          <w:tcPr>
            <w:tcW w:w="1800"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Phase</w:t>
            </w:r>
          </w:p>
        </w:tc>
        <w:tc>
          <w:tcPr>
            <w:tcW w:w="3798"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Date de validation</w:t>
            </w:r>
          </w:p>
        </w:tc>
        <w:tc>
          <w:tcPr>
            <w:tcW w:w="4002" w:type="dxa"/>
            <w:tcBorders>
              <w:top w:val="single" w:sz="2" w:space="0" w:color="CCCCCC"/>
              <w:left w:val="single" w:sz="2" w:space="0" w:color="CCCCCC"/>
              <w:bottom w:val="single" w:sz="2" w:space="0" w:color="CCCCCC"/>
              <w:right w:val="single" w:sz="2" w:space="0" w:color="CCCCCC"/>
            </w:tcBorders>
            <w:shd w:fill="1F3B57" w:val="clear"/>
          </w:tcPr>
          <w:p>
            <w:pPr>
              <w:pStyle w:val="Normal"/>
              <w:jc w:val="left"/>
              <w:rPr/>
            </w:pPr>
            <w:r>
              <w:rPr>
                <w:b/>
                <w:bCs/>
                <w:color w:val="FFFFFF"/>
              </w:rPr>
              <w:t>Signature du client</w:t>
            </w:r>
          </w:p>
        </w:tc>
      </w:tr>
      <w:tr>
        <w:trPr/>
        <w:tc>
          <w:tcPr>
            <w:tcW w:w="1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Phase 0 — Squelette</w:t>
            </w:r>
          </w:p>
        </w:tc>
        <w:tc>
          <w:tcPr>
            <w:tcW w:w="3798"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c>
          <w:tcPr>
            <w:tcW w:w="4002"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r>
      <w:tr>
        <w:trPr/>
        <w:tc>
          <w:tcPr>
            <w:tcW w:w="1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Phase 1 — Socle technique + pages publiques</w:t>
            </w:r>
          </w:p>
        </w:tc>
        <w:tc>
          <w:tcPr>
            <w:tcW w:w="3798"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c>
          <w:tcPr>
            <w:tcW w:w="4002"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r>
      <w:tr>
        <w:trPr/>
        <w:tc>
          <w:tcPr>
            <w:tcW w:w="1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Phase 2 — Formulaires fonctionnels</w:t>
            </w:r>
          </w:p>
        </w:tc>
        <w:tc>
          <w:tcPr>
            <w:tcW w:w="3798"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c>
          <w:tcPr>
            <w:tcW w:w="4002"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r>
      <w:tr>
        <w:trPr/>
        <w:tc>
          <w:tcPr>
            <w:tcW w:w="1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Phase 3 — Back-office Admin + mise en production</w:t>
            </w:r>
          </w:p>
        </w:tc>
        <w:tc>
          <w:tcPr>
            <w:tcW w:w="3798"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c>
          <w:tcPr>
            <w:tcW w:w="4002"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r>
      <w:tr>
        <w:trPr/>
        <w:tc>
          <w:tcPr>
            <w:tcW w:w="1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rPr>
              <w:t>Post-livraison — Vérification finale</w:t>
            </w:r>
          </w:p>
        </w:tc>
        <w:tc>
          <w:tcPr>
            <w:tcW w:w="3798"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c>
          <w:tcPr>
            <w:tcW w:w="4002" w:type="dxa"/>
            <w:tcBorders>
              <w:top w:val="single" w:sz="2" w:space="0" w:color="CCCCCC"/>
              <w:left w:val="single" w:sz="2" w:space="0" w:color="CCCCCC"/>
              <w:bottom w:val="single" w:sz="2" w:space="0" w:color="CCCCCC"/>
              <w:right w:val="single" w:sz="2" w:space="0" w:color="CCCCCC"/>
            </w:tcBorders>
          </w:tcPr>
          <w:p>
            <w:pPr>
              <w:pStyle w:val="Normal"/>
              <w:jc w:val="left"/>
              <w:rPr>
                <w:b w:val="false"/>
                <w:bCs w:val="false"/>
              </w:rPr>
            </w:pPr>
            <w:r>
              <w:rPr/>
            </w:r>
          </w:p>
        </w:tc>
      </w:tr>
    </w:tbl>
    <w:p>
      <w:pPr>
        <w:pStyle w:val="Normal"/>
        <w:rPr/>
      </w:pPr>
      <w:r>
        <w:rPr/>
      </w:r>
      <w:r>
        <w:br w:type="page"/>
      </w:r>
    </w:p>
    <w:p>
      <w:pPr>
        <w:pStyle w:val="Heading1"/>
        <w:spacing w:before="0" w:after="150"/>
        <w:rPr/>
      </w:pPr>
      <w:r>
        <w:rPr>
          <w:b/>
          <w:bCs/>
          <w:color w:val="1F3B57"/>
        </w:rPr>
        <w:t>8. Signatures</w:t>
      </w:r>
    </w:p>
    <w:p>
      <w:pPr>
        <w:pStyle w:val="Normal"/>
        <w:spacing w:before="0" w:after="120"/>
        <w:rPr/>
      </w:pPr>
      <w:r>
        <w:rPr/>
        <w:t>Fait à _____________________, le _____________________</w:t>
      </w:r>
    </w:p>
    <w:p>
      <w:pPr>
        <w:pStyle w:val="Normal"/>
        <w:spacing w:before="0" w:after="120"/>
        <w:rPr/>
      </w:pPr>
      <w:r>
        <w:rPr/>
      </w:r>
    </w:p>
    <w:tbl>
      <w:tblPr>
        <w:tblW w:w="9600" w:type="dxa"/>
        <w:jc w:val="left"/>
        <w:tblInd w:w="0" w:type="dxa"/>
        <w:tblLayout w:type="fixed"/>
        <w:tblCellMar>
          <w:top w:w="0" w:type="dxa"/>
          <w:left w:w="108" w:type="dxa"/>
          <w:bottom w:w="0" w:type="dxa"/>
          <w:right w:w="108" w:type="dxa"/>
        </w:tblCellMar>
      </w:tblPr>
      <w:tblGrid>
        <w:gridCol w:w="4800"/>
        <w:gridCol w:w="4799"/>
      </w:tblGrid>
      <w:tr>
        <w:trPr/>
        <w:tc>
          <w:tcPr>
            <w:tcW w:w="4800" w:type="dxa"/>
            <w:tcBorders/>
          </w:tcPr>
          <w:p>
            <w:pPr>
              <w:pStyle w:val="Normal"/>
              <w:rPr/>
            </w:pPr>
            <w:r>
              <w:rPr>
                <w:b/>
                <w:bCs/>
              </w:rPr>
              <w:t>Le Prestataire</w:t>
            </w:r>
          </w:p>
          <w:p>
            <w:pPr>
              <w:pStyle w:val="Normal"/>
              <w:spacing w:before="100" w:after="0"/>
              <w:rPr/>
            </w:pPr>
            <w:r>
              <w:rPr/>
              <w:t>Nom : Aziz Sellal</w:t>
            </w:r>
          </w:p>
          <w:p>
            <w:pPr>
              <w:pStyle w:val="Normal"/>
              <w:spacing w:before="400" w:after="0"/>
              <w:rPr/>
            </w:pPr>
            <w:r>
              <w:rPr/>
              <w:t>Signature :</w:t>
            </w:r>
          </w:p>
        </w:tc>
        <w:tc>
          <w:tcPr>
            <w:tcW w:w="4799" w:type="dxa"/>
            <w:tcBorders/>
          </w:tcPr>
          <w:p>
            <w:pPr>
              <w:pStyle w:val="Normal"/>
              <w:rPr/>
            </w:pPr>
            <w:r>
              <w:rPr>
                <w:b/>
                <w:bCs/>
              </w:rPr>
              <w:t>Le Client</w:t>
            </w:r>
          </w:p>
          <w:p>
            <w:pPr>
              <w:pStyle w:val="Normal"/>
              <w:spacing w:before="100" w:after="0"/>
              <w:rPr/>
            </w:pPr>
            <w:r>
              <w:rPr/>
              <w:t>Nom : _____________________________</w:t>
            </w:r>
          </w:p>
          <w:p>
            <w:pPr>
              <w:pStyle w:val="Normal"/>
              <w:spacing w:before="400" w:after="0"/>
              <w:rPr/>
            </w:pPr>
            <w:r>
              <w:rPr/>
              <w:t>Signature :</w:t>
            </w:r>
          </w:p>
        </w:tc>
      </w:tr>
    </w:tbl>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Lato">
    <w:altName w:val="sans-serif"/>
    <w:charset w:val="00"/>
    <w:family w:val="auto"/>
    <w:pitch w:val="default"/>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suppressAutoHyphens w:val="true"/>
      </w:pPr>
    </w:pPrDefault>
  </w:docDefault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2"/>
      <w:szCs w:val="22"/>
      <w:lang w:val="fr-FR"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ontact@ayweb.dz"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LibreOffice/25.2.7.2$Windows_X86_64 LibreOffice_project/5cbfd1ab6520636bb5f7b99185aa69bd7456825d</Application>
  <AppVersion>15.0000</AppVersion>
  <Pages>4</Pages>
  <Words>738</Words>
  <Characters>3940</Characters>
  <CharactersWithSpaces>4587</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2026-10-05T20:29:27Z</dcterms:created>
  <dc:creator>Un-named</dc:creator>
  <dc:description/>
  <dc:language>fr-FR</dc:language>
  <cp:lastModifiedBy/>
  <dcterms:modified xsi:type="dcterms:W3CDTF">2026-10-05T23:19:30Z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