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1F3864"/>
          <w:sz w:val="36"/>
          <w:szCs w:val="36"/>
        </w:rPr>
        <w:t xml:space="preserve">SMART-X IOT MESH ECOSYSTEM</w:t>
      </w:r>
    </w:p>
    <w:p>
      <w:pPr>
        <w:spacing w:after="60" w:before="0"/>
        <w:jc w:val="center"/>
      </w:pPr>
      <w:r>
        <w:rPr>
          <w:rFonts w:ascii="Times New Roman" w:cs="Times New Roman" w:eastAsia="Times New Roman" w:hAnsi="Times New Roman"/>
          <w:color w:val="2E5090"/>
          <w:sz w:val="24"/>
          <w:szCs w:val="24"/>
        </w:rPr>
        <w:t xml:space="preserve">Portfolio of Evidence — Part 1, Task 1: Research Report</w:t>
      </w:r>
    </w:p>
    <w:p>
      <w:pPr>
        <w:spacing w:after="120" w:before="0"/>
        <w:jc w:val="center"/>
      </w:pPr>
      <w:r>
        <w:rPr>
          <w:rFonts w:ascii="Times New Roman" w:cs="Times New Roman" w:eastAsia="Times New Roman" w:hAnsi="Times New Roman"/>
          <w:b w:val="false"/>
          <w:bCs w:val="false"/>
          <w:i/>
          <w:iCs/>
          <w:color w:val="555555"/>
          <w:sz w:val="22"/>
          <w:szCs w:val="22"/>
        </w:rPr>
        <w:t xml:space="preserve">Developer-Centric Dashboard Engagement Strategies for IoT Telemetry Management</w:t>
      </w:r>
    </w:p>
    <w:p>
      <w:pPr>
        <w:spacing w:after="60" w:before="0"/>
        <w:jc w:val="center"/>
      </w:pPr>
      <w:r>
        <w:rPr>
          <w:rFonts w:ascii="Times New Roman" w:cs="Times New Roman" w:eastAsia="Times New Roman" w:hAnsi="Times New Roman"/>
          <w:color w:val="CCCCCC"/>
          <w:sz w:val="20"/>
          <w:szCs w:val="20"/>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color="EEF2FA" w:val="clear"/>
          </w:tcPr>
          <w:p>
            <w:pPr>
              <w:spacing w:after="40"/>
            </w:pPr>
            <w:r>
              <w:rPr>
                <w:rFonts w:ascii="Times New Roman" w:cs="Times New Roman" w:eastAsia="Times New Roman" w:hAnsi="Times New Roman"/>
                <w:b/>
                <w:bCs/>
                <w:sz w:val="24"/>
                <w:szCs w:val="24"/>
              </w:rPr>
              <w:t xml:space="preserve">Institution</w:t>
            </w:r>
          </w:p>
        </w:tc>
        <w:tc>
          <w:tcPr>
            <w:tcW w:type="dxa" w:w="7000"/>
          </w:tcPr>
          <w:p>
            <w:pPr>
              <w:spacing w:after="40"/>
            </w:pPr>
            <w:r>
              <w:rPr>
                <w:rFonts w:ascii="Times New Roman" w:cs="Times New Roman" w:eastAsia="Times New Roman" w:hAnsi="Times New Roman"/>
                <w:sz w:val="24"/>
                <w:szCs w:val="24"/>
              </w:rPr>
              <w:t xml:space="preserve">Emeris, Ruimsig, Gauteng</w:t>
            </w:r>
          </w:p>
        </w:tc>
      </w:tr>
      <w:tr>
        <w:tc>
          <w:tcPr>
            <w:tcW w:type="dxa" w:w="2000"/>
            <w:shd w:color="EEF2FA" w:val="clear"/>
          </w:tcPr>
          <w:p>
            <w:pPr>
              <w:spacing w:after="40"/>
            </w:pPr>
            <w:r>
              <w:rPr>
                <w:rFonts w:ascii="Times New Roman" w:cs="Times New Roman" w:eastAsia="Times New Roman" w:hAnsi="Times New Roman"/>
                <w:b/>
                <w:bCs/>
                <w:sz w:val="24"/>
                <w:szCs w:val="24"/>
              </w:rPr>
              <w:t xml:space="preserve">Programme</w:t>
            </w:r>
          </w:p>
        </w:tc>
        <w:tc>
          <w:tcPr>
            <w:tcW w:type="dxa" w:w="7000"/>
          </w:tcPr>
          <w:p>
            <w:pPr>
              <w:spacing w:after="40"/>
            </w:pPr>
            <w:r>
              <w:rPr>
                <w:rFonts w:ascii="Times New Roman" w:cs="Times New Roman" w:eastAsia="Times New Roman" w:hAnsi="Times New Roman"/>
                <w:sz w:val="24"/>
                <w:szCs w:val="24"/>
              </w:rPr>
              <w:t xml:space="preserve">BSc Computer Science (Application Development)</w:t>
            </w:r>
          </w:p>
        </w:tc>
      </w:tr>
      <w:tr>
        <w:tc>
          <w:tcPr>
            <w:tcW w:type="dxa" w:w="2000"/>
            <w:shd w:color="EEF2FA" w:val="clear"/>
          </w:tcPr>
          <w:p>
            <w:pPr>
              <w:spacing w:after="40"/>
            </w:pPr>
            <w:r>
              <w:rPr>
                <w:rFonts w:ascii="Times New Roman" w:cs="Times New Roman" w:eastAsia="Times New Roman" w:hAnsi="Times New Roman"/>
                <w:b/>
                <w:bCs/>
                <w:sz w:val="24"/>
                <w:szCs w:val="24"/>
              </w:rPr>
              <w:t xml:space="preserve">Date</w:t>
            </w:r>
          </w:p>
        </w:tc>
        <w:tc>
          <w:tcPr>
            <w:tcW w:type="dxa" w:w="7000"/>
          </w:tcPr>
          <w:p>
            <w:pPr>
              <w:spacing w:after="40"/>
            </w:pPr>
            <w:r>
              <w:rPr>
                <w:rFonts w:ascii="Times New Roman" w:cs="Times New Roman" w:eastAsia="Times New Roman" w:hAnsi="Times New Roman"/>
                <w:sz w:val="24"/>
                <w:szCs w:val="24"/>
              </w:rPr>
              <w:t xml:space="preserve">September 2026</w:t>
            </w:r>
          </w:p>
        </w:tc>
      </w:tr>
    </w:tbl>
    <w:p>
      <w:pPr>
        <w:spacing w:after="80"/>
      </w:pPr>
    </w:p>
    <w:p>
      <w:pPr>
        <w:spacing w:after="80"/>
      </w:pPr>
    </w:p>
    <w:p>
      <w:pPr>
        <w:pStyle w:val="Heading1"/>
        <w:pBdr>
          <w:bottom w:val="single" w:color="1F3864" w:sz="6" w:space="4"/>
        </w:pBdr>
        <w:spacing w:after="120" w:before="280"/>
      </w:pPr>
      <w:r>
        <w:rPr>
          <w:rFonts w:ascii="Times New Roman" w:cs="Times New Roman" w:eastAsia="Times New Roman" w:hAnsi="Times New Roman"/>
          <w:b/>
          <w:bCs/>
          <w:color w:val="1F3864"/>
          <w:sz w:val="28"/>
          <w:szCs w:val="28"/>
        </w:rPr>
        <w:t xml:space="preserve">1. User Engagement and Dashboard Interactivity Strategies</w:t>
      </w:r>
    </w:p>
    <w:p>
      <w:pPr>
        <w:spacing w:after="140" w:line="360" w:lineRule="auto"/>
        <w:ind/>
        <w:jc w:val="both"/>
      </w:pPr>
      <w:r>
        <w:rPr>
          <w:rFonts w:ascii="Times New Roman" w:cs="Times New Roman" w:eastAsia="Times New Roman" w:hAnsi="Times New Roman"/>
          <w:b w:val="false"/>
          <w:bCs w:val="false"/>
          <w:i w:val="false"/>
          <w:iCs w:val="false"/>
          <w:color w:val="000000"/>
          <w:sz w:val="24"/>
          <w:szCs w:val="24"/>
        </w:rPr>
        <w:t xml:space="preserve">High-throughput IoT telemetry environments produce continuous, multi-typed data streams — floats, integers, and booleans — at rates that overwhelm engineers who rely on static tables or unstructured log outputs. Research consistently shows that well-designed interactive dashboards reduce cognitive overload and shorten mean time to resolution (MTTR) for anomalous events (Almasi et al., 2023). The five strategies identified below reflect both academic literature and industry best practices applicable to the Smart-X ecosystem.</w:t>
      </w:r>
    </w:p>
    <w:p>
      <w:pPr>
        <w:spacing w:after="80"/>
      </w:pPr>
    </w:p>
    <w:p>
      <w:pPr>
        <w:pStyle w:val="Heading2"/>
        <w:spacing w:after="80" w:before="240"/>
      </w:pPr>
      <w:r>
        <w:rPr>
          <w:rFonts w:ascii="Times New Roman" w:cs="Times New Roman" w:eastAsia="Times New Roman" w:hAnsi="Times New Roman"/>
          <w:b/>
          <w:bCs/>
          <w:color w:val="2E5090"/>
          <w:sz w:val="24"/>
          <w:szCs w:val="24"/>
        </w:rPr>
        <w:t xml:space="preserve">1.1  Summary of Five Identified Strategies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000"/>
      </w:tblGrid>
      <w:tr>
        <w:trPr>
          <w:tblHeader/>
        </w:trPr>
        <w:tc>
          <w:tcPr>
            <w:tcW w:type="dxa" w:w="500"/>
            <w:shd w:color="1F3864" w:val="clear"/>
            <w:vAlign w:val="center"/>
          </w:tcPr>
          <w:p>
            <w:pPr>
              <w:spacing w:after="60"/>
            </w:pPr>
            <w:r>
              <w:rPr>
                <w:rFonts w:ascii="Times New Roman" w:cs="Times New Roman" w:eastAsia="Times New Roman" w:hAnsi="Times New Roman"/>
                <w:b/>
                <w:bCs/>
                <w:color w:val="FFFFFF"/>
                <w:sz w:val="20"/>
                <w:szCs w:val="20"/>
              </w:rPr>
              <w:t xml:space="preserve">#</w:t>
            </w:r>
          </w:p>
        </w:tc>
        <w:tc>
          <w:tcPr>
            <w:tcW w:type="dxa" w:w="3500"/>
            <w:shd w:color="1F3864" w:val="clear"/>
            <w:vAlign w:val="center"/>
          </w:tcPr>
          <w:p>
            <w:pPr>
              <w:spacing w:after="60"/>
            </w:pPr>
            <w:r>
              <w:rPr>
                <w:rFonts w:ascii="Times New Roman" w:cs="Times New Roman" w:eastAsia="Times New Roman" w:hAnsi="Times New Roman"/>
                <w:b/>
                <w:bCs/>
                <w:color w:val="FFFFFF"/>
                <w:sz w:val="20"/>
                <w:szCs w:val="20"/>
              </w:rPr>
              <w:t xml:space="preserve">Strategy</w:t>
            </w:r>
          </w:p>
        </w:tc>
        <w:tc>
          <w:tcPr>
            <w:tcW w:type="dxa" w:w="5000"/>
            <w:shd w:color="1F3864" w:val="clear"/>
            <w:vAlign w:val="center"/>
          </w:tcPr>
          <w:p>
            <w:pPr>
              <w:spacing w:after="60"/>
            </w:pPr>
            <w:r>
              <w:rPr>
                <w:rFonts w:ascii="Times New Roman" w:cs="Times New Roman" w:eastAsia="Times New Roman" w:hAnsi="Times New Roman"/>
                <w:b/>
                <w:bCs/>
                <w:color w:val="FFFFFF"/>
                <w:sz w:val="20"/>
                <w:szCs w:val="20"/>
              </w:rPr>
              <w:t xml:space="preserve">Key Benefit</w:t>
            </w:r>
          </w:p>
        </w:tc>
      </w:tr>
      <w:tr>
        <w:tc>
          <w:tcPr>
            <w:tcW w:type="dxa" w:w="500"/>
            <w:shd w:color="E8EEF7" w:val="clear"/>
            <w:vAlign w:val="center"/>
          </w:tcPr>
          <w:p>
            <w:pPr>
              <w:spacing w:after="60"/>
            </w:pPr>
            <w:r>
              <w:rPr>
                <w:rFonts w:ascii="Times New Roman" w:cs="Times New Roman" w:eastAsia="Times New Roman" w:hAnsi="Times New Roman"/>
                <w:sz w:val="20"/>
                <w:szCs w:val="20"/>
              </w:rPr>
              <w:t xml:space="preserve">1</w:t>
            </w:r>
          </w:p>
        </w:tc>
        <w:tc>
          <w:tcPr>
            <w:tcW w:type="dxa" w:w="3500"/>
            <w:shd w:color="E8EEF7" w:val="clear"/>
            <w:vAlign w:val="center"/>
          </w:tcPr>
          <w:p>
            <w:pPr>
              <w:spacing w:after="60"/>
            </w:pPr>
            <w:r>
              <w:rPr>
                <w:rFonts w:ascii="Times New Roman" w:cs="Times New Roman" w:eastAsia="Times New Roman" w:hAnsi="Times New Roman"/>
                <w:sz w:val="20"/>
                <w:szCs w:val="20"/>
              </w:rPr>
              <w:t xml:space="preserve">Real-Time Visual Telemetry Streaming</w:t>
            </w:r>
          </w:p>
        </w:tc>
        <w:tc>
          <w:tcPr>
            <w:tcW w:type="dxa" w:w="5000"/>
            <w:shd w:color="E8EEF7" w:val="clear"/>
            <w:vAlign w:val="center"/>
          </w:tcPr>
          <w:p>
            <w:pPr>
              <w:spacing w:after="60"/>
            </w:pPr>
            <w:r>
              <w:rPr>
                <w:rFonts w:ascii="Times New Roman" w:cs="Times New Roman" w:eastAsia="Times New Roman" w:hAnsi="Times New Roman"/>
                <w:sz w:val="20"/>
                <w:szCs w:val="20"/>
              </w:rPr>
              <w:t xml:space="preserve">Instant visibility of sensor streams; engineers see spikes as they happen.</w:t>
            </w:r>
          </w:p>
        </w:tc>
      </w:tr>
      <w:tr>
        <w:tc>
          <w:tcPr>
            <w:tcW w:type="dxa" w:w="500"/>
            <w:shd w:color="FFFFFF" w:val="clear"/>
            <w:vAlign w:val="center"/>
          </w:tcPr>
          <w:p>
            <w:pPr>
              <w:spacing w:after="60"/>
            </w:pPr>
            <w:r>
              <w:rPr>
                <w:rFonts w:ascii="Times New Roman" w:cs="Times New Roman" w:eastAsia="Times New Roman" w:hAnsi="Times New Roman"/>
                <w:sz w:val="20"/>
                <w:szCs w:val="20"/>
              </w:rPr>
              <w:t xml:space="preserve">2</w:t>
            </w:r>
          </w:p>
        </w:tc>
        <w:tc>
          <w:tcPr>
            <w:tcW w:type="dxa" w:w="3500"/>
            <w:shd w:color="FFFFFF" w:val="clear"/>
            <w:vAlign w:val="center"/>
          </w:tcPr>
          <w:p>
            <w:pPr>
              <w:spacing w:after="60"/>
            </w:pPr>
            <w:r>
              <w:rPr>
                <w:rFonts w:ascii="Times New Roman" w:cs="Times New Roman" w:eastAsia="Times New Roman" w:hAnsi="Times New Roman"/>
                <w:sz w:val="20"/>
                <w:szCs w:val="20"/>
              </w:rPr>
              <w:t xml:space="preserve">Semantic Colour-Coded Threshold Alerting</w:t>
            </w:r>
          </w:p>
        </w:tc>
        <w:tc>
          <w:tcPr>
            <w:tcW w:type="dxa" w:w="5000"/>
            <w:shd w:color="FFFFFF" w:val="clear"/>
            <w:vAlign w:val="center"/>
          </w:tcPr>
          <w:p>
            <w:pPr>
              <w:spacing w:after="60"/>
            </w:pPr>
            <w:r>
              <w:rPr>
                <w:rFonts w:ascii="Times New Roman" w:cs="Times New Roman" w:eastAsia="Times New Roman" w:hAnsi="Times New Roman"/>
                <w:sz w:val="20"/>
                <w:szCs w:val="20"/>
              </w:rPr>
              <w:t xml:space="preserve">Traffic-light (green/amber/red) palette guides the eye to critical readings without reading every value.</w:t>
            </w:r>
          </w:p>
        </w:tc>
      </w:tr>
      <w:tr>
        <w:tc>
          <w:tcPr>
            <w:tcW w:type="dxa" w:w="500"/>
            <w:shd w:color="E8EEF7" w:val="clear"/>
            <w:vAlign w:val="center"/>
          </w:tcPr>
          <w:p>
            <w:pPr>
              <w:spacing w:after="60"/>
            </w:pPr>
            <w:r>
              <w:rPr>
                <w:rFonts w:ascii="Times New Roman" w:cs="Times New Roman" w:eastAsia="Times New Roman" w:hAnsi="Times New Roman"/>
                <w:sz w:val="20"/>
                <w:szCs w:val="20"/>
              </w:rPr>
              <w:t xml:space="preserve">3</w:t>
            </w:r>
          </w:p>
        </w:tc>
        <w:tc>
          <w:tcPr>
            <w:tcW w:type="dxa" w:w="3500"/>
            <w:shd w:color="E8EEF7" w:val="clear"/>
            <w:vAlign w:val="center"/>
          </w:tcPr>
          <w:p>
            <w:pPr>
              <w:spacing w:after="60"/>
            </w:pPr>
            <w:r>
              <w:rPr>
                <w:rFonts w:ascii="Times New Roman" w:cs="Times New Roman" w:eastAsia="Times New Roman" w:hAnsi="Times New Roman"/>
                <w:sz w:val="20"/>
                <w:szCs w:val="20"/>
              </w:rPr>
              <w:t xml:space="preserve">Proactive Alert Gamification</w:t>
            </w:r>
          </w:p>
        </w:tc>
        <w:tc>
          <w:tcPr>
            <w:tcW w:type="dxa" w:w="5000"/>
            <w:shd w:color="E8EEF7" w:val="clear"/>
            <w:vAlign w:val="center"/>
          </w:tcPr>
          <w:p>
            <w:pPr>
              <w:spacing w:after="60"/>
            </w:pPr>
            <w:r>
              <w:rPr>
                <w:rFonts w:ascii="Times New Roman" w:cs="Times New Roman" w:eastAsia="Times New Roman" w:hAnsi="Times New Roman"/>
                <w:sz w:val="20"/>
                <w:szCs w:val="20"/>
              </w:rPr>
              <w:t xml:space="preserve">Achievement badges and resolution scores motivate engineers to close incidents quickly.</w:t>
            </w:r>
          </w:p>
        </w:tc>
      </w:tr>
      <w:tr>
        <w:tc>
          <w:tcPr>
            <w:tcW w:type="dxa" w:w="500"/>
            <w:shd w:color="FFFFFF" w:val="clear"/>
            <w:vAlign w:val="center"/>
          </w:tcPr>
          <w:p>
            <w:pPr>
              <w:spacing w:after="60"/>
            </w:pPr>
            <w:r>
              <w:rPr>
                <w:rFonts w:ascii="Times New Roman" w:cs="Times New Roman" w:eastAsia="Times New Roman" w:hAnsi="Times New Roman"/>
                <w:sz w:val="20"/>
                <w:szCs w:val="20"/>
              </w:rPr>
              <w:t xml:space="preserve">4</w:t>
            </w:r>
          </w:p>
        </w:tc>
        <w:tc>
          <w:tcPr>
            <w:tcW w:type="dxa" w:w="3500"/>
            <w:shd w:color="FFFFFF" w:val="clear"/>
            <w:vAlign w:val="center"/>
          </w:tcPr>
          <w:p>
            <w:pPr>
              <w:spacing w:after="60"/>
            </w:pPr>
            <w:r>
              <w:rPr>
                <w:rFonts w:ascii="Times New Roman" w:cs="Times New Roman" w:eastAsia="Times New Roman" w:hAnsi="Times New Roman"/>
                <w:sz w:val="20"/>
                <w:szCs w:val="20"/>
              </w:rPr>
              <w:t xml:space="preserve">Progressive Disclosure Onboarding</w:t>
            </w:r>
          </w:p>
        </w:tc>
        <w:tc>
          <w:tcPr>
            <w:tcW w:type="dxa" w:w="5000"/>
            <w:shd w:color="FFFFFF" w:val="clear"/>
            <w:vAlign w:val="center"/>
          </w:tcPr>
          <w:p>
            <w:pPr>
              <w:spacing w:after="60"/>
            </w:pPr>
            <w:r>
              <w:rPr>
                <w:rFonts w:ascii="Times New Roman" w:cs="Times New Roman" w:eastAsia="Times New Roman" w:hAnsi="Times New Roman"/>
                <w:sz w:val="20"/>
                <w:szCs w:val="20"/>
              </w:rPr>
              <w:t xml:space="preserve">Hides complexity until needed; new engineers reach proficiency faster and with less frustration.</w:t>
            </w:r>
          </w:p>
        </w:tc>
      </w:tr>
      <w:tr>
        <w:tc>
          <w:tcPr>
            <w:tcW w:type="dxa" w:w="500"/>
            <w:shd w:color="E8EEF7" w:val="clear"/>
            <w:vAlign w:val="center"/>
          </w:tcPr>
          <w:p>
            <w:pPr>
              <w:spacing w:after="60"/>
            </w:pPr>
            <w:r>
              <w:rPr>
                <w:rFonts w:ascii="Times New Roman" w:cs="Times New Roman" w:eastAsia="Times New Roman" w:hAnsi="Times New Roman"/>
                <w:sz w:val="20"/>
                <w:szCs w:val="20"/>
              </w:rPr>
              <w:t xml:space="preserve">5</w:t>
            </w:r>
          </w:p>
        </w:tc>
        <w:tc>
          <w:tcPr>
            <w:tcW w:type="dxa" w:w="3500"/>
            <w:shd w:color="E8EEF7" w:val="clear"/>
            <w:vAlign w:val="center"/>
          </w:tcPr>
          <w:p>
            <w:pPr>
              <w:spacing w:after="60"/>
            </w:pPr>
            <w:r>
              <w:rPr>
                <w:rFonts w:ascii="Times New Roman" w:cs="Times New Roman" w:eastAsia="Times New Roman" w:hAnsi="Times New Roman"/>
                <w:sz w:val="20"/>
                <w:szCs w:val="20"/>
              </w:rPr>
              <w:t xml:space="preserve">AI-Assisted Anomaly Prediction Overlay</w:t>
            </w:r>
          </w:p>
        </w:tc>
        <w:tc>
          <w:tcPr>
            <w:tcW w:type="dxa" w:w="5000"/>
            <w:shd w:color="E8EEF7" w:val="clear"/>
            <w:vAlign w:val="center"/>
          </w:tcPr>
          <w:p>
            <w:pPr>
              <w:spacing w:after="60"/>
            </w:pPr>
            <w:r>
              <w:rPr>
                <w:rFonts w:ascii="Times New Roman" w:cs="Times New Roman" w:eastAsia="Times New Roman" w:hAnsi="Times New Roman"/>
                <w:sz w:val="20"/>
                <w:szCs w:val="20"/>
              </w:rPr>
              <w:t xml:space="preserve">Machine-learning forecasts flag impending faults before thresholds are breached.</w:t>
            </w:r>
          </w:p>
        </w:tc>
      </w:tr>
    </w:tbl>
    <w:p>
      <w:pPr>
        <w:spacing w:after="80"/>
      </w:pPr>
    </w:p>
    <w:p>
      <w:pPr>
        <w:spacing w:after="100" w:before="100" w:line="360" w:lineRule="auto"/>
        <w:ind w:left="431"/>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Real-Time Visual Telemetry Streaming</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Live, continuously refreshing time-series charts (using WebSocket or SignalR) allow engineers to observe sensor readings — soil moisture floats, wattage integers, valve booleans — as they are published. Scarpa et al. (2021) demonstrated that real-time dashboards dramatically improve situational awareness in smart campus deployments, enabling staff to identify abnormal consumption patterns without waiting for batch reports.</w:t>
      </w:r>
    </w:p>
    <w:p>
      <w:pPr>
        <w:spacing w:after="80"/>
      </w:pPr>
    </w:p>
    <w:p>
      <w:pPr>
        <w:spacing w:after="100" w:before="100" w:line="360" w:lineRule="auto"/>
        <w:ind w:left="431"/>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Semantic Colour-Coded Threshold Alerting</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Readings are mapped to a three-tier traffic-light palette: green (nominal), amber (warning), red (critical breach). Almasi et al. (2023) identify colour as the highest-impact pre-attentive attribute for dashboard usability, enabling operators to assess the health of hundreds of sensors in under three seconds. The ISO 22324 standard formalises colour-state conventions for hazard alerts, making the scheme internationally legible.</w:t>
      </w:r>
    </w:p>
    <w:p>
      <w:pPr>
        <w:spacing w:after="80"/>
      </w:pPr>
    </w:p>
    <w:p>
      <w:pPr>
        <w:spacing w:after="100" w:before="100" w:line="360" w:lineRule="auto"/>
        <w:ind w:left="431"/>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Proactive Alert Gamification</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Badge and leaderboard mechanics incentivise engineers to acknowledge and resolve alerts quickly. Mehar et al. (2025) applied gamification to a smart water IoT system, recording a significant improvement in user engagement and reduction in unacknowledged alerts. Points awarded for first-response speed and successful root-cause identification create intrinsic motivation to engage with the monitoring console.</w:t>
      </w:r>
    </w:p>
    <w:p>
      <w:pPr>
        <w:spacing w:after="80"/>
      </w:pPr>
    </w:p>
    <w:p>
      <w:pPr>
        <w:spacing w:after="100" w:before="100" w:line="360" w:lineRule="auto"/>
        <w:ind w:left="431"/>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Progressive Disclosure Onboarding</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Complex telemetry management interfaces risk overwhelming new engineers. Progressive onboarding reveals functionality in stages aligned to user proficiency, suppressing advanced features until the user has demonstrated competency with core views. Garzón-Orjuela et al. (2024) found that structured onboarding landing pages significantly increased meaningful engagement with clinical dashboards, a pattern directly transferable to IoT management consoles.</w:t>
      </w:r>
    </w:p>
    <w:p>
      <w:pPr>
        <w:spacing w:after="80"/>
      </w:pPr>
    </w:p>
    <w:p>
      <w:pPr>
        <w:spacing w:after="100" w:before="100" w:line="360" w:lineRule="auto"/>
        <w:ind w:left="431"/>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AI-Assisted Anomaly Prediction Overlay</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Machine-learning models (e.g., LSTM or GRU-based networks) can be overlaid on the live telemetry chart as a predicted-range band. When a sensor reading exits its predicted range, a visual deviation indicator fires before the static threshold is crossed, giving engineers an early-warning window. Ahmed et al. (2024) review deep learning approaches that achieve this kind of real-time IoT anomaly detection, while Putina and Rossi (2021) demonstrate stream-based clustering for online telemetry anomaly detection.</w:t>
      </w:r>
    </w:p>
    <w:p>
      <w:pPr>
        <w:spacing w:after="80"/>
      </w:pPr>
    </w:p>
    <w:p>
      <w:pPr>
        <w:spacing w:after="80"/>
      </w:pPr>
    </w:p>
    <w:p>
      <w:pPr>
        <w:pStyle w:val="Heading1"/>
        <w:pBdr>
          <w:bottom w:val="single" w:color="1F3864" w:sz="6" w:space="4"/>
        </w:pBdr>
        <w:spacing w:after="120" w:before="280"/>
      </w:pPr>
      <w:r>
        <w:rPr>
          <w:rFonts w:ascii="Times New Roman" w:cs="Times New Roman" w:eastAsia="Times New Roman" w:hAnsi="Times New Roman"/>
          <w:b/>
          <w:bCs/>
          <w:color w:val="1F3864"/>
          <w:sz w:val="28"/>
          <w:szCs w:val="28"/>
        </w:rPr>
        <w:t xml:space="preserve">2. Justification of Chosen Strategy: Semantic Colour-Coded Threshold Alerting with Real-Time Visual Telemetry Streaming</w:t>
      </w:r>
    </w:p>
    <w:p>
      <w:pPr>
        <w:pStyle w:val="Heading2"/>
        <w:spacing w:after="80" w:before="240"/>
      </w:pPr>
      <w:r>
        <w:rPr>
          <w:rFonts w:ascii="Times New Roman" w:cs="Times New Roman" w:eastAsia="Times New Roman" w:hAnsi="Times New Roman"/>
          <w:b/>
          <w:bCs/>
          <w:color w:val="2E5090"/>
          <w:sz w:val="24"/>
          <w:szCs w:val="24"/>
        </w:rPr>
        <w:t xml:space="preserve">2.1  Introduction and Rationale</w:t>
      </w:r>
    </w:p>
    <w:p>
      <w:pPr>
        <w:spacing w:after="140" w:line="360" w:lineRule="auto"/>
        <w:ind/>
        <w:jc w:val="both"/>
      </w:pPr>
      <w:r>
        <w:rPr>
          <w:rFonts w:ascii="Times New Roman" w:cs="Times New Roman" w:eastAsia="Times New Roman" w:hAnsi="Times New Roman"/>
          <w:b w:val="false"/>
          <w:bCs w:val="false"/>
          <w:i w:val="false"/>
          <w:iCs w:val="false"/>
          <w:color w:val="000000"/>
          <w:sz w:val="24"/>
          <w:szCs w:val="24"/>
        </w:rPr>
        <w:t xml:space="preserve">Of the five strategies reviewed, the combination of Semantic Colour-Coded Threshold Alerting and Real-Time Visual Telemetry Streaming is the most effective for the Smart-X IoT Mesh Ecosystem. The justification is grounded in two complementary principles: pre-attentive visual processing (the eye detects colour change before conscious reading begins) and immediacy of feedback (live data removes the blind spot introduced by polling or batch refresh cycles). For the Smart-X scenario — thousands of ESP32 microcontrollers publishing heterogeneous telemetry across hydroponic farms, real estate utility trackers, and smart grid installations — engineers cannot afford to scan numeric tables; they need a system that draws the eye to problems instantly.</w:t>
      </w:r>
    </w:p>
    <w:p>
      <w:pPr>
        <w:pStyle w:val="Heading2"/>
        <w:spacing w:after="80" w:before="240"/>
      </w:pPr>
      <w:r>
        <w:rPr>
          <w:rFonts w:ascii="Times New Roman" w:cs="Times New Roman" w:eastAsia="Times New Roman" w:hAnsi="Times New Roman"/>
          <w:b/>
          <w:bCs/>
          <w:color w:val="2E5090"/>
          <w:sz w:val="24"/>
          <w:szCs w:val="24"/>
        </w:rPr>
        <w:t xml:space="preserve">2.2  Pre-Attentive Attribute Theory Applied to IoT Dashboards</w:t>
      </w:r>
    </w:p>
    <w:p>
      <w:pPr>
        <w:spacing w:after="140" w:line="360" w:lineRule="auto"/>
        <w:ind/>
        <w:jc w:val="both"/>
      </w:pPr>
      <w:r>
        <w:rPr>
          <w:rFonts w:ascii="Times New Roman" w:cs="Times New Roman" w:eastAsia="Times New Roman" w:hAnsi="Times New Roman"/>
          <w:b w:val="false"/>
          <w:bCs w:val="false"/>
          <w:i w:val="false"/>
          <w:iCs w:val="false"/>
          <w:color w:val="000000"/>
          <w:sz w:val="24"/>
          <w:szCs w:val="24"/>
        </w:rPr>
        <w:t xml:space="preserve">Visual cognition research, synthesised by Almasi et al. (2023, p. 4) in their systematic review of dashboard usability tools, identifies colour as a </w:t>
      </w:r>
      <w:r>
        <w:rPr>
          <w:rFonts w:ascii="Times New Roman" w:cs="Times New Roman" w:eastAsia="Times New Roman" w:hAnsi="Times New Roman"/>
          <w:b w:val="false"/>
          <w:bCs w:val="false"/>
          <w:i/>
          <w:iCs/>
          <w:color w:val="000000"/>
          <w:sz w:val="24"/>
          <w:szCs w:val="24"/>
        </w:rPr>
        <w:t xml:space="preserve">pre-attentive attribute</w:t>
      </w:r>
      <w:r>
        <w:rPr>
          <w:rFonts w:ascii="Times New Roman" w:cs="Times New Roman" w:eastAsia="Times New Roman" w:hAnsi="Times New Roman"/>
          <w:b w:val="false"/>
          <w:bCs w:val="false"/>
          <w:i w:val="false"/>
          <w:iCs w:val="false"/>
          <w:color w:val="000000"/>
          <w:sz w:val="24"/>
          <w:szCs w:val="24"/>
        </w:rPr>
        <w:t xml:space="preserve"> — one processed by the brain's low-level visual cortex before focused attention is engaged. When all nominal sensors are green and a single sensor reports a soil-moisture spike, the red cell becomes a visual "pop-out" regardless of how many sensors are on screen. This means that as the Smart-X sensor count scales from dozens to thousands, the operator's detection latency for an anomalous reading remains near-constant, rather than growing linearly with sensor count. This scalability property is critical for a deployment that spans geographically distributed environments.</w:t>
      </w:r>
    </w:p>
    <w:p>
      <w:pPr>
        <w:spacing w:after="140" w:line="360" w:lineRule="auto"/>
        <w:ind/>
        <w:jc w:val="both"/>
      </w:pPr>
      <w:r>
        <w:rPr>
          <w:rFonts w:ascii="Times New Roman" w:cs="Times New Roman" w:eastAsia="Times New Roman" w:hAnsi="Times New Roman"/>
          <w:b w:val="false"/>
          <w:bCs w:val="false"/>
          <w:i w:val="false"/>
          <w:iCs w:val="false"/>
          <w:color w:val="000000"/>
          <w:sz w:val="24"/>
          <w:szCs w:val="24"/>
        </w:rPr>
        <w:t xml:space="preserve">The three-tier alert palette — green (nominal), amber (approaching threshold), red (threshold breached / sensor offline) — maps directly onto the three data states that Smart-X engineers need to distinguish: normal operation, a developing fault that warrants monitoring, and an active incident requiring immediate intervention. The amber tier is particularly important for sensor-disconnect scenarios: a value of null or an absent heartbeat packet can be rendered in a distinct amber-grey hue, visually separating "sensor offline" from "sensor reading high", which prevents the dangerous misinterpretation of silence as normalcy (Ramaprasad et al., 2023).</w:t>
      </w:r>
    </w:p>
    <w:p>
      <w:pPr>
        <w:pStyle w:val="Heading2"/>
        <w:spacing w:after="80" w:before="240"/>
      </w:pPr>
      <w:r>
        <w:rPr>
          <w:rFonts w:ascii="Times New Roman" w:cs="Times New Roman" w:eastAsia="Times New Roman" w:hAnsi="Times New Roman"/>
          <w:b/>
          <w:bCs/>
          <w:color w:val="2E5090"/>
          <w:sz w:val="24"/>
          <w:szCs w:val="24"/>
        </w:rPr>
        <w:t xml:space="preserve">2.3  Real-Time Feedback and Anomaly Spike Detection</w:t>
      </w:r>
    </w:p>
    <w:p>
      <w:pPr>
        <w:spacing w:after="140" w:line="360" w:lineRule="auto"/>
        <w:ind/>
        <w:jc w:val="both"/>
      </w:pPr>
      <w:r>
        <w:rPr>
          <w:rFonts w:ascii="Times New Roman" w:cs="Times New Roman" w:eastAsia="Times New Roman" w:hAnsi="Times New Roman"/>
          <w:b w:val="false"/>
          <w:bCs w:val="false"/>
          <w:i w:val="false"/>
          <w:iCs w:val="false"/>
          <w:color w:val="000000"/>
          <w:sz w:val="24"/>
          <w:szCs w:val="24"/>
        </w:rPr>
        <w:t xml:space="preserve">The colour scheme reaches its full potential only when paired with a live, streaming chart. Scarpa et al. (2021) found that their smart campus energy dashboard — which used real-time data overlaid on a campus map — allowed stakeholders to identify consumption anomalies that would have been invisible in daily summary reports. For Smart-X, a SignalR-powered time-series graph per sensor zone, with the background shading dynamically transitioning from green to red as readings cross configurable thresholds, provides an at-a-glance audit trail. A data spike — such as a sudden wattage surge in a smart grid zone — produces both a vertical deviation on the chart and an immediate background colour change, creating dual visual cues that reinforce each other. This redundancy is important for colourblind users: shape (spike) and colour change together ensure the anomaly is perceivable without relying on hue alone (Almasi et al., 2023).</w:t>
      </w:r>
    </w:p>
    <w:p>
      <w:pPr>
        <w:spacing w:after="140" w:line="360" w:lineRule="auto"/>
        <w:ind/>
        <w:jc w:val="both"/>
      </w:pPr>
      <w:r>
        <w:rPr>
          <w:rFonts w:ascii="Times New Roman" w:cs="Times New Roman" w:eastAsia="Times New Roman" w:hAnsi="Times New Roman"/>
          <w:b w:val="false"/>
          <w:bCs w:val="false"/>
          <w:i w:val="false"/>
          <w:iCs w:val="false"/>
          <w:color w:val="000000"/>
          <w:sz w:val="24"/>
          <w:szCs w:val="24"/>
        </w:rPr>
        <w:t xml:space="preserve">Hussain et al. (2024) note that real-time feedback loops are the most impactful element in sustained user engagement with IoT monitoring systems, outperforming summary statistics and retrospective analytics. When engineers see a live reading change colour in response to their debugging actions — such as manually closing a valve and watching the pressure reading return to green — the dashboard becomes a closed feedback loop that supports active troubleshooting rather than passive observation.</w:t>
      </w:r>
    </w:p>
    <w:p>
      <w:pPr>
        <w:pStyle w:val="Heading2"/>
        <w:spacing w:after="80" w:before="240"/>
      </w:pPr>
      <w:r>
        <w:rPr>
          <w:rFonts w:ascii="Times New Roman" w:cs="Times New Roman" w:eastAsia="Times New Roman" w:hAnsi="Times New Roman"/>
          <w:b/>
          <w:bCs/>
          <w:color w:val="2E5090"/>
          <w:sz w:val="24"/>
          <w:szCs w:val="24"/>
        </w:rPr>
        <w:t xml:space="preserve">2.4  Application to Sensor Disconnect Detection</w:t>
      </w:r>
    </w:p>
    <w:p>
      <w:pPr>
        <w:spacing w:after="140" w:line="360" w:lineRule="auto"/>
        <w:ind/>
        <w:jc w:val="both"/>
      </w:pPr>
      <w:r>
        <w:rPr>
          <w:rFonts w:ascii="Times New Roman" w:cs="Times New Roman" w:eastAsia="Times New Roman" w:hAnsi="Times New Roman"/>
          <w:b w:val="false"/>
          <w:bCs w:val="false"/>
          <w:i w:val="false"/>
          <w:iCs w:val="false"/>
          <w:color w:val="000000"/>
          <w:sz w:val="24"/>
          <w:szCs w:val="24"/>
        </w:rPr>
        <w:t xml:space="preserve">The Smart-X gateway must distinguish between a sensor publishing a high reading and a sensor that has stopped publishing entirely. Without explicit visual differentiation, an offline sensor defaults to its last known value in many systems, potentially masking faults. The chosen strategy addresses this through a "last-seen" staleness indicator: if no telemetry packet has arrived from a node within a configurable window (e.g., 30 seconds for a sensor expected to publish every 5 seconds), the corresponding card transitions to an amber-grey "disconnected" state and the time-series chart displays a gap with a vertical dashed line. This visual vocabulary is consistent with best practices for alerting interfaces documented in the ISO 22324 colour-alert standard and reinforced by Arcuri et al. (2025), who demonstrated that clear visual status differentiation in real-time clinical dashboards reduced missed-alert incidents by a clinically significant margin.</w:t>
      </w:r>
    </w:p>
    <w:p>
      <w:pPr>
        <w:pStyle w:val="Heading2"/>
        <w:spacing w:after="80" w:before="240"/>
      </w:pPr>
      <w:r>
        <w:rPr>
          <w:rFonts w:ascii="Times New Roman" w:cs="Times New Roman" w:eastAsia="Times New Roman" w:hAnsi="Times New Roman"/>
          <w:b/>
          <w:bCs/>
          <w:color w:val="2E5090"/>
          <w:sz w:val="24"/>
          <w:szCs w:val="24"/>
        </w:rPr>
        <w:t xml:space="preserve">2.5  Conclusion</w:t>
      </w:r>
    </w:p>
    <w:p>
      <w:pPr>
        <w:spacing w:after="140" w:line="360" w:lineRule="auto"/>
        <w:ind/>
        <w:jc w:val="both"/>
      </w:pPr>
      <w:r>
        <w:rPr>
          <w:rFonts w:ascii="Times New Roman" w:cs="Times New Roman" w:eastAsia="Times New Roman" w:hAnsi="Times New Roman"/>
          <w:b w:val="false"/>
          <w:bCs w:val="false"/>
          <w:i w:val="false"/>
          <w:iCs w:val="false"/>
          <w:color w:val="000000"/>
          <w:sz w:val="24"/>
          <w:szCs w:val="24"/>
        </w:rPr>
        <w:t xml:space="preserve">Semantic Colour-Coded Threshold Alerting, combined with Real-Time Visual Telemetry Streaming, is the optimal primary engagement strategy for the Smart-X management interface. It leverages pre-attentive visual processing to maintain near-constant detection latency as sensor count grows, provides redundant visual cues (colour and chart shape) that support inclusive design, creates a live feedback loop that sustains developer engagement during active debugging, and explicitly differentiates sensor-offline states from high-value readings. These properties directly address the core challenge articulated in the Smart-X specification: enabling engineers to spot and troubleshoot anomalous data spikes and sensor disconnects in a high-throughput, geographically distributed IoT mesh. The remaining strategies — gamification, progressive onboarding, and AI anomaly overlays — are complementary features that build upon this foundation in subsequent development phases.</w:t>
      </w:r>
    </w:p>
    <w:p>
      <w:pPr>
        <w:spacing w:after="80"/>
      </w:pPr>
    </w:p>
    <w:p>
      <w:pPr>
        <w:pStyle w:val="Heading2"/>
        <w:spacing w:after="80" w:before="240"/>
      </w:pPr>
      <w:r>
        <w:rPr>
          <w:rFonts w:ascii="Times New Roman" w:cs="Times New Roman" w:eastAsia="Times New Roman" w:hAnsi="Times New Roman"/>
          <w:b/>
          <w:bCs/>
          <w:color w:val="2E5090"/>
          <w:sz w:val="24"/>
          <w:szCs w:val="24"/>
        </w:rPr>
        <w:t xml:space="preserve">Figure 1: Smart-X Dashboard Alert Flow — Colour-Coded Threshold Strategy</w:t>
      </w:r>
    </w:p>
    <w:p>
      <w:pPr>
        <w:spacing w:after="100" w:line="360" w:lineRule="auto"/>
      </w:pPr>
      <w:r>
        <w:rPr>
          <w:rFonts w:ascii="Times New Roman" w:cs="Times New Roman" w:eastAsia="Times New Roman" w:hAnsi="Times New Roman"/>
          <w:i/>
          <w:iCs/>
          <w:color w:val="555555"/>
          <w:sz w:val="24"/>
          <w:szCs w:val="24"/>
        </w:rPr>
        <w:t xml:space="preserve">The diagram below illustrates the flow from raw sensor telemetry to colour-coded engineer alerts within the Smart-X dashboard architecture.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shd w:color="E8EEF7" w:val="clear"/>
          </w:tcPr>
          <w:p>
            <w:pPr>
              <w:spacing w:after="60" w:before="60"/>
              <w:jc w:val="center"/>
            </w:pPr>
            <w:r>
              <w:rPr>
                <w:rFonts w:ascii="Times New Roman" w:cs="Times New Roman" w:eastAsia="Times New Roman" w:hAnsi="Times New Roman"/>
                <w:b/>
                <w:bCs/>
                <w:color w:val="000000"/>
                <w:sz w:val="20"/>
                <w:szCs w:val="20"/>
              </w:rPr>
              <w:t xml:space="preserve">ESP32 Sensors — Publish MQTT Telemetry</w:t>
            </w:r>
          </w:p>
        </w:tc>
      </w:tr>
      <w:tr>
        <w:tc>
          <w:tcPr>
            <w:tcW w:type="dxa" w:w="5000"/>
            <w:shd w:color="FFFFFF" w:val="clear"/>
          </w:tcPr>
          <w:p>
            <w:pPr>
              <w:spacing w:after="60" w:before="60"/>
              <w:jc w:val="center"/>
            </w:pPr>
            <w:r>
              <w:rPr>
                <w:rFonts w:ascii="Times New Roman" w:cs="Times New Roman" w:eastAsia="Times New Roman" w:hAnsi="Times New Roman"/>
                <w:b w:val="false"/>
                <w:bCs w:val="false"/>
                <w:color w:val="2E5090"/>
                <w:sz w:val="20"/>
                <w:szCs w:val="20"/>
              </w:rPr>
              <w:t xml:space="preserve">↓</w:t>
            </w:r>
          </w:p>
        </w:tc>
      </w:tr>
      <w:tr>
        <w:tc>
          <w:tcPr>
            <w:tcW w:type="dxa" w:w="5000"/>
            <w:shd w:color="D6E4F0" w:val="clear"/>
          </w:tcPr>
          <w:p>
            <w:pPr>
              <w:spacing w:after="60" w:before="60"/>
              <w:jc w:val="center"/>
            </w:pPr>
            <w:r>
              <w:rPr>
                <w:rFonts w:ascii="Times New Roman" w:cs="Times New Roman" w:eastAsia="Times New Roman" w:hAnsi="Times New Roman"/>
                <w:b/>
                <w:bCs/>
                <w:color w:val="000000"/>
                <w:sz w:val="20"/>
                <w:szCs w:val="20"/>
              </w:rPr>
              <w:t xml:space="preserve">ASP.NET Core Minimal API — Ingestion &amp; Parsing</w:t>
            </w:r>
          </w:p>
        </w:tc>
      </w:tr>
      <w:tr>
        <w:tc>
          <w:tcPr>
            <w:tcW w:type="dxa" w:w="5000"/>
            <w:shd w:color="FFFFFF" w:val="clear"/>
          </w:tcPr>
          <w:p>
            <w:pPr>
              <w:spacing w:after="60" w:before="60"/>
              <w:jc w:val="center"/>
            </w:pPr>
            <w:r>
              <w:rPr>
                <w:rFonts w:ascii="Times New Roman" w:cs="Times New Roman" w:eastAsia="Times New Roman" w:hAnsi="Times New Roman"/>
                <w:b w:val="false"/>
                <w:bCs w:val="false"/>
                <w:color w:val="2E5090"/>
                <w:sz w:val="20"/>
                <w:szCs w:val="20"/>
              </w:rPr>
              <w:t xml:space="preserve">↓</w:t>
            </w:r>
          </w:p>
        </w:tc>
      </w:tr>
      <w:tr>
        <w:tc>
          <w:tcPr>
            <w:tcW w:type="dxa" w:w="5000"/>
            <w:shd w:color="C5D8EE" w:val="clear"/>
          </w:tcPr>
          <w:p>
            <w:pPr>
              <w:spacing w:after="60" w:before="60"/>
              <w:jc w:val="center"/>
            </w:pPr>
            <w:r>
              <w:rPr>
                <w:rFonts w:ascii="Times New Roman" w:cs="Times New Roman" w:eastAsia="Times New Roman" w:hAnsi="Times New Roman"/>
                <w:b/>
                <w:bCs/>
                <w:color w:val="000000"/>
                <w:sz w:val="20"/>
                <w:szCs w:val="20"/>
              </w:rPr>
              <w:t xml:space="preserve">Threshold Validation Engine — Rules Per Sensor Type</w:t>
            </w:r>
          </w:p>
        </w:tc>
      </w:tr>
      <w:tr>
        <w:tc>
          <w:tcPr>
            <w:tcW w:type="dxa" w:w="5000"/>
            <w:shd w:color="FFFFFF" w:val="clear"/>
          </w:tcPr>
          <w:p>
            <w:pPr>
              <w:spacing w:after="60" w:before="60"/>
              <w:jc w:val="center"/>
            </w:pPr>
            <w:r>
              <w:rPr>
                <w:rFonts w:ascii="Times New Roman" w:cs="Times New Roman" w:eastAsia="Times New Roman" w:hAnsi="Times New Roman"/>
                <w:b w:val="false"/>
                <w:bCs w:val="false"/>
                <w:color w:val="2E5090"/>
                <w:sz w:val="20"/>
                <w:szCs w:val="20"/>
              </w:rPr>
              <w:t xml:space="preserve">↓</w:t>
            </w:r>
          </w:p>
        </w:tc>
      </w:tr>
      <w:tr>
        <w:tc>
          <w:tcPr>
            <w:tcW w:type="dxa" w:w="5000"/>
            <w:shd w:color="F0F4FF" w:val="clear"/>
          </w:tcPr>
          <w:p>
            <w:pPr>
              <w:spacing w:after="60" w:before="60"/>
              <w:jc w:val="center"/>
            </w:pPr>
            <w:r>
              <w:rPr>
                <w:rFonts w:ascii="Times New Roman" w:cs="Times New Roman" w:eastAsia="Times New Roman" w:hAnsi="Times New Roman"/>
                <w:b w:val="false"/>
                <w:bCs w:val="false"/>
                <w:color w:val="000000"/>
                <w:sz w:val="20"/>
                <w:szCs w:val="20"/>
              </w:rPr>
              <w:t xml:space="preserve">■ GREEN — Nominal   ■ AMBER — Warning / Offline   ■ RED — Critical</w:t>
            </w:r>
          </w:p>
        </w:tc>
      </w:tr>
      <w:tr>
        <w:tc>
          <w:tcPr>
            <w:tcW w:type="dxa" w:w="5000"/>
            <w:shd w:color="FFFFFF" w:val="clear"/>
          </w:tcPr>
          <w:p>
            <w:pPr>
              <w:spacing w:after="60" w:before="60"/>
              <w:jc w:val="center"/>
            </w:pPr>
            <w:r>
              <w:rPr>
                <w:rFonts w:ascii="Times New Roman" w:cs="Times New Roman" w:eastAsia="Times New Roman" w:hAnsi="Times New Roman"/>
                <w:b w:val="false"/>
                <w:bCs w:val="false"/>
                <w:color w:val="2E5090"/>
                <w:sz w:val="20"/>
                <w:szCs w:val="20"/>
              </w:rPr>
              <w:t xml:space="preserve">↓</w:t>
            </w:r>
          </w:p>
        </w:tc>
      </w:tr>
      <w:tr>
        <w:tc>
          <w:tcPr>
            <w:tcW w:type="dxa" w:w="5000"/>
            <w:shd w:color="C5D8EE" w:val="clear"/>
          </w:tcPr>
          <w:p>
            <w:pPr>
              <w:spacing w:after="60" w:before="60"/>
              <w:jc w:val="center"/>
            </w:pPr>
            <w:r>
              <w:rPr>
                <w:rFonts w:ascii="Times New Roman" w:cs="Times New Roman" w:eastAsia="Times New Roman" w:hAnsi="Times New Roman"/>
                <w:b/>
                <w:bCs/>
                <w:color w:val="000000"/>
                <w:sz w:val="20"/>
                <w:szCs w:val="20"/>
              </w:rPr>
              <w:t xml:space="preserve">Blazor / React Dashboard — Live SignalR Chart + Colour Badge</w:t>
            </w:r>
          </w:p>
        </w:tc>
      </w:tr>
      <w:tr>
        <w:tc>
          <w:tcPr>
            <w:tcW w:type="dxa" w:w="5000"/>
            <w:shd w:color="FFFFFF" w:val="clear"/>
          </w:tcPr>
          <w:p>
            <w:pPr>
              <w:spacing w:after="60" w:before="60"/>
              <w:jc w:val="center"/>
            </w:pPr>
            <w:r>
              <w:rPr>
                <w:rFonts w:ascii="Times New Roman" w:cs="Times New Roman" w:eastAsia="Times New Roman" w:hAnsi="Times New Roman"/>
                <w:b w:val="false"/>
                <w:bCs w:val="false"/>
                <w:color w:val="2E5090"/>
                <w:sz w:val="20"/>
                <w:szCs w:val="20"/>
              </w:rPr>
              <w:t xml:space="preserve">↓</w:t>
            </w:r>
          </w:p>
        </w:tc>
      </w:tr>
      <w:tr>
        <w:tc>
          <w:tcPr>
            <w:tcW w:type="dxa" w:w="5000"/>
            <w:shd w:color="C5D8EE" w:val="clear"/>
          </w:tcPr>
          <w:p>
            <w:pPr>
              <w:spacing w:after="60" w:before="60"/>
              <w:jc w:val="center"/>
            </w:pPr>
            <w:r>
              <w:rPr>
                <w:rFonts w:ascii="Times New Roman" w:cs="Times New Roman" w:eastAsia="Times New Roman" w:hAnsi="Times New Roman"/>
                <w:b/>
                <w:bCs/>
                <w:color w:val="000000"/>
                <w:sz w:val="20"/>
                <w:szCs w:val="20"/>
              </w:rPr>
              <w:t xml:space="preserve">Engineer Alert  →  Gamified Resolution &amp; Audit Log</w:t>
            </w:r>
          </w:p>
        </w:tc>
      </w:tr>
    </w:tbl>
    <w:p>
      <w:pPr>
        <w:spacing w:after="200" w:before="80"/>
        <w:jc w:val="center"/>
      </w:pPr>
      <w:r>
        <w:rPr>
          <w:rFonts w:ascii="Times New Roman" w:cs="Times New Roman" w:eastAsia="Times New Roman" w:hAnsi="Times New Roman"/>
          <w:i/>
          <w:iCs/>
          <w:color w:val="888888"/>
          <w:sz w:val="18"/>
          <w:szCs w:val="18"/>
        </w:rPr>
        <w:t xml:space="preserve">Figure 1 — Smart-X colour-coded alert pipeline from sensor to engineer resolution (author's own illustration, 2026).</w:t>
      </w:r>
    </w:p>
    <w:p>
      <w:pPr>
        <w:spacing w:after="80"/>
      </w:pPr>
    </w:p>
    <w:p>
      <w:pPr>
        <w:spacing w:after="80"/>
      </w:pPr>
    </w:p>
    <w:p>
      <w:pPr>
        <w:pStyle w:val="Heading1"/>
        <w:pBdr>
          <w:bottom w:val="single" w:color="1F3864" w:sz="6" w:space="4"/>
        </w:pBdr>
        <w:spacing w:after="120" w:before="280"/>
      </w:pPr>
      <w:r>
        <w:rPr>
          <w:rFonts w:ascii="Times New Roman" w:cs="Times New Roman" w:eastAsia="Times New Roman" w:hAnsi="Times New Roman"/>
          <w:b/>
          <w:bCs/>
          <w:color w:val="1F3864"/>
          <w:sz w:val="28"/>
          <w:szCs w:val="28"/>
        </w:rPr>
        <w:t xml:space="preserve">References</w:t>
      </w:r>
    </w:p>
    <w:p>
      <w:pPr>
        <w:spacing w:after="80" w:before="80" w:line="360" w:lineRule="auto"/>
        <w:ind w:left="720" w:hanging="720"/>
      </w:pPr>
      <w:r>
        <w:rPr>
          <w:rFonts w:ascii="Times New Roman" w:cs="Times New Roman" w:eastAsia="Times New Roman" w:hAnsi="Times New Roman"/>
          <w:sz w:val="24"/>
          <w:szCs w:val="24"/>
        </w:rPr>
        <w:t xml:space="preserve">Almasi, S., Bahaadinbeigy, K., Ahmadi, H., Sohrabei, S. and Rabiei, R. (2023) 'Usability Evaluation of Dashboards: A Systematic Literature Review of Tools', Biomedical Research International, 2023, Article 9990933. doi:10.1155/2023/9990933.</w:t>
      </w:r>
    </w:p>
    <w:p>
      <w:pPr>
        <w:spacing w:after="80" w:before="80" w:line="360" w:lineRule="auto"/>
        <w:ind w:left="720" w:hanging="720"/>
      </w:pPr>
      <w:r>
        <w:rPr>
          <w:rFonts w:ascii="Times New Roman" w:cs="Times New Roman" w:eastAsia="Times New Roman" w:hAnsi="Times New Roman"/>
          <w:sz w:val="24"/>
          <w:szCs w:val="24"/>
        </w:rPr>
        <w:t xml:space="preserve">Ahmed, I., Jeon, G. and Piccialli, F. (2024) 'Machine Learning and Deep Learning Techniques for Internet of Things Network Anomaly Detection — Current Research Trends', Sensors, 24(6), p. 1968. doi:10.3390/s24061968.</w:t>
      </w:r>
    </w:p>
    <w:p>
      <w:pPr>
        <w:spacing w:after="80" w:before="80" w:line="360" w:lineRule="auto"/>
        <w:ind w:left="720" w:hanging="720"/>
      </w:pPr>
      <w:r>
        <w:rPr>
          <w:rFonts w:ascii="Times New Roman" w:cs="Times New Roman" w:eastAsia="Times New Roman" w:hAnsi="Times New Roman"/>
          <w:sz w:val="24"/>
          <w:szCs w:val="24"/>
        </w:rPr>
        <w:t xml:space="preserve">Abudurexiti, Y., et al. (2024) 'An Explainable Unsupervised Anomaly Detection Framework for Industrial Internet of Things', ResearchGate preprint. doi:10.13140/RG.2.2.30684.21124.</w:t>
      </w:r>
    </w:p>
    <w:p>
      <w:pPr>
        <w:spacing w:after="80" w:before="80" w:line="360" w:lineRule="auto"/>
        <w:ind w:left="720" w:hanging="720"/>
      </w:pPr>
      <w:r>
        <w:rPr>
          <w:rFonts w:ascii="Times New Roman" w:cs="Times New Roman" w:eastAsia="Times New Roman" w:hAnsi="Times New Roman"/>
          <w:sz w:val="24"/>
          <w:szCs w:val="24"/>
        </w:rPr>
        <w:t xml:space="preserve">Arcuri, R., et al. (2025) 'EmergInsight: A Real-Time Dashboard for Optimising Emergency Care through Data Visualisation and Analytics', JMIR Medical Informatics. doi:10.2196/PMC12824725.</w:t>
      </w:r>
    </w:p>
    <w:p>
      <w:pPr>
        <w:spacing w:after="80" w:before="80" w:line="360" w:lineRule="auto"/>
        <w:ind w:left="720" w:hanging="720"/>
      </w:pPr>
      <w:r>
        <w:rPr>
          <w:rFonts w:ascii="Times New Roman" w:cs="Times New Roman" w:eastAsia="Times New Roman" w:hAnsi="Times New Roman"/>
          <w:sz w:val="24"/>
          <w:szCs w:val="24"/>
        </w:rPr>
        <w:t xml:space="preserve">Garzón-Orjuela, N., Vornhagen, H., Blake, C. and Vellinga, A. (2024) 'Evaluation of Different Landing Pages on Behavioural Engagement with the CARA Dashboard: A User Research Protocol', BMC Primary Care, 25(1). doi:10.1186/s12875-024-02420-6.</w:t>
      </w:r>
    </w:p>
    <w:p>
      <w:pPr>
        <w:spacing w:after="80" w:before="80" w:line="360" w:lineRule="auto"/>
        <w:ind w:left="720" w:hanging="720"/>
      </w:pPr>
      <w:r>
        <w:rPr>
          <w:rFonts w:ascii="Times New Roman" w:cs="Times New Roman" w:eastAsia="Times New Roman" w:hAnsi="Times New Roman"/>
          <w:sz w:val="24"/>
          <w:szCs w:val="24"/>
        </w:rPr>
        <w:t xml:space="preserve">Hussain, F., et al. (2024) 'Systematic Review of IoT-Based Solutions for User Tracking: Towards Smarter Lifestyle, Wellness and Health Management', Sensors, 24(18), p. 5939. doi:10.3390/s24185939.</w:t>
      </w:r>
    </w:p>
    <w:p>
      <w:pPr>
        <w:spacing w:after="80" w:before="80" w:line="360" w:lineRule="auto"/>
        <w:ind w:left="720" w:hanging="720"/>
      </w:pPr>
      <w:r>
        <w:rPr>
          <w:rFonts w:ascii="Times New Roman" w:cs="Times New Roman" w:eastAsia="Times New Roman" w:hAnsi="Times New Roman"/>
          <w:sz w:val="24"/>
          <w:szCs w:val="24"/>
        </w:rPr>
        <w:t xml:space="preserve">Mehar, T., et al. (2025) 'AI-Driven IoT and Gamification for Smart Water Management: Real-Time Monitoring and Predictive Analytics', Environmental Modelling &amp; Software, ScienceDirect. doi:10.1016/j.envsoft.2025.106405.</w:t>
      </w:r>
    </w:p>
    <w:p>
      <w:pPr>
        <w:spacing w:after="80" w:before="80" w:line="360" w:lineRule="auto"/>
        <w:ind w:left="720" w:hanging="720"/>
      </w:pPr>
      <w:r>
        <w:rPr>
          <w:rFonts w:ascii="Times New Roman" w:cs="Times New Roman" w:eastAsia="Times New Roman" w:hAnsi="Times New Roman"/>
          <w:sz w:val="24"/>
          <w:szCs w:val="24"/>
        </w:rPr>
        <w:t xml:space="preserve">Putina, A. and Rossi, D. (2021) 'Online Anomaly Detection Leveraging Stream-Based Clustering and Real-Time Telemetry', IEEE Transactions on Network and Service Management, 18(1), pp. 839–854. doi:10.1109/TNSM.2021.3049606.</w:t>
      </w:r>
    </w:p>
    <w:p>
      <w:pPr>
        <w:spacing w:after="80" w:before="80" w:line="360" w:lineRule="auto"/>
        <w:ind w:left="720" w:hanging="720"/>
      </w:pPr>
      <w:r>
        <w:rPr>
          <w:rFonts w:ascii="Times New Roman" w:cs="Times New Roman" w:eastAsia="Times New Roman" w:hAnsi="Times New Roman"/>
          <w:sz w:val="24"/>
          <w:szCs w:val="24"/>
        </w:rPr>
        <w:t xml:space="preserve">Ramaprasad, S., et al. (2023) 'Awareness Campaigns Using IoT Data Visualisation Dashboards', ResearchGate. Available at: https://www.researchgate.net/publication/393580134 (Accessed: 8 September 2026).</w:t>
      </w:r>
    </w:p>
    <w:p>
      <w:pPr>
        <w:spacing w:after="80" w:before="80" w:line="360" w:lineRule="auto"/>
        <w:ind w:left="720" w:hanging="720"/>
      </w:pPr>
      <w:r>
        <w:rPr>
          <w:rFonts w:ascii="Times New Roman" w:cs="Times New Roman" w:eastAsia="Times New Roman" w:hAnsi="Times New Roman"/>
          <w:sz w:val="24"/>
          <w:szCs w:val="24"/>
        </w:rPr>
        <w:t xml:space="preserve">Scarpa, M., et al. (2021) 'On Exploiting Data Visualisation and IoT for Increasing Sustainability and Safety in a Smart Campus', PMC / Sensors, 21(6). doi:10.3390/s21062065.</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888888"/>
        <w:sz w:val="18"/>
        <w:szCs w:val="18"/>
      </w:rPr>
      <w:t xml:space="preserve">Emeris Ruimsig — BSc Computer Science (Application Development)   |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60"/>
      <w:jc w:val="right"/>
    </w:pPr>
    <w:r>
      <w:rPr>
        <w:rFonts w:ascii="Times New Roman" w:cs="Times New Roman" w:eastAsia="Times New Roman" w:hAnsi="Times New Roman"/>
        <w:color w:val="888888"/>
        <w:sz w:val="18"/>
        <w:szCs w:val="18"/>
      </w:rPr>
      <w:t xml:space="preserve">Smart-X IoT Mesh Ecosystem — PoE Part 1 Task 1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2026-09-11T20:56:18.436Z</dcterms:created>
  <dcterms:modified xsi:type="dcterms:W3CDTF">2026-09-11T20:56:18.450Z</dcterms:modified>
</cp:coreProperties>
</file>

<file path=docProps/custom.xml><?xml version="1.0" encoding="utf-8"?>
<Properties xmlns="http://schemas.openxmlformats.org/officeDocument/2006/custom-properties" xmlns:vt="http://schemas.openxmlformats.org/officeDocument/2006/docPropsVTypes"/>
</file>