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3F05" w14:textId="2D4AA6FF" w:rsidR="00A649F9" w:rsidRDefault="002F66DB" w:rsidP="00A649F9">
      <w:pPr>
        <w:pStyle w:val="Title"/>
      </w:pPr>
      <w:r>
        <w:t xml:space="preserve">Sensei: </w:t>
      </w:r>
      <w:r w:rsidR="00A649F9">
        <w:t xml:space="preserve">Sample size determination for comparing </w:t>
      </w:r>
      <w:r w:rsidR="00A87688">
        <w:t>pro</w:t>
      </w:r>
      <w:r w:rsidR="00A649F9">
        <w:t>portion of cells under different conditions</w:t>
      </w:r>
    </w:p>
    <w:p w14:paraId="23F53FC2" w14:textId="3432977C" w:rsidR="007237EF" w:rsidRPr="007237EF" w:rsidRDefault="007237EF" w:rsidP="007237EF">
      <w:r>
        <w:t xml:space="preserve">Shaoheng Liang, Jinzhuang Dou, </w:t>
      </w:r>
      <w:proofErr w:type="spellStart"/>
      <w:r>
        <w:t>Chenjie</w:t>
      </w:r>
      <w:proofErr w:type="spellEnd"/>
      <w:r>
        <w:t xml:space="preserve"> </w:t>
      </w:r>
      <w:proofErr w:type="spellStart"/>
      <w:r>
        <w:t>Lyu</w:t>
      </w:r>
      <w:proofErr w:type="spellEnd"/>
      <w:r>
        <w:t>, Ken Chen</w:t>
      </w:r>
    </w:p>
    <w:p w14:paraId="17F4862D" w14:textId="77777777" w:rsidR="002F66DB" w:rsidRDefault="002F66DB" w:rsidP="002F66DB">
      <w:pPr>
        <w:pStyle w:val="Heading1"/>
      </w:pPr>
      <w:r>
        <w:t>Abstract</w:t>
      </w:r>
    </w:p>
    <w:p w14:paraId="1ACC1A48" w14:textId="77777777" w:rsidR="002F66DB" w:rsidRDefault="002F66DB" w:rsidP="002F66DB">
      <w:pPr>
        <w:pStyle w:val="Heading2"/>
      </w:pPr>
      <w:r>
        <w:t>Background</w:t>
      </w:r>
    </w:p>
    <w:p w14:paraId="2318FCE5" w14:textId="77777777" w:rsidR="002F66DB" w:rsidRDefault="00A87688" w:rsidP="002F66DB">
      <w:r>
        <w:t>Single-cell RNA sequencing</w:t>
      </w:r>
      <w:r w:rsidR="00F42309">
        <w:t xml:space="preserve"> (</w:t>
      </w:r>
      <w:proofErr w:type="spellStart"/>
      <w:r w:rsidR="00F42309">
        <w:t>scRNA</w:t>
      </w:r>
      <w:proofErr w:type="spellEnd"/>
      <w:r w:rsidR="00F42309">
        <w:t>-seq)</w:t>
      </w:r>
      <w:r>
        <w:t xml:space="preserve"> allows for studying </w:t>
      </w:r>
      <w:r w:rsidRPr="00A87688">
        <w:t xml:space="preserve">compositional changes </w:t>
      </w:r>
      <w:r>
        <w:t xml:space="preserve">of cell types at the cell level. Determining number of samples to be gathered, and number of cells in each sample to be sequenced, is critical to such studies. </w:t>
      </w:r>
      <w:r w:rsidR="00B64511">
        <w:t xml:space="preserve">The estimation should </w:t>
      </w:r>
      <w:r w:rsidR="00B43B78">
        <w:t>be based on limited prior knowledge</w:t>
      </w:r>
      <w:r w:rsidR="00B64511">
        <w:t xml:space="preserve"> of </w:t>
      </w:r>
      <w:r w:rsidR="00B43B78">
        <w:t>what portion the cell type may take in each sample.</w:t>
      </w:r>
    </w:p>
    <w:p w14:paraId="10AAB4A3" w14:textId="77777777" w:rsidR="00F42309" w:rsidRDefault="00F42309" w:rsidP="00F42309">
      <w:pPr>
        <w:pStyle w:val="Heading2"/>
      </w:pPr>
      <w:r>
        <w:t>Results</w:t>
      </w:r>
    </w:p>
    <w:p w14:paraId="7FE083B7" w14:textId="77777777" w:rsidR="002F66DB" w:rsidRDefault="00F42309" w:rsidP="002F66DB">
      <w:r w:rsidRPr="00F42309">
        <w:t>We developed an interactive web application called</w:t>
      </w:r>
      <w:r>
        <w:t xml:space="preserve"> Sensei, which calculates the statistical power of a </w:t>
      </w:r>
      <w:proofErr w:type="spellStart"/>
      <w:r>
        <w:t>scRNA</w:t>
      </w:r>
      <w:proofErr w:type="spellEnd"/>
      <w:r>
        <w:t xml:space="preserve">-seq study design. </w:t>
      </w:r>
      <w:r w:rsidR="00B43B78">
        <w:t xml:space="preserve">Using the </w:t>
      </w:r>
      <w:proofErr w:type="gramStart"/>
      <w:r w:rsidR="00B43B78">
        <w:t>aforementioned prior</w:t>
      </w:r>
      <w:proofErr w:type="gramEnd"/>
      <w:r w:rsidR="00B43B78">
        <w:t xml:space="preserve"> knowledge, t</w:t>
      </w:r>
      <w:r>
        <w:t xml:space="preserve">he tool models the proportion of cells in a type of interest through beta binomial conjugacy and calculates the statistical power for t-test by normal approximation. </w:t>
      </w:r>
    </w:p>
    <w:p w14:paraId="6329EDA7" w14:textId="77777777" w:rsidR="00F42309" w:rsidRDefault="00F42309" w:rsidP="00F42309">
      <w:pPr>
        <w:pStyle w:val="Heading2"/>
      </w:pPr>
      <w:r>
        <w:t>Conclusions</w:t>
      </w:r>
    </w:p>
    <w:p w14:paraId="5A8F0857" w14:textId="77777777" w:rsidR="00F42309" w:rsidRDefault="002E271D" w:rsidP="00F42309">
      <w:r>
        <w:t xml:space="preserve">Using conjugate prior and approximation, our tool generates a table to illustrate the relationship of sample size and statistical power to help researchers design a study. </w:t>
      </w:r>
      <w:r w:rsidR="00F42309" w:rsidRPr="00F42309">
        <w:t>The web application can be accessed at</w:t>
      </w:r>
      <w:r w:rsidR="00F42309">
        <w:t xml:space="preserve"> </w:t>
      </w:r>
      <w:hyperlink r:id="rId6" w:history="1">
        <w:r w:rsidR="00F42309" w:rsidRPr="00447058">
          <w:rPr>
            <w:rStyle w:val="Hyperlink"/>
          </w:rPr>
          <w:t>https://kchen-lab.github.io/sensei/table_beta.html</w:t>
        </w:r>
      </w:hyperlink>
      <w:r w:rsidR="00F42309">
        <w:t xml:space="preserve">. </w:t>
      </w:r>
    </w:p>
    <w:p w14:paraId="3C3FE84B" w14:textId="77777777" w:rsidR="002E271D" w:rsidRDefault="002E271D" w:rsidP="002E271D">
      <w:pPr>
        <w:pStyle w:val="Heading1"/>
      </w:pPr>
      <w:r>
        <w:t>Background</w:t>
      </w:r>
    </w:p>
    <w:p w14:paraId="4F1BB688" w14:textId="50B74CA7" w:rsidR="00261017" w:rsidRDefault="002E271D" w:rsidP="002E271D">
      <w:r>
        <w:t xml:space="preserve">Biological samples consist of various types of cells. The proportion taken by a cell type may vary as a result of various physiological and pathological conditions. These changes, if observed, can inspire biological discoveries. For example, </w:t>
      </w:r>
      <w:r w:rsidR="009C0AA1">
        <w:t>more T cells are found</w:t>
      </w:r>
      <w:r w:rsidR="000E5545">
        <w:t xml:space="preserve"> in</w:t>
      </w:r>
      <w:r w:rsidR="009C0AA1">
        <w:t xml:space="preserve"> colon tumors resulting from</w:t>
      </w:r>
      <w:r w:rsidR="000E5545">
        <w:t xml:space="preserve"> Lynch syndrome </w:t>
      </w:r>
      <w:r w:rsidR="009C0AA1">
        <w:t>than</w:t>
      </w:r>
      <w:r w:rsidR="000E5545">
        <w:t xml:space="preserve"> sporadic </w:t>
      </w:r>
      <w:r w:rsidR="009C0AA1">
        <w:t>ones</w:t>
      </w:r>
      <w:r w:rsidR="000E5545">
        <w:t>, and the difference suggest</w:t>
      </w:r>
      <w:r w:rsidR="009C0AA1">
        <w:t>s</w:t>
      </w:r>
      <w:r w:rsidR="000E5545">
        <w:t xml:space="preserve"> different level</w:t>
      </w:r>
      <w:r w:rsidR="009F3151">
        <w:t>s</w:t>
      </w:r>
      <w:r w:rsidR="000E5545">
        <w:t xml:space="preserve"> of </w:t>
      </w:r>
      <w:r w:rsidR="009F3151">
        <w:t>tumor</w:t>
      </w:r>
      <w:r w:rsidR="000E5545">
        <w:t xml:space="preserve"> infiltration</w:t>
      </w:r>
      <w:r w:rsidR="009F3151">
        <w:t xml:space="preserve"> </w:t>
      </w:r>
      <w:r w:rsidR="009F3151">
        <w:fldChar w:fldCharType="begin"/>
      </w:r>
      <w:r w:rsidR="009F3151">
        <w:instrText xml:space="preserve"> ADDIN ZOTERO_ITEM CSL_CITATION {"citationID":"Qn9TxPfY","properties":{"formattedCitation":"[1]","plainCitation":"[1]","noteIndex":0},"citationItems":[{"id":370,"uris":["http://zotero.org/users/4312917/items/MPCRBWBZ"],"uri":["http://zotero.org/users/4312917/items/MPCRBWBZ"],"itemData":{"id":370,"type":"article-journal","container-title":"Gastroenterology","DOI":"10.1053/j.gastro.2008.02.008","ISSN":"0016-5085","issue":"4","journalAbbreviation":"Gastroenterology","language":"en","page":"1246-1249","source":"ScienceDirect","title":"Immunology and the Lynch Syndrome","volume":"134","author":[{"family":"Lynch","given":"Henry T."},{"family":"Drescher","given":"Kristen M."},{"family":"Chapelle","given":"Albert","non-dropping-particle":"de la"}],"issued":{"date-parts":[["2008",4,1]]}}}],"schema":"https://github.com/citation-style-language/schema/raw/master/csl-citation.json"} </w:instrText>
      </w:r>
      <w:r w:rsidR="009F3151">
        <w:fldChar w:fldCharType="separate"/>
      </w:r>
      <w:r w:rsidR="009F3151" w:rsidRPr="009F3151">
        <w:rPr>
          <w:rFonts w:ascii="Calibri" w:hAnsi="Calibri" w:cs="Calibri"/>
        </w:rPr>
        <w:t>[1]</w:t>
      </w:r>
      <w:r w:rsidR="009F3151">
        <w:fldChar w:fldCharType="end"/>
      </w:r>
      <w:r w:rsidR="000E5545">
        <w:t xml:space="preserve">. </w:t>
      </w:r>
      <w:r w:rsidR="009F3151">
        <w:t>This type of studies, known as compositional analysis, have been done on cytometry</w:t>
      </w:r>
      <w:r w:rsidR="009B78D3">
        <w:t xml:space="preserve"> </w:t>
      </w:r>
      <w:r w:rsidR="009B78D3">
        <w:fldChar w:fldCharType="begin"/>
      </w:r>
      <w:r w:rsidR="009B78D3">
        <w:instrText xml:space="preserve"> ADDIN ZOTERO_ITEM CSL_CITATION {"citationID":"GT38fGc0","properties":{"formattedCitation":"[2]","plainCitation":"[2]","noteIndex":0},"citationItems":[{"id":376,"uris":["http://zotero.org/users/4312917/items/VAB6QBLT"],"uri":["http://zotero.org/users/4312917/items/VAB6QBLT"],"itemData":{"id":376,"type":"article-journal","abstract":"A statistical approach makes it possible to detect differentially abundant cell populations across biological conditions from high-dimensional mass cytometry data without relying on cell clustering.","container-title":"Nature Methods","DOI":"10.1038/nmeth.4295","ISSN":"1548-7105","issue":"7","language":"en","note":"number: 7\npublisher: Nature Publishing Group","page":"707-709","source":"www.nature.com","title":"Testing for differential abundance in mass cytometry data","volume":"14","author":[{"family":"Lun","given":"Aaron T. L."},{"family":"Richard","given":"Arianne C."},{"family":"Marioni","given":"John C."}],"issued":{"date-parts":[["2017",7]]}}}],"schema":"https://github.com/citation-style-language/schema/raw/master/csl-citation.json"} </w:instrText>
      </w:r>
      <w:r w:rsidR="009B78D3">
        <w:fldChar w:fldCharType="separate"/>
      </w:r>
      <w:r w:rsidR="009B78D3" w:rsidRPr="009F3151">
        <w:rPr>
          <w:rFonts w:ascii="Calibri" w:hAnsi="Calibri" w:cs="Calibri"/>
        </w:rPr>
        <w:t>[2]</w:t>
      </w:r>
      <w:r w:rsidR="009B78D3">
        <w:fldChar w:fldCharType="end"/>
      </w:r>
      <w:r w:rsidR="009B78D3">
        <w:t xml:space="preserve"> and microbiome</w:t>
      </w:r>
      <w:r w:rsidR="009F3151">
        <w:t xml:space="preserve"> </w:t>
      </w:r>
      <w:r w:rsidR="009B78D3">
        <w:fldChar w:fldCharType="begin"/>
      </w:r>
      <w:r w:rsidR="009B78D3">
        <w:instrText xml:space="preserve"> ADDIN ZOTERO_ITEM CSL_CITATION {"citationID":"NgL6Ps2D","properties":{"formattedCitation":"[3]","plainCitation":"[3]","noteIndex":0},"citationItems":[{"id":380,"uris":["http://zotero.org/users/4312917/items/ES87L25N"],"uri":["http://zotero.org/users/4312917/items/ES87L25N"],"itemData":{"id":380,"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Microbiol.","language":"English","note":"publisher: Frontiers","source":"Frontiers","title":"Microbiome Datasets Are Compositional: And This Is Not Optional","title-short":"Microbiome Datasets Are Compositional","URL":"https://www.frontiersin.org/articles/10.3389/fmicb.2017.02224/full?report=reader","volume":"8","author":[{"family":"Gloor","given":"Gregory B."},{"family":"Macklaim","given":"Jean M."},{"family":"Pawlowsky-Glahn","given":"Vera"},{"family":"Egozcue","given":"Juan J."}],"accessed":{"date-parts":[["2020",3,12]]},"issued":{"date-parts":[["2017"]]}}}],"schema":"https://github.com/citation-style-language/schema/raw/master/csl-citation.json"} </w:instrText>
      </w:r>
      <w:r w:rsidR="009B78D3">
        <w:fldChar w:fldCharType="separate"/>
      </w:r>
      <w:r w:rsidR="009B78D3" w:rsidRPr="009B78D3">
        <w:rPr>
          <w:rFonts w:ascii="Calibri" w:hAnsi="Calibri" w:cs="Calibri"/>
        </w:rPr>
        <w:t>[3]</w:t>
      </w:r>
      <w:r w:rsidR="009B78D3">
        <w:fldChar w:fldCharType="end"/>
      </w:r>
      <w:r w:rsidR="009B78D3">
        <w:t xml:space="preserve"> </w:t>
      </w:r>
      <w:r w:rsidR="009F3151">
        <w:t>data</w:t>
      </w:r>
      <w:r w:rsidR="009B78D3">
        <w:t>sets</w:t>
      </w:r>
      <w:r w:rsidR="009F3151">
        <w:t xml:space="preserve">, and is on the rise for </w:t>
      </w:r>
      <w:proofErr w:type="spellStart"/>
      <w:r w:rsidR="009F3151">
        <w:t>scRNA</w:t>
      </w:r>
      <w:proofErr w:type="spellEnd"/>
      <w:r w:rsidR="009F3151">
        <w:t xml:space="preserve">-seq data </w:t>
      </w:r>
      <w:r w:rsidR="009F3151">
        <w:fldChar w:fldCharType="begin"/>
      </w:r>
      <w:r w:rsidR="009B78D3">
        <w:instrText xml:space="preserve"> ADDIN ZOTERO_ITEM CSL_CITATION {"citationID":"zHj9fOhr","properties":{"formattedCitation":"[4, 5]","plainCitation":"[4, 5]","noteIndex":0},"citationItems":[{"id":1,"uris":["http://zotero.org/users/4312917/items/EXBZBQDR"],"uri":["http://zotero.org/users/4312917/items/EXBZBQDR"],"itemData":{"id":1,"type":"article-journal","abstract":"Abstract Single-cell RNA-seq has enabled gene expression to be studied at an unprecedented resolution. The promise of this technology is attracting a growing user base for single-cell analysis methods. As more analysis tools are becoming available, it is becoming increasingly difficult to navigate this landscape and produce an up-to-date workflow to analyse one's data. Here, we detail the steps of a typical single-cell RNA-seq analysis, including pre-processing (quality control, normalization, data correction, feature selection, and dimensionality reduction) and cell- and gene-level downstream analysis. We formulate current best-practice recommendations for these steps based on independent comparison studies. We have integrated these best-practice recommendations into a workflow, which we apply to a public dataset to further illustrate how these steps work in practice. Our documented case study can be found at https://www.github.com/theislab/single-cell-tutorial. This review will serve as a workflow tutorial for new entrants into the field, and help established users update their analysis pipelines.","container-title":"Molecular Systems Biology","DOI":"10.15252/msb.20188746","ISSN":"1744-4292","issue":"6","journalAbbreviation":"Molecular Systems Biology","note":"publisher: John Wiley &amp; Sons, Ltd","page":"e8746","source":"embopress.org (Atypon)","title":"Current best practices in single-cell RNA-seq analysis: a tutorial","title-short":"Current best practices in single-cell RNA-seq analysis","volume":"15","author":[{"family":"Luecken","given":"Malte D"},{"family":"Theis","given":"Fabian J"}],"issued":{"date-parts":[["2019",6,1]]}}},{"id":373,"uris":["http://zotero.org/users/4312917/items/4SQ4UL5Q"],"uri":["http://zotero.org/users/4312917/items/4SQ4UL5Q"],"itemData":{"id":373,"type":"article-journal","abstract":"Differences in cell-type composition across subjects and conditions often carry biological significance. Recent advancements in single cell sequencing technologies enable cell-types to be identified at the single cell level, and as a result, cell-type composition of tissues can now be studied in exquisite detail. However, a number of challenges remain with cell-type composition analysis – none of the existing methods can identify cell-type perfectly and variability related to cell sampling exists in any single cell experiment. This necessitates the development of method for estimating uncertainty in cell-type composition.","container-title":"BMC Bioinformatics","DOI":"10.1186/s12859-019-3211-9","ISSN":"1471-2105","issue":"19","journalAbbreviation":"BMC Bioinformatics","page":"721","source":"BioMed Central","title":"scDC: single cell differential composition analysis","title-short":"scDC","volume":"20","author":[{"family":"Cao","given":"Yue"},{"family":"Lin","given":"Yingxin"},{"family":"Ormerod","given":"John T."},{"family":"Yang","given":"Pengyi"},{"family":"Yang","given":"Jean Y.H."},{"family":"Lo","given":"Kitty K."}],"issued":{"date-parts":[["2019",12,24]]}}}],"schema":"https://github.com/citation-style-language/schema/raw/master/csl-citation.json"} </w:instrText>
      </w:r>
      <w:r w:rsidR="009F3151">
        <w:fldChar w:fldCharType="separate"/>
      </w:r>
      <w:r w:rsidR="009B78D3" w:rsidRPr="009B78D3">
        <w:rPr>
          <w:rFonts w:ascii="Calibri" w:hAnsi="Calibri" w:cs="Calibri"/>
        </w:rPr>
        <w:t>[4, 5]</w:t>
      </w:r>
      <w:r w:rsidR="009F3151">
        <w:fldChar w:fldCharType="end"/>
      </w:r>
      <w:r w:rsidR="009F3151">
        <w:t xml:space="preserve">. </w:t>
      </w:r>
      <w:r w:rsidR="000E5545">
        <w:t xml:space="preserve">To confirm such differences, samples from patients need to be gathered and sequenced. However, it can be costly to recruit participants and sequencing, </w:t>
      </w:r>
      <w:r w:rsidR="009F3151">
        <w:t>and</w:t>
      </w:r>
      <w:r w:rsidR="000E5545">
        <w:t xml:space="preserve"> even more so when an insufficient number of samples</w:t>
      </w:r>
      <w:r w:rsidR="00B64511">
        <w:t xml:space="preserve"> lead to a false negative result</w:t>
      </w:r>
      <w:r w:rsidR="000E5545">
        <w:t>.</w:t>
      </w:r>
      <w:r w:rsidR="00B64511">
        <w:t xml:space="preserve"> </w:t>
      </w:r>
      <w:r w:rsidR="009B78D3">
        <w:t>Thus, the sample size should be determined in advance.</w:t>
      </w:r>
    </w:p>
    <w:p w14:paraId="7ABF544B" w14:textId="46C48DD3" w:rsidR="002E271D" w:rsidRPr="002E271D" w:rsidRDefault="00261017" w:rsidP="002E271D">
      <w:r>
        <w:t>For single-</w:t>
      </w:r>
      <w:r w:rsidR="009F3151">
        <w:t xml:space="preserve">cell </w:t>
      </w:r>
      <w:r>
        <w:t xml:space="preserve">study, tools like SCOPIT </w:t>
      </w:r>
      <w:r>
        <w:fldChar w:fldCharType="begin"/>
      </w:r>
      <w:r w:rsidR="009B78D3">
        <w:instrText xml:space="preserve"> ADDIN ZOTERO_ITEM CSL_CITATION {"citationID":"Y4qP4Sfr","properties":{"formattedCitation":"[6]","plainCitation":"[6]","noteIndex":0},"citationItems":[{"id":35,"uris":["http://zotero.org/users/4312917/items/R2ARG9ML"],"uri":["http://zotero.org/users/4312917/items/R2ARG9ML"],"itemData":{"id":35,"type":"article-journal","abstract":"In single cell DNA and RNA sequencing experiments, the number of cells to sequence must be decided before running an experiment, and afterwards, it is necessary to decide whether sufficient cells were sampled. These questions can be addressed by calculating the probability of sampling at least a defined number of cells from each subpopulation (cell type or cancer clone).","container-title":"BMC Bioinformatics","DOI":"10.1186/s12859-019-3167-9","ISSN":"1471-2105","issue":"1","journalAbbreviation":"BMC Bioinformatics","page":"566","source":"BioMed Central","title":"SCOPIT: sample size calculations for single-cell sequencing experiments","title-short":"SCOPIT","volume":"20","author":[{"family":"Davis","given":"Alexander"},{"family":"Gao","given":"Ruli"},{"family":"Navin","given":"Nicholas E."}],"issued":{"date-parts":[["2019",11,12]]}}}],"schema":"https://github.com/citation-style-language/schema/raw/master/csl-citation.json"} </w:instrText>
      </w:r>
      <w:r>
        <w:fldChar w:fldCharType="separate"/>
      </w:r>
      <w:r w:rsidR="009B78D3" w:rsidRPr="009B78D3">
        <w:rPr>
          <w:rFonts w:ascii="Calibri" w:hAnsi="Calibri" w:cs="Calibri"/>
        </w:rPr>
        <w:t>[6]</w:t>
      </w:r>
      <w:r>
        <w:fldChar w:fldCharType="end"/>
      </w:r>
      <w:r>
        <w:t xml:space="preserve"> and </w:t>
      </w:r>
      <w:proofErr w:type="spellStart"/>
      <w:r>
        <w:t>howmanycells</w:t>
      </w:r>
      <w:proofErr w:type="spellEnd"/>
      <w:r>
        <w:t xml:space="preserve"> (</w:t>
      </w:r>
      <w:hyperlink r:id="rId7" w:history="1">
        <w:r w:rsidRPr="00A37F0E">
          <w:rPr>
            <w:rStyle w:val="Hyperlink"/>
          </w:rPr>
          <w:t>https://satijalab.org/howmanycells</w:t>
        </w:r>
      </w:hyperlink>
      <w:r>
        <w:t xml:space="preserve">) have been developed to estimate how many cells </w:t>
      </w:r>
      <w:r w:rsidR="009F3151">
        <w:t xml:space="preserve">in total </w:t>
      </w:r>
      <w:r>
        <w:t xml:space="preserve">should be sequenced to </w:t>
      </w:r>
      <w:r w:rsidR="009F3151">
        <w:t>obtain</w:t>
      </w:r>
      <w:r>
        <w:t xml:space="preserve"> desired </w:t>
      </w:r>
      <w:r w:rsidR="009F3151">
        <w:t>abundance</w:t>
      </w:r>
      <w:r>
        <w:t xml:space="preserve"> </w:t>
      </w:r>
      <w:r w:rsidR="009F3151">
        <w:t xml:space="preserve">a </w:t>
      </w:r>
      <w:r w:rsidR="009F3151">
        <w:lastRenderedPageBreak/>
        <w:t>given</w:t>
      </w:r>
      <w:r>
        <w:t xml:space="preserve"> cell</w:t>
      </w:r>
      <w:r w:rsidR="009F3151">
        <w:t xml:space="preserve"> type</w:t>
      </w:r>
      <w:r>
        <w:t xml:space="preserve">. However, to study changes of proportions of cells, </w:t>
      </w:r>
      <w:r w:rsidR="009F3151">
        <w:t>an estimation of number of participants is also needed</w:t>
      </w:r>
      <w:r>
        <w:t xml:space="preserve">. </w:t>
      </w:r>
      <w:r w:rsidR="00B64511">
        <w:t>Here, we develop an interactive web tool, Sensei, which rapidly calculates statistical power (or, equivalently, false negative rate) for a set of study designs, to assist researcher in planning experiments, using beta-binomial conjugacy and normal approximation.</w:t>
      </w:r>
      <w:r w:rsidR="00D33D46">
        <w:t xml:space="preserve"> Beta-binomial has been used in analysis of proportion </w:t>
      </w:r>
      <w:r w:rsidR="00D33D46">
        <w:fldChar w:fldCharType="begin"/>
      </w:r>
      <w:r w:rsidR="00D33D46">
        <w:instrText xml:space="preserve"> ADDIN ZOTERO_ITEM CSL_CITATION {"citationID":"YSV1P3UB","properties":{"formattedCitation":"[7, 8]","plainCitation":"[7, 8]","noteIndex":0},"citationItems":[{"id":382,"uris":["http://zotero.org/users/4312917/items/NWZKLNRB"],"uri":["http://zotero.org/users/4312917/items/NWZKLNRB"],"itemData":{"id":382,"type":"article-journal","abstract":"Amethod is proposed for the regression analysis of proportions based on the Beta-binomial distribution.","archive":"JSTOR","container-title":"Journal of the Royal Statistical Society. Series C (Applied Statistics)","DOI":"10.2307/2346223","ISSN":"0035-9254","issue":"1","note":"publisher: [Wiley, Royal Statistical Society]","page":"34-37","source":"JSTOR","title":"Beta-Binomial Anova for Proportions","volume":"27","author":[{"family":"Crowder","given":"Martin J."}],"issued":{"date-parts":[["1978"]]}}},{"id":383,"uris":["http://zotero.org/users/4312917/items/WSCM8CIL"],"uri":["http://zotero.org/users/4312917/items/WSCM8CIL"],"itemData":{"id":383,"type":"article-journal","abstract":"Six data sets recording fetal control mortality in mouse litters are presented. The data are clearly overdispersed, and a standard approach would be to describe the data by means of a beta-binomial model or to use quasi-likelihood methods. For five of the examples, we show that the beta-binomial model provides a reasonable description but that the fit can be significantly improved by using a mixture of a beta-binomial model with a binomial distribution. This mixture provides two alternative solutions, in one of which the binomial component indicates a high probability of death but is selected infrequently; this accounts for outlying litters with high mortality. The influence of the outliers on the beta-binomial fits is also demonstrated. The location and nature of the two main maxima to the likelihood are investigated through profile log-likelihoods. Comparisons are made with the performance of finite mixtures of binomial distributions.","archive":"JSTOR","container-title":"Biometrics","DOI":"10.2307/2533567","ISSN":"0006-341X","issue":"3","note":"publisher: [Wiley, International Biometric Society]","page":"1097-1115","source":"JSTOR","title":"Finite Mixture Models for Proportions","volume":"53","author":[{"family":"Brooks","given":"S. P."},{"family":"Morgan","given":"B. J. T."},{"family":"Ridout","given":"M. S."},{"family":"Pack","given":"S. E."}],"issued":{"date-parts":[["1997"]]}}}],"schema":"https://github.com/citation-style-language/schema/raw/master/csl-citation.json"} </w:instrText>
      </w:r>
      <w:r w:rsidR="00D33D46">
        <w:fldChar w:fldCharType="separate"/>
      </w:r>
      <w:r w:rsidR="00D33D46" w:rsidRPr="00D33D46">
        <w:rPr>
          <w:rFonts w:ascii="Calibri" w:hAnsi="Calibri" w:cs="Calibri"/>
        </w:rPr>
        <w:t>[7, 8]</w:t>
      </w:r>
      <w:r w:rsidR="00D33D46">
        <w:fldChar w:fldCharType="end"/>
      </w:r>
      <w:r w:rsidR="00D33D46">
        <w:t>.</w:t>
      </w:r>
    </w:p>
    <w:p w14:paraId="1911B34A" w14:textId="77777777" w:rsidR="00A649F9" w:rsidRDefault="002E271D" w:rsidP="00A649F9">
      <w:pPr>
        <w:pStyle w:val="Heading1"/>
      </w:pPr>
      <w:r>
        <w:t>Implementation</w:t>
      </w:r>
    </w:p>
    <w:p w14:paraId="5717E30A" w14:textId="77777777" w:rsidR="002E271D" w:rsidRPr="002E271D" w:rsidRDefault="00B64511" w:rsidP="002E271D">
      <w:r>
        <w:t xml:space="preserve">The statistical power estimation is based on a t-test, which is widely used in comparing two samples that are roughly normally distributed. </w:t>
      </w:r>
      <w:r w:rsidR="00B43B78">
        <w:t xml:space="preserve">Naturally, a single-cell study design includes number of samples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43B78">
        <w:t xml:space="preserve"> (participants) in each (control “</w:t>
      </w:r>
      <m:oMath>
        <m:r>
          <w:rPr>
            <w:rFonts w:ascii="Cambria Math" w:hAnsi="Cambria Math"/>
          </w:rPr>
          <m:t>0</m:t>
        </m:r>
      </m:oMath>
      <w:r w:rsidR="00B43B78">
        <w:t>” or experimental “</w:t>
      </w:r>
      <m:oMath>
        <m:r>
          <w:rPr>
            <w:rFonts w:ascii="Cambria Math" w:hAnsi="Cambria Math"/>
          </w:rPr>
          <m:t>1</m:t>
        </m:r>
      </m:oMath>
      <w:r w:rsidR="00B43B78">
        <w:t xml:space="preserve">”) group, and number of single cells in each sample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43B78">
        <w:t>. We also need an estimation of the proportion of the cell type of interest in each group, and the standard deviation of it as a result of biological variances. Finally, a significant level</w:t>
      </w:r>
      <w:r w:rsidR="00F37FDB">
        <w:t xml:space="preserve"> (false positive rate)</w:t>
      </w:r>
      <w:r w:rsidR="00B43B78">
        <w:t xml:space="preserve"> </w:t>
      </w:r>
      <m:oMath>
        <m:r>
          <w:rPr>
            <w:rFonts w:ascii="Cambria Math" w:hAnsi="Cambria Math"/>
          </w:rPr>
          <m:t>α</m:t>
        </m:r>
      </m:oMath>
      <w:r w:rsidR="00B43B78">
        <w:t xml:space="preserve"> should be assigned</w:t>
      </w:r>
      <w:r w:rsidR="00F37FDB">
        <w:t xml:space="preserve">, to calculate the false negative rate </w:t>
      </w:r>
      <m:oMath>
        <m:r>
          <w:rPr>
            <w:rFonts w:ascii="Cambria Math" w:hAnsi="Cambria Math"/>
          </w:rPr>
          <m:t>β</m:t>
        </m:r>
      </m:oMath>
      <w:r w:rsidR="00F37FDB">
        <w:t xml:space="preserve">, or, equivalently, the statistical power </w:t>
      </w:r>
      <m:oMath>
        <m:d>
          <m:dPr>
            <m:ctrlPr>
              <w:rPr>
                <w:rFonts w:ascii="Cambria Math" w:hAnsi="Cambria Math"/>
                <w:i/>
              </w:rPr>
            </m:ctrlPr>
          </m:dPr>
          <m:e>
            <m:r>
              <w:rPr>
                <w:rFonts w:ascii="Cambria Math" w:hAnsi="Cambria Math"/>
              </w:rPr>
              <m:t>1-β</m:t>
            </m:r>
          </m:e>
        </m:d>
      </m:oMath>
      <w:r w:rsidR="00F37FDB">
        <w:t>. The required parameters are shown in Table 1.</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1009"/>
        <w:gridCol w:w="3597"/>
      </w:tblGrid>
      <w:tr w:rsidR="00B43B78" w14:paraId="75A6784D" w14:textId="77777777" w:rsidTr="009B78D3">
        <w:tc>
          <w:tcPr>
            <w:tcW w:w="9360" w:type="dxa"/>
            <w:gridSpan w:val="3"/>
            <w:tcBorders>
              <w:bottom w:val="single" w:sz="4" w:space="0" w:color="auto"/>
            </w:tcBorders>
          </w:tcPr>
          <w:p w14:paraId="4A6DE993" w14:textId="77777777" w:rsidR="00B43B78" w:rsidRDefault="00B43B78" w:rsidP="00B43B78">
            <w:pPr>
              <w:jc w:val="center"/>
            </w:pPr>
            <w:r>
              <w:t>Table 1. Required parameters</w:t>
            </w:r>
          </w:p>
        </w:tc>
      </w:tr>
      <w:tr w:rsidR="00A649F9" w14:paraId="132E5EAF" w14:textId="77777777" w:rsidTr="009B78D3">
        <w:tc>
          <w:tcPr>
            <w:tcW w:w="4754" w:type="dxa"/>
            <w:tcBorders>
              <w:top w:val="single" w:sz="4" w:space="0" w:color="auto"/>
              <w:bottom w:val="single" w:sz="4" w:space="0" w:color="auto"/>
            </w:tcBorders>
          </w:tcPr>
          <w:p w14:paraId="0E622241" w14:textId="77777777" w:rsidR="003D302C" w:rsidRDefault="003D302C">
            <w:r>
              <w:t>Parameter</w:t>
            </w:r>
          </w:p>
        </w:tc>
        <w:tc>
          <w:tcPr>
            <w:tcW w:w="1009" w:type="dxa"/>
            <w:tcBorders>
              <w:top w:val="single" w:sz="4" w:space="0" w:color="auto"/>
              <w:bottom w:val="single" w:sz="4" w:space="0" w:color="auto"/>
            </w:tcBorders>
          </w:tcPr>
          <w:p w14:paraId="65C8C9E3" w14:textId="77777777" w:rsidR="003D302C" w:rsidRDefault="003D302C">
            <w:r>
              <w:t>Notation</w:t>
            </w:r>
          </w:p>
        </w:tc>
        <w:tc>
          <w:tcPr>
            <w:tcW w:w="3597" w:type="dxa"/>
            <w:tcBorders>
              <w:top w:val="single" w:sz="4" w:space="0" w:color="auto"/>
              <w:bottom w:val="single" w:sz="4" w:space="0" w:color="auto"/>
            </w:tcBorders>
          </w:tcPr>
          <w:p w14:paraId="62F60518" w14:textId="77777777" w:rsidR="003D302C" w:rsidRDefault="003D302C">
            <w:r>
              <w:t>Annotation</w:t>
            </w:r>
          </w:p>
        </w:tc>
      </w:tr>
      <w:tr w:rsidR="00B2705A" w14:paraId="671B6AE4" w14:textId="77777777" w:rsidTr="009B78D3">
        <w:tc>
          <w:tcPr>
            <w:tcW w:w="4754" w:type="dxa"/>
            <w:tcBorders>
              <w:top w:val="single" w:sz="4" w:space="0" w:color="auto"/>
            </w:tcBorders>
            <w:shd w:val="clear" w:color="auto" w:fill="FFFFFF" w:themeFill="background1"/>
          </w:tcPr>
          <w:p w14:paraId="74F327CD" w14:textId="77777777" w:rsidR="00B2705A" w:rsidRPr="005439BD" w:rsidRDefault="00B2705A" w:rsidP="00B2705A">
            <w:r w:rsidRPr="005439BD">
              <w:t xml:space="preserve">Number of samples under condition </w:t>
            </w:r>
            <m:oMath>
              <m:r>
                <w:rPr>
                  <w:rFonts w:ascii="Cambria Math" w:hAnsi="Cambria Math"/>
                </w:rPr>
                <m:t>i</m:t>
              </m:r>
            </m:oMath>
          </w:p>
        </w:tc>
        <w:tc>
          <w:tcPr>
            <w:tcW w:w="1009" w:type="dxa"/>
            <w:tcBorders>
              <w:top w:val="single" w:sz="4" w:space="0" w:color="auto"/>
            </w:tcBorders>
            <w:shd w:val="clear" w:color="auto" w:fill="FFFFFF" w:themeFill="background1"/>
          </w:tcPr>
          <w:p w14:paraId="2F4AE793" w14:textId="77777777" w:rsidR="00B2705A" w:rsidRDefault="00872CF6" w:rsidP="00B2705A">
            <m:oMathPara>
              <m:oMath>
                <m:sSub>
                  <m:sSubPr>
                    <m:ctrlPr>
                      <w:rPr>
                        <w:rFonts w:ascii="Cambria Math" w:hAnsi="Cambria Math"/>
                        <w:i/>
                      </w:rPr>
                    </m:ctrlPr>
                  </m:sSubPr>
                  <m:e>
                    <m:r>
                      <w:rPr>
                        <w:rFonts w:ascii="Cambria Math" w:hAnsi="Cambria Math"/>
                      </w:rPr>
                      <m:t>M</m:t>
                    </m:r>
                  </m:e>
                  <m:sub>
                    <m:r>
                      <w:rPr>
                        <w:rFonts w:ascii="Cambria Math" w:hAnsi="Cambria Math"/>
                      </w:rPr>
                      <m:t>i</m:t>
                    </m:r>
                  </m:sub>
                </m:sSub>
              </m:oMath>
            </m:oMathPara>
          </w:p>
        </w:tc>
        <w:tc>
          <w:tcPr>
            <w:tcW w:w="3597" w:type="dxa"/>
            <w:tcBorders>
              <w:top w:val="single" w:sz="4" w:space="0" w:color="auto"/>
            </w:tcBorders>
            <w:shd w:val="clear" w:color="auto" w:fill="FFFFFF" w:themeFill="background1"/>
          </w:tcPr>
          <w:p w14:paraId="67A2AEDE" w14:textId="77777777" w:rsidR="00B2705A" w:rsidRPr="00B43B78" w:rsidRDefault="00B2705A" w:rsidP="00B2705A">
            <m:oMathPara>
              <m:oMathParaPr>
                <m:jc m:val="left"/>
              </m:oMathParaPr>
              <m:oMath>
                <m:r>
                  <w:rPr>
                    <w:rFonts w:ascii="Cambria Math" w:hAnsi="Cambria Math"/>
                  </w:rPr>
                  <m:t xml:space="preserve">i=0 </m:t>
                </m:r>
                <m:d>
                  <m:dPr>
                    <m:ctrlPr>
                      <w:rPr>
                        <w:rFonts w:ascii="Cambria Math" w:hAnsi="Cambria Math"/>
                        <w:i/>
                      </w:rPr>
                    </m:ctrlPr>
                  </m:dPr>
                  <m:e>
                    <m:r>
                      <m:rPr>
                        <m:sty m:val="p"/>
                      </m:rPr>
                      <w:rPr>
                        <w:rFonts w:ascii="Cambria Math" w:hAnsi="Cambria Math"/>
                      </w:rPr>
                      <m:t>control</m:t>
                    </m:r>
                  </m:e>
                </m:d>
                <m:r>
                  <w:rPr>
                    <w:rFonts w:ascii="Cambria Math" w:hAnsi="Cambria Math"/>
                  </w:rPr>
                  <m:t>, 1 (</m:t>
                </m:r>
                <m:r>
                  <m:rPr>
                    <m:sty m:val="p"/>
                  </m:rPr>
                  <w:rPr>
                    <w:rFonts w:ascii="Cambria Math" w:hAnsi="Cambria Math"/>
                  </w:rPr>
                  <m:t>experimental)</m:t>
                </m:r>
              </m:oMath>
            </m:oMathPara>
          </w:p>
        </w:tc>
      </w:tr>
      <w:tr w:rsidR="00B2705A" w14:paraId="109E1F15" w14:textId="77777777" w:rsidTr="009B78D3">
        <w:tc>
          <w:tcPr>
            <w:tcW w:w="4754" w:type="dxa"/>
            <w:shd w:val="clear" w:color="auto" w:fill="FFFFFF" w:themeFill="background1"/>
          </w:tcPr>
          <w:p w14:paraId="21E08A6A" w14:textId="77777777" w:rsidR="00B2705A" w:rsidRPr="005439BD" w:rsidRDefault="00B2705A" w:rsidP="00B2705A">
            <w:r w:rsidRPr="005439BD">
              <w:t xml:space="preserve">Number of cells in </w:t>
            </w:r>
            <w:r w:rsidR="00B43B78">
              <w:t xml:space="preserve">each </w:t>
            </w:r>
            <w:r w:rsidRPr="005439BD">
              <w:t>sample</w:t>
            </w:r>
          </w:p>
        </w:tc>
        <w:tc>
          <w:tcPr>
            <w:tcW w:w="1009" w:type="dxa"/>
            <w:shd w:val="clear" w:color="auto" w:fill="FFFFFF" w:themeFill="background1"/>
          </w:tcPr>
          <w:p w14:paraId="3E2AD954" w14:textId="77777777" w:rsidR="00B2705A" w:rsidRDefault="00872CF6" w:rsidP="00B2705A">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3597" w:type="dxa"/>
            <w:shd w:val="clear" w:color="auto" w:fill="FFFFFF" w:themeFill="background1"/>
          </w:tcPr>
          <w:p w14:paraId="0CE036AC" w14:textId="77777777" w:rsidR="00B2705A" w:rsidRPr="00B43B78" w:rsidRDefault="00B43B78" w:rsidP="00B2705A">
            <m:oMathPara>
              <m:oMathParaPr>
                <m:jc m:val="left"/>
              </m:oMathParaPr>
              <m:oMath>
                <m:r>
                  <w:rPr>
                    <w:rFonts w:ascii="Cambria Math" w:hAnsi="Cambria Math"/>
                  </w:rPr>
                  <m:t xml:space="preserve">i=0 </m:t>
                </m:r>
                <m:d>
                  <m:dPr>
                    <m:ctrlPr>
                      <w:rPr>
                        <w:rFonts w:ascii="Cambria Math" w:hAnsi="Cambria Math"/>
                        <w:i/>
                      </w:rPr>
                    </m:ctrlPr>
                  </m:dPr>
                  <m:e>
                    <m:r>
                      <m:rPr>
                        <m:sty m:val="p"/>
                      </m:rPr>
                      <w:rPr>
                        <w:rFonts w:ascii="Cambria Math" w:hAnsi="Cambria Math"/>
                      </w:rPr>
                      <m:t>control</m:t>
                    </m:r>
                  </m:e>
                </m:d>
                <m:r>
                  <w:rPr>
                    <w:rFonts w:ascii="Cambria Math" w:hAnsi="Cambria Math"/>
                  </w:rPr>
                  <m:t>, 1 (</m:t>
                </m:r>
                <m:r>
                  <m:rPr>
                    <m:sty m:val="p"/>
                  </m:rPr>
                  <w:rPr>
                    <w:rFonts w:ascii="Cambria Math" w:hAnsi="Cambria Math"/>
                  </w:rPr>
                  <m:t>experimental)</m:t>
                </m:r>
              </m:oMath>
            </m:oMathPara>
          </w:p>
        </w:tc>
      </w:tr>
      <w:tr w:rsidR="00B2705A" w14:paraId="4C79C497" w14:textId="77777777" w:rsidTr="009B78D3">
        <w:tc>
          <w:tcPr>
            <w:tcW w:w="4754" w:type="dxa"/>
          </w:tcPr>
          <w:p w14:paraId="1D1B1DC1" w14:textId="77777777" w:rsidR="00B2705A" w:rsidRDefault="00F37FDB" w:rsidP="005439BD">
            <w:r>
              <w:t>Mean and standard deviation of proportions</w:t>
            </w:r>
          </w:p>
        </w:tc>
        <w:tc>
          <w:tcPr>
            <w:tcW w:w="1009" w:type="dxa"/>
          </w:tcPr>
          <w:p w14:paraId="345146A3" w14:textId="77777777" w:rsidR="00B2705A" w:rsidRDefault="00872CF6" w:rsidP="005439BD">
            <w:pPr>
              <w:rPr>
                <w:rFonts w:ascii="Calibri" w:eastAsia="Times New Roman"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i</m:t>
                    </m:r>
                  </m:sub>
                </m:sSub>
              </m:oMath>
            </m:oMathPara>
          </w:p>
        </w:tc>
        <w:tc>
          <w:tcPr>
            <w:tcW w:w="3597" w:type="dxa"/>
          </w:tcPr>
          <w:p w14:paraId="2D0FA6AB" w14:textId="77777777" w:rsidR="00B2705A" w:rsidRDefault="00B2705A" w:rsidP="005439BD">
            <w:r>
              <w:t>Parameters for beta distribution.</w:t>
            </w:r>
          </w:p>
        </w:tc>
      </w:tr>
      <w:tr w:rsidR="005439BD" w14:paraId="6EAEACED" w14:textId="77777777" w:rsidTr="009B78D3">
        <w:tc>
          <w:tcPr>
            <w:tcW w:w="4754" w:type="dxa"/>
            <w:tcBorders>
              <w:bottom w:val="single" w:sz="4" w:space="0" w:color="auto"/>
            </w:tcBorders>
          </w:tcPr>
          <w:p w14:paraId="76779FDB" w14:textId="77777777" w:rsidR="005439BD" w:rsidRDefault="00F37FDB" w:rsidP="005439BD">
            <w:r>
              <w:t>False positive rate</w:t>
            </w:r>
          </w:p>
        </w:tc>
        <w:tc>
          <w:tcPr>
            <w:tcW w:w="1009" w:type="dxa"/>
            <w:tcBorders>
              <w:bottom w:val="single" w:sz="4" w:space="0" w:color="auto"/>
            </w:tcBorders>
          </w:tcPr>
          <w:p w14:paraId="663C8DF1" w14:textId="77777777" w:rsidR="005439BD" w:rsidRDefault="005439BD" w:rsidP="005439BD">
            <m:oMathPara>
              <m:oMath>
                <m:r>
                  <w:rPr>
                    <w:rFonts w:ascii="Cambria Math" w:hAnsi="Cambria Math"/>
                  </w:rPr>
                  <m:t>α</m:t>
                </m:r>
              </m:oMath>
            </m:oMathPara>
          </w:p>
        </w:tc>
        <w:tc>
          <w:tcPr>
            <w:tcW w:w="3597" w:type="dxa"/>
            <w:tcBorders>
              <w:bottom w:val="single" w:sz="4" w:space="0" w:color="auto"/>
            </w:tcBorders>
          </w:tcPr>
          <w:p w14:paraId="3C1E3A48" w14:textId="77777777" w:rsidR="005439BD" w:rsidRDefault="00B43B78" w:rsidP="005439BD">
            <w:r>
              <w:t>Significant value.</w:t>
            </w:r>
          </w:p>
        </w:tc>
      </w:tr>
    </w:tbl>
    <w:p w14:paraId="3E2CF8F5" w14:textId="77777777" w:rsidR="00B43B78" w:rsidRDefault="00B43B78" w:rsidP="00B665C4"/>
    <w:p w14:paraId="5E57A864" w14:textId="77777777" w:rsidR="00B43B78" w:rsidRPr="006218C8" w:rsidRDefault="00F37FDB" w:rsidP="00B43B78">
      <w:r>
        <w:t>We assume that t-test is used, where the null hypothesis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3127"/>
        <w:gridCol w:w="2844"/>
        <w:gridCol w:w="461"/>
      </w:tblGrid>
      <w:tr w:rsidR="006218C8" w14:paraId="7CEC5388" w14:textId="77777777" w:rsidTr="006218C8">
        <w:tc>
          <w:tcPr>
            <w:tcW w:w="2965" w:type="dxa"/>
          </w:tcPr>
          <w:p w14:paraId="63E3F8EA" w14:textId="77777777" w:rsidR="006218C8" w:rsidRDefault="006218C8" w:rsidP="008A443B">
            <w:pPr>
              <w:jc w:val="center"/>
            </w:pPr>
          </w:p>
        </w:tc>
        <w:tc>
          <w:tcPr>
            <w:tcW w:w="3150" w:type="dxa"/>
          </w:tcPr>
          <w:p w14:paraId="3BD11B20" w14:textId="77777777" w:rsidR="006218C8" w:rsidRPr="000A4FA8" w:rsidRDefault="00872CF6" w:rsidP="008A443B">
            <w:pPr>
              <w:jc w:val="center"/>
              <w:rPr>
                <w:rFonts w:ascii="Calibri Light" w:eastAsia="Times New Roman" w:hAnsi="Calibri Light" w:cs="Times New Roman"/>
              </w:rPr>
            </w:pPr>
            <m:oMathPara>
              <m:oMathParaPr>
                <m:jc m:val="righ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1j</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0j</m:t>
                        </m:r>
                      </m:sub>
                    </m:sSub>
                  </m:e>
                </m:nary>
                <m:r>
                  <w:rPr>
                    <w:rFonts w:ascii="Cambria Math" w:hAnsi="Cambria Math"/>
                  </w:rPr>
                  <m:t>=0</m:t>
                </m:r>
              </m:oMath>
            </m:oMathPara>
          </w:p>
        </w:tc>
        <w:tc>
          <w:tcPr>
            <w:tcW w:w="2880" w:type="dxa"/>
            <w:vAlign w:val="center"/>
          </w:tcPr>
          <w:p w14:paraId="600A669A" w14:textId="77777777" w:rsidR="006218C8" w:rsidRDefault="006218C8" w:rsidP="006218C8">
            <w:pPr>
              <w:rPr>
                <w:rFonts w:eastAsia="Times New Roman"/>
              </w:rPr>
            </w:pPr>
            <w:r>
              <w:rPr>
                <w:rFonts w:eastAsia="Times New Roman"/>
              </w:rPr>
              <w:t>.</w:t>
            </w:r>
          </w:p>
        </w:tc>
        <w:tc>
          <w:tcPr>
            <w:tcW w:w="355" w:type="dxa"/>
            <w:vAlign w:val="center"/>
          </w:tcPr>
          <w:p w14:paraId="0A0F02D5" w14:textId="77777777" w:rsidR="006218C8" w:rsidRDefault="006218C8" w:rsidP="006218C8">
            <w:pPr>
              <w:jc w:val="right"/>
              <w:rPr>
                <w:rFonts w:eastAsia="Times New Roman"/>
              </w:rPr>
            </w:pPr>
            <w:r>
              <w:rPr>
                <w:rFonts w:eastAsia="Times New Roman"/>
              </w:rPr>
              <w:t>(1)</w:t>
            </w:r>
          </w:p>
        </w:tc>
      </w:tr>
    </w:tbl>
    <w:p w14:paraId="114D846A" w14:textId="2E062A4E" w:rsidR="006218C8" w:rsidRPr="00002B23" w:rsidRDefault="006218C8" w:rsidP="006218C8">
      <w:r>
        <w:t>f</w:t>
      </w:r>
      <w:r w:rsidR="00F37FDB">
        <w:t>or two-sided test</w:t>
      </w:r>
      <w:r>
        <w:t xml:space="preserve">, where </w:t>
      </w:r>
      <m:oMath>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oMath>
      <w:r>
        <w:t xml:space="preserve"> denotes the cell proportion in sample </w:t>
      </w:r>
      <m:oMath>
        <m:r>
          <w:rPr>
            <w:rFonts w:ascii="Cambria Math" w:hAnsi="Cambria Math"/>
          </w:rPr>
          <m:t>j</m:t>
        </m:r>
      </m:oMath>
      <w:r>
        <w:t xml:space="preserve"> from group </w:t>
      </w:r>
      <m:oMath>
        <m:r>
          <w:rPr>
            <w:rFonts w:ascii="Cambria Math" w:hAnsi="Cambria Math"/>
          </w:rPr>
          <m:t>i</m:t>
        </m:r>
      </m:oMath>
      <w:r w:rsidR="00F37FDB">
        <w:t xml:space="preserve">. We assume that in single-cell sequencing, the probability of a cell being of the type of interest,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7FDB">
        <w:t xml:space="preserve">. For the </w:t>
      </w:r>
      <m:oMath>
        <m:r>
          <w:rPr>
            <w:rFonts w:ascii="Cambria Math" w:hAnsi="Cambria Math"/>
          </w:rPr>
          <m:t>j</m:t>
        </m:r>
      </m:oMath>
      <w:r w:rsidR="00F37FDB">
        <w:t xml:space="preserve">th sample in group </w:t>
      </w:r>
      <m:oMath>
        <m:r>
          <w:rPr>
            <w:rFonts w:ascii="Cambria Math" w:hAnsi="Cambria Math"/>
          </w:rPr>
          <m:t>i</m:t>
        </m:r>
      </m:oMath>
      <w:r w:rsidR="00F37FDB">
        <w:t xml:space="preserve">, The total number of such cells is a random variable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~Binomial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F37FD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10719">
        <w:t xml:space="preserve"> it self is a random variable, which represents the variances among samples in the same group. </w:t>
      </w:r>
      <w:r w:rsidR="00F37FDB">
        <w:t xml:space="preserve">It is natural to then model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7FDB">
        <w:t xml:space="preserve"> </w:t>
      </w:r>
      <w:r w:rsidR="00510719">
        <w:t xml:space="preserve">with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510719">
        <w:t xml:space="preserve">, which is conveniently defined on </w:t>
      </w:r>
      <m:oMath>
        <m:r>
          <w:rPr>
            <w:rFonts w:ascii="Cambria Math" w:hAnsi="Cambria Math"/>
          </w:rPr>
          <m:t>[0, 1]</m:t>
        </m:r>
      </m:oMath>
      <w:r w:rsidR="00F37FDB">
        <w:t xml:space="preserve">.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37FDB">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F37FDB">
        <w:t xml:space="preserve">can be </w:t>
      </w:r>
      <w:r w:rsidR="000A4FA8">
        <w:t>reparametrized from</w:t>
      </w:r>
      <w:r w:rsidR="00F37FDB">
        <w:t xml:space="preserve"> the user-defined mean and standard deviation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F37FDB">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F37FDB">
        <w:t>. Formally,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123"/>
        <w:gridCol w:w="2335"/>
        <w:gridCol w:w="535"/>
      </w:tblGrid>
      <w:tr w:rsidR="006218C8" w14:paraId="78C04909" w14:textId="77777777" w:rsidTr="000A4FA8">
        <w:tc>
          <w:tcPr>
            <w:tcW w:w="1357" w:type="dxa"/>
          </w:tcPr>
          <w:p w14:paraId="65DDA1A9" w14:textId="77777777" w:rsidR="006218C8" w:rsidRDefault="006218C8" w:rsidP="006218C8">
            <w:pPr>
              <w:jc w:val="center"/>
            </w:pPr>
          </w:p>
        </w:tc>
        <w:tc>
          <w:tcPr>
            <w:tcW w:w="5123" w:type="dxa"/>
          </w:tcPr>
          <w:p w14:paraId="028FB15B" w14:textId="77777777" w:rsidR="006218C8" w:rsidRPr="000A4FA8" w:rsidRDefault="00872CF6" w:rsidP="006218C8">
            <w:pPr>
              <w:jc w:val="center"/>
              <w:rPr>
                <w:rFonts w:ascii="Calibri Light" w:eastAsia="Times New Roman" w:hAnsi="Calibri Light" w:cs="Times New Roman"/>
              </w:rPr>
            </w:pPr>
            <m:oMathPara>
              <m:oMathParaPr>
                <m:jc m:val="righ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e>
                </m:d>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-1</m:t>
                    </m:r>
                  </m:e>
                </m:d>
              </m:oMath>
            </m:oMathPara>
          </w:p>
        </w:tc>
        <w:tc>
          <w:tcPr>
            <w:tcW w:w="2335" w:type="dxa"/>
            <w:vAlign w:val="center"/>
          </w:tcPr>
          <w:p w14:paraId="5D93A52E" w14:textId="77777777" w:rsidR="006218C8" w:rsidRDefault="006218C8" w:rsidP="006218C8">
            <w:pPr>
              <w:rPr>
                <w:rFonts w:eastAsia="Times New Roman"/>
              </w:rPr>
            </w:pPr>
            <w:r>
              <w:rPr>
                <w:rFonts w:eastAsia="Times New Roman"/>
              </w:rPr>
              <w:t>.</w:t>
            </w:r>
          </w:p>
        </w:tc>
        <w:tc>
          <w:tcPr>
            <w:tcW w:w="535" w:type="dxa"/>
            <w:vAlign w:val="center"/>
          </w:tcPr>
          <w:p w14:paraId="0434CD9A" w14:textId="77777777" w:rsidR="006218C8" w:rsidRDefault="006218C8" w:rsidP="006218C8">
            <w:pPr>
              <w:jc w:val="right"/>
              <w:rPr>
                <w:rFonts w:eastAsia="Times New Roman"/>
              </w:rPr>
            </w:pPr>
            <w:r>
              <w:rPr>
                <w:rFonts w:eastAsia="Times New Roman"/>
              </w:rPr>
              <w:t>(2)</w:t>
            </w:r>
          </w:p>
        </w:tc>
      </w:tr>
    </w:tbl>
    <w:p w14:paraId="03BED20A" w14:textId="1EFD6271" w:rsidR="006218C8" w:rsidRDefault="006218C8" w:rsidP="00B665C4">
      <w:r>
        <w:t xml:space="preserve">Practically, we require that the resulting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to be both greater than </w:t>
      </w:r>
      <m:oMath>
        <m:r>
          <w:rPr>
            <w:rFonts w:ascii="Cambria Math" w:hAnsi="Cambria Math"/>
          </w:rPr>
          <m:t>0</m:t>
        </m:r>
      </m:oMath>
      <w:r>
        <w:t xml:space="preserve"> to confine the beta distribution to be of unimodal. </w:t>
      </w:r>
      <w:r w:rsidR="00510719">
        <w:t xml:space="preserve">Because beta distribution is a conjugate prior of binomial distribution,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~BetaBinomial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t xml:space="preserve">, </w:t>
      </w:r>
      <w:r w:rsidR="00510719">
        <w:t>whose mean and variance are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495"/>
        <w:gridCol w:w="2065"/>
        <w:gridCol w:w="535"/>
      </w:tblGrid>
      <w:tr w:rsidR="006218C8" w14:paraId="04003BEE" w14:textId="77777777" w:rsidTr="000A4FA8">
        <w:tc>
          <w:tcPr>
            <w:tcW w:w="1255" w:type="dxa"/>
          </w:tcPr>
          <w:p w14:paraId="4A8C6F2C" w14:textId="77777777" w:rsidR="006218C8" w:rsidRDefault="006218C8" w:rsidP="006218C8"/>
        </w:tc>
        <w:tc>
          <w:tcPr>
            <w:tcW w:w="5495" w:type="dxa"/>
          </w:tcPr>
          <w:p w14:paraId="0891C4E7" w14:textId="77777777" w:rsidR="006218C8" w:rsidRPr="000A4FA8" w:rsidRDefault="006218C8" w:rsidP="006218C8">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m:rPr>
                    <m:scr m:val="double-struck"/>
                  </m:rPr>
                  <w:rPr>
                    <w:rFonts w:ascii="Cambria Math" w:hAnsi="Cambria Math"/>
                  </w:rPr>
                  <m:t>, 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d>
                  </m:den>
                </m:f>
              </m:oMath>
            </m:oMathPara>
          </w:p>
        </w:tc>
        <w:tc>
          <w:tcPr>
            <w:tcW w:w="2065" w:type="dxa"/>
            <w:vAlign w:val="center"/>
          </w:tcPr>
          <w:p w14:paraId="5B3B8432" w14:textId="77777777" w:rsidR="006218C8" w:rsidRDefault="006218C8" w:rsidP="006218C8">
            <w:pPr>
              <w:rPr>
                <w:rFonts w:eastAsia="Times New Roman"/>
              </w:rPr>
            </w:pPr>
            <w:r>
              <w:rPr>
                <w:rFonts w:eastAsia="Times New Roman"/>
              </w:rPr>
              <w:t>.</w:t>
            </w:r>
          </w:p>
        </w:tc>
        <w:tc>
          <w:tcPr>
            <w:tcW w:w="535" w:type="dxa"/>
            <w:vAlign w:val="center"/>
          </w:tcPr>
          <w:p w14:paraId="154B476F" w14:textId="77777777" w:rsidR="006218C8" w:rsidRDefault="006218C8" w:rsidP="006218C8">
            <w:pPr>
              <w:jc w:val="right"/>
              <w:rPr>
                <w:rFonts w:eastAsia="Times New Roman"/>
              </w:rPr>
            </w:pPr>
            <w:r>
              <w:rPr>
                <w:rFonts w:eastAsia="Times New Roman"/>
              </w:rPr>
              <w:t>(</w:t>
            </w:r>
            <w:r w:rsidR="000A4FA8">
              <w:rPr>
                <w:rFonts w:eastAsia="Times New Roman"/>
              </w:rPr>
              <w:t>3</w:t>
            </w:r>
            <w:r>
              <w:rPr>
                <w:rFonts w:eastAsia="Times New Roman"/>
              </w:rPr>
              <w:t>)</w:t>
            </w:r>
          </w:p>
        </w:tc>
      </w:tr>
    </w:tbl>
    <w:p w14:paraId="1807BB55" w14:textId="6A4ACCBB" w:rsidR="006218C8" w:rsidRDefault="006218C8" w:rsidP="00B665C4">
      <w:r>
        <w:t xml:space="preserve">The proportion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00510719">
        <w:t xml:space="preserve"> </w:t>
      </w:r>
      <w:r>
        <w:t xml:space="preserve">is simply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10719">
        <w:t xml:space="preserve"> </w:t>
      </w:r>
      <w:r>
        <w:t>normalized by the total number of cells</w:t>
      </w:r>
      <w:r w:rsidR="00510719">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589"/>
        <w:gridCol w:w="337"/>
        <w:gridCol w:w="2183"/>
      </w:tblGrid>
      <w:tr w:rsidR="006218C8" w14:paraId="1E5547CB" w14:textId="77777777" w:rsidTr="000A4FA8">
        <w:tc>
          <w:tcPr>
            <w:tcW w:w="1251" w:type="dxa"/>
          </w:tcPr>
          <w:p w14:paraId="7BAA633F" w14:textId="77777777" w:rsidR="006218C8" w:rsidRDefault="006218C8" w:rsidP="006218C8"/>
        </w:tc>
        <w:tc>
          <w:tcPr>
            <w:tcW w:w="5589" w:type="dxa"/>
          </w:tcPr>
          <w:p w14:paraId="52AE7101" w14:textId="77777777" w:rsidR="006218C8" w:rsidRPr="000A4FA8" w:rsidRDefault="006218C8" w:rsidP="006218C8">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m:rPr>
                    <m:scr m:val="double-struck"/>
                  </m:rPr>
                  <w:rPr>
                    <w:rFonts w:ascii="Cambria Math" w:hAnsi="Cambria Math"/>
                  </w:rPr>
                  <m:t>, V</m:t>
                </m:r>
                <m:d>
                  <m:dPr>
                    <m:begChr m:val="["/>
                    <m:endChr m:val="]"/>
                    <m:ctrlPr>
                      <w:rPr>
                        <w:rFonts w:ascii="Cambria Math" w:hAnsi="Cambria Math"/>
                        <w:i/>
                      </w:rPr>
                    </m:ctrlPr>
                  </m:dPr>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d>
                  </m:den>
                </m:f>
              </m:oMath>
            </m:oMathPara>
          </w:p>
          <w:p w14:paraId="09321CCB" w14:textId="77777777" w:rsidR="006218C8" w:rsidRDefault="006218C8" w:rsidP="006218C8"/>
        </w:tc>
        <w:tc>
          <w:tcPr>
            <w:tcW w:w="337" w:type="dxa"/>
            <w:vAlign w:val="center"/>
          </w:tcPr>
          <w:p w14:paraId="62873AA9" w14:textId="77777777" w:rsidR="006218C8" w:rsidRDefault="006218C8" w:rsidP="006218C8">
            <w:pPr>
              <w:rPr>
                <w:rFonts w:eastAsia="Times New Roman"/>
              </w:rPr>
            </w:pPr>
            <w:r>
              <w:rPr>
                <w:rFonts w:eastAsia="Times New Roman"/>
              </w:rPr>
              <w:t>.</w:t>
            </w:r>
          </w:p>
        </w:tc>
        <w:tc>
          <w:tcPr>
            <w:tcW w:w="2183" w:type="dxa"/>
            <w:vAlign w:val="center"/>
          </w:tcPr>
          <w:p w14:paraId="78E257F5" w14:textId="77777777" w:rsidR="006218C8" w:rsidRDefault="006218C8" w:rsidP="006218C8">
            <w:pPr>
              <w:jc w:val="right"/>
              <w:rPr>
                <w:rFonts w:eastAsia="Times New Roman"/>
              </w:rPr>
            </w:pPr>
            <w:r>
              <w:rPr>
                <w:rFonts w:eastAsia="Times New Roman"/>
              </w:rPr>
              <w:t>(4)</w:t>
            </w:r>
          </w:p>
        </w:tc>
      </w:tr>
    </w:tbl>
    <w:p w14:paraId="48AFFEE7" w14:textId="4094C007" w:rsidR="006218C8" w:rsidRDefault="006218C8" w:rsidP="006218C8">
      <w:r>
        <w:t>We now assume that the beta binomial distribution can be approximated by a normal distribution</w:t>
      </w:r>
      <w:r w:rsidR="00510719">
        <w:t xml:space="preserve">, </w:t>
      </w:r>
      <w:proofErr w:type="spellStart"/>
      <w:r w:rsidR="00C761B1">
        <w:t>a</w:t>
      </w:r>
      <w:r w:rsidR="00510719">
        <w:t>where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4690"/>
        <w:gridCol w:w="896"/>
        <w:gridCol w:w="2074"/>
      </w:tblGrid>
      <w:tr w:rsidR="000A4FA8" w14:paraId="014E4251" w14:textId="77777777" w:rsidTr="000A4FA8">
        <w:tc>
          <w:tcPr>
            <w:tcW w:w="1700" w:type="dxa"/>
          </w:tcPr>
          <w:p w14:paraId="22D2BAB0" w14:textId="77777777" w:rsidR="00A633B2" w:rsidRDefault="00A633B2" w:rsidP="008A443B"/>
        </w:tc>
        <w:tc>
          <w:tcPr>
            <w:tcW w:w="4690" w:type="dxa"/>
          </w:tcPr>
          <w:p w14:paraId="77DACEAD" w14:textId="2B6CE502" w:rsidR="00A633B2" w:rsidRPr="00510719" w:rsidRDefault="00872CF6" w:rsidP="008A443B">
            <m:oMathPara>
              <m:oMathParaPr>
                <m:jc m:val="right"/>
              </m:oMathParaPr>
              <m:oMath>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r>
                  <w:rPr>
                    <w:rFonts w:ascii="Cambria Math" w:eastAsia="Calibri" w:hAnsi="Cambria Math" w:cs="Times New Roman"/>
                  </w:rPr>
                  <m:t>~</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d>
                      </m:den>
                    </m:f>
                  </m:e>
                </m:d>
              </m:oMath>
            </m:oMathPara>
          </w:p>
        </w:tc>
        <w:tc>
          <w:tcPr>
            <w:tcW w:w="896" w:type="dxa"/>
            <w:vAlign w:val="center"/>
          </w:tcPr>
          <w:p w14:paraId="2037A814" w14:textId="77777777" w:rsidR="00A633B2" w:rsidRDefault="00A633B2" w:rsidP="008A443B">
            <w:pPr>
              <w:rPr>
                <w:rFonts w:eastAsia="Times New Roman"/>
              </w:rPr>
            </w:pPr>
            <w:r>
              <w:rPr>
                <w:rFonts w:eastAsia="Times New Roman"/>
              </w:rPr>
              <w:t>.</w:t>
            </w:r>
          </w:p>
        </w:tc>
        <w:tc>
          <w:tcPr>
            <w:tcW w:w="2074" w:type="dxa"/>
            <w:vAlign w:val="center"/>
          </w:tcPr>
          <w:p w14:paraId="1237CA08" w14:textId="77777777" w:rsidR="00A633B2" w:rsidRDefault="00A633B2" w:rsidP="008A443B">
            <w:pPr>
              <w:jc w:val="right"/>
              <w:rPr>
                <w:rFonts w:eastAsia="Times New Roman"/>
              </w:rPr>
            </w:pPr>
            <w:r>
              <w:rPr>
                <w:rFonts w:eastAsia="Times New Roman"/>
              </w:rPr>
              <w:t>(</w:t>
            </w:r>
            <w:r w:rsidR="000A4FA8">
              <w:rPr>
                <w:rFonts w:eastAsia="Times New Roman"/>
              </w:rPr>
              <w:t>5</w:t>
            </w:r>
            <w:r>
              <w:rPr>
                <w:rFonts w:eastAsia="Times New Roman"/>
              </w:rPr>
              <w:t>)</w:t>
            </w:r>
          </w:p>
        </w:tc>
      </w:tr>
    </w:tbl>
    <w:p w14:paraId="3252D3C0" w14:textId="77777777" w:rsidR="00A633B2" w:rsidRDefault="00A633B2" w:rsidP="006218C8"/>
    <w:p w14:paraId="2E923AAE" w14:textId="3170A129" w:rsidR="006218C8" w:rsidRPr="00B54ECB" w:rsidRDefault="00510719" w:rsidP="006218C8">
      <w:r>
        <w:t>To justify such an approximation, we compare the two distributions under different conditions.</w:t>
      </w:r>
      <w:r w:rsidR="00A633B2">
        <w:t xml:space="preserve"> </w:t>
      </w:r>
      <w:r w:rsidR="00E858F0">
        <w:t xml:space="preserve">In specific, </w:t>
      </w:r>
      <w:r w:rsidR="00A633B2">
        <w:t>Fig</w:t>
      </w:r>
      <w:r w:rsidR="00E858F0">
        <w:t>.</w:t>
      </w:r>
      <w:r w:rsidR="00A633B2">
        <w:t xml:space="preserve"> 1a shows that the L1 distance between a beta binomial distribution is smaller when </w:t>
      </w:r>
      <m:oMath>
        <m:r>
          <w:rPr>
            <w:rFonts w:ascii="Cambria Math" w:hAnsi="Cambria Math"/>
          </w:rPr>
          <m:t>μ</m:t>
        </m:r>
      </m:oMath>
      <w:r w:rsidR="00A633B2">
        <w:t xml:space="preserve"> is closer to 0.5, </w:t>
      </w:r>
      <m:oMath>
        <m:r>
          <w:rPr>
            <w:rFonts w:ascii="Cambria Math" w:hAnsi="Cambria Math"/>
          </w:rPr>
          <m:t>σ</m:t>
        </m:r>
      </m:oMath>
      <w:r w:rsidR="00A633B2">
        <w:t xml:space="preserve"> is smaller, and </w:t>
      </w:r>
      <m:oMath>
        <m:r>
          <w:rPr>
            <w:rFonts w:ascii="Cambria Math" w:hAnsi="Cambria Math"/>
          </w:rPr>
          <m:t>N</m:t>
        </m:r>
      </m:oMath>
      <w:r w:rsidR="00A633B2">
        <w:t xml:space="preserve"> is larger. Fig</w:t>
      </w:r>
      <w:r w:rsidR="00E858F0">
        <w:t>.</w:t>
      </w:r>
      <w:r w:rsidR="00A633B2">
        <w:t xml:space="preserve"> 1b </w:t>
      </w:r>
      <w:r w:rsidR="00E858F0">
        <w:t xml:space="preserve">further </w:t>
      </w:r>
      <w:r w:rsidR="00A633B2">
        <w:t xml:space="preserve">shows two representative examples. For </w:t>
      </w:r>
      <m:oMath>
        <m:r>
          <w:rPr>
            <w:rFonts w:ascii="Cambria Math" w:hAnsi="Cambria Math"/>
          </w:rPr>
          <m:t>μ=0.3</m:t>
        </m:r>
      </m:oMath>
      <w:r w:rsidR="00A633B2">
        <w:t xml:space="preserve">, </w:t>
      </w:r>
      <m:oMath>
        <m:r>
          <w:rPr>
            <w:rFonts w:ascii="Cambria Math" w:hAnsi="Cambria Math"/>
          </w:rPr>
          <m:t>σ=0.2</m:t>
        </m:r>
      </m:oMath>
      <w:r w:rsidR="00A633B2">
        <w:t xml:space="preserve">, the underlying beta distribution is already </w:t>
      </w:r>
      <w:r w:rsidR="0081386E">
        <w:t xml:space="preserve">skewed to the left and deviates from normal distribution, this results in a slightly unprecise, but still largely acceptable normal approximation. For </w:t>
      </w:r>
      <m:oMath>
        <m:r>
          <w:rPr>
            <w:rFonts w:ascii="Cambria Math" w:hAnsi="Cambria Math"/>
          </w:rPr>
          <m:t>μ=0.5</m:t>
        </m:r>
      </m:oMath>
      <w:r w:rsidR="0081386E">
        <w:t xml:space="preserve">, </w:t>
      </w:r>
      <m:oMath>
        <m:r>
          <w:rPr>
            <w:rFonts w:ascii="Cambria Math" w:hAnsi="Cambria Math"/>
          </w:rPr>
          <m:t>σ=0.1</m:t>
        </m:r>
      </m:oMath>
      <w:r w:rsidR="0081386E">
        <w:t xml:space="preserve">, as the beta distribution itself is visually like a normal distribution, and the </w:t>
      </w:r>
      <w:r w:rsidR="000A4FA8">
        <w:t>generated</w:t>
      </w:r>
      <w:r w:rsidR="0081386E">
        <w:t xml:space="preserve"> </w:t>
      </w:r>
      <m:oMath>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oMath>
      <w:r w:rsidR="0081386E">
        <w:t xml:space="preserve"> can be perfectly approximated by a normal distribution.</w:t>
      </w:r>
      <w:r>
        <w:t xml:space="preserve"> Note that we only allow the unimodal subset of beta distribution to be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A633B2" w14:paraId="5B76427D" w14:textId="77777777" w:rsidTr="000A4FA8">
        <w:tc>
          <w:tcPr>
            <w:tcW w:w="4674" w:type="dxa"/>
          </w:tcPr>
          <w:p w14:paraId="3AE1E098" w14:textId="77777777" w:rsidR="00A633B2" w:rsidRDefault="00A633B2" w:rsidP="00B665C4">
            <w:pPr>
              <w:rPr>
                <w:noProof/>
              </w:rPr>
            </w:pPr>
            <w:r>
              <w:rPr>
                <w:noProof/>
              </w:rPr>
              <w:t>a</w:t>
            </w:r>
          </w:p>
        </w:tc>
        <w:tc>
          <w:tcPr>
            <w:tcW w:w="4676" w:type="dxa"/>
          </w:tcPr>
          <w:p w14:paraId="0671EBF8" w14:textId="77777777" w:rsidR="00A633B2" w:rsidRPr="006218C8" w:rsidRDefault="00A633B2" w:rsidP="00B665C4">
            <w:pPr>
              <w:rPr>
                <w:noProof/>
              </w:rPr>
            </w:pPr>
            <w:r>
              <w:rPr>
                <w:noProof/>
              </w:rPr>
              <w:t>b</w:t>
            </w:r>
          </w:p>
        </w:tc>
      </w:tr>
      <w:tr w:rsidR="006218C8" w14:paraId="47B13A78" w14:textId="77777777" w:rsidTr="000A4FA8">
        <w:tc>
          <w:tcPr>
            <w:tcW w:w="4674" w:type="dxa"/>
          </w:tcPr>
          <w:p w14:paraId="62E1947E" w14:textId="77777777" w:rsidR="006218C8" w:rsidRDefault="00A633B2" w:rsidP="00B665C4">
            <w:r w:rsidRPr="006218C8">
              <w:rPr>
                <w:noProof/>
              </w:rPr>
              <w:drawing>
                <wp:inline distT="0" distB="0" distL="0" distR="0" wp14:anchorId="32E655A9" wp14:editId="497115BA">
                  <wp:extent cx="3049818"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818" cy="2286000"/>
                          </a:xfrm>
                          <a:prstGeom prst="rect">
                            <a:avLst/>
                          </a:prstGeom>
                          <a:noFill/>
                          <a:ln>
                            <a:noFill/>
                          </a:ln>
                        </pic:spPr>
                      </pic:pic>
                    </a:graphicData>
                  </a:graphic>
                </wp:inline>
              </w:drawing>
            </w:r>
          </w:p>
        </w:tc>
        <w:tc>
          <w:tcPr>
            <w:tcW w:w="4676" w:type="dxa"/>
          </w:tcPr>
          <w:p w14:paraId="030A92E0" w14:textId="77777777" w:rsidR="006218C8" w:rsidRDefault="00A633B2" w:rsidP="00B665C4">
            <w:r>
              <w:rPr>
                <w:noProof/>
              </w:rPr>
              <w:drawing>
                <wp:inline distT="0" distB="0" distL="0" distR="0" wp14:anchorId="125B588A" wp14:editId="5560630C">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p>
        </w:tc>
      </w:tr>
      <w:tr w:rsidR="00A633B2" w14:paraId="6A9B8CD0" w14:textId="77777777" w:rsidTr="000A4FA8">
        <w:tc>
          <w:tcPr>
            <w:tcW w:w="9350" w:type="dxa"/>
            <w:gridSpan w:val="2"/>
          </w:tcPr>
          <w:p w14:paraId="751CF60B" w14:textId="77777777" w:rsidR="00A633B2" w:rsidRDefault="00A633B2" w:rsidP="00B665C4">
            <w:r w:rsidRPr="000A4FA8">
              <w:rPr>
                <w:b/>
              </w:rPr>
              <w:t>Fig</w:t>
            </w:r>
            <w:r w:rsidR="00E858F0">
              <w:rPr>
                <w:b/>
              </w:rPr>
              <w:t>.</w:t>
            </w:r>
            <w:r w:rsidRPr="000A4FA8">
              <w:rPr>
                <w:b/>
              </w:rPr>
              <w:t xml:space="preserve"> 1</w:t>
            </w:r>
            <w:r>
              <w:t xml:space="preserve"> Comparison of beta binomial distribution and the normal estimation. </w:t>
            </w:r>
          </w:p>
          <w:p w14:paraId="7317FCC7" w14:textId="77777777" w:rsidR="00A633B2" w:rsidRDefault="000A4FA8" w:rsidP="000A4FA8">
            <w:r>
              <w:t xml:space="preserve">(a) </w:t>
            </w:r>
            <w:r w:rsidR="00A633B2">
              <w:t xml:space="preserve">L1 distance </w:t>
            </w:r>
            <w:r>
              <w:t>between</w:t>
            </w:r>
            <w:r w:rsidR="00A633B2">
              <w:t xml:space="preserve"> beta distribution and normal distribution. Subpanel: number of cells. Color: mean; X-axis: standard deviation; Y-axis: L1 distance between cumulative distribution function (CDF) of a beta binomial distribution and its normal approximation.</w:t>
            </w:r>
          </w:p>
          <w:p w14:paraId="7A495700" w14:textId="0A3EABEE" w:rsidR="00A633B2" w:rsidRDefault="000A4FA8" w:rsidP="000A4FA8">
            <w:r>
              <w:t xml:space="preserve">(b) </w:t>
            </w:r>
            <w:r w:rsidR="00A633B2">
              <w:t xml:space="preserve">Four representative cases. First row: corresponding beta distribution. </w:t>
            </w:r>
            <w:r w:rsidR="006E6689">
              <w:t>Second row and third row</w:t>
            </w:r>
            <w:r w:rsidR="00A633B2">
              <w:t>: CDF for four cases.</w:t>
            </w:r>
          </w:p>
        </w:tc>
      </w:tr>
    </w:tbl>
    <w:p w14:paraId="6C760477" w14:textId="77777777" w:rsidR="00B43B78" w:rsidRDefault="00B43B78" w:rsidP="00B665C4"/>
    <w:p w14:paraId="06964192" w14:textId="21DF9A19" w:rsidR="00B665C4" w:rsidRDefault="000A4FA8" w:rsidP="00B665C4">
      <w:r>
        <w:t>For a t-test</w:t>
      </w:r>
      <w:r w:rsidR="001D2481">
        <w:t xml:space="preserve"> with </w:t>
      </w:r>
      <w:r w:rsidR="009916B9">
        <w:t>possibly different variances in two samples</w:t>
      </w:r>
      <w:r w:rsidR="002E4F87">
        <w:t xml:space="preserve"> </w:t>
      </w:r>
      <w:r w:rsidR="002E4F87">
        <w:fldChar w:fldCharType="begin"/>
      </w:r>
      <w:r w:rsidR="002E4F87">
        <w:instrText xml:space="preserve"> ADDIN ZOTERO_ITEM CSL_CITATION {"citationID":"4RJdn2CT","properties":{"formattedCitation":"[9]","plainCitation":"[9]","noteIndex":0},"citationItems":[{"id":384,"uris":["http://zotero.org/users/4312917/items/7FWE8NYJ"],"uri":["http://zotero.org/users/4312917/items/7FWE8NYJ"],"itemData":{"id":384,"type":"article-journal","abstract":"Often in the study of behavioral ecology, and more widely in science, we require to statistically test whether the central tendencies (mean or median) of 2 grou","container-title":"Behavioral Ecology","DOI":"10.1093/beheco/ark016","ISSN":"1045-2249","issue":"4","journalAbbreviation":"Behav Ecol","language":"en","note":"publisher: Oxford Academic","page":"688-690","source":"academic.oup.com","title":"The unequal variance t-test is an underused alternative to Student's t-test and the Mann–Whitney U test","volume":"17","author":[{"family":"Ruxton","given":"Graeme D."}],"issued":{"date-parts":[["2006",7,1]]}}}],"schema":"https://github.com/citation-style-language/schema/raw/master/csl-citation.json"} </w:instrText>
      </w:r>
      <w:r w:rsidR="002E4F87">
        <w:fldChar w:fldCharType="separate"/>
      </w:r>
      <w:r w:rsidR="002E4F87" w:rsidRPr="002E4F87">
        <w:rPr>
          <w:rFonts w:ascii="Calibri" w:hAnsi="Calibri" w:cs="Calibri"/>
        </w:rPr>
        <w:t>[9]</w:t>
      </w:r>
      <w:r w:rsidR="002E4F87">
        <w:fldChar w:fldCharType="end"/>
      </w:r>
      <w:r>
        <w:t>, the t-value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5219"/>
        <w:gridCol w:w="533"/>
        <w:gridCol w:w="1987"/>
      </w:tblGrid>
      <w:tr w:rsidR="000A4FA8" w14:paraId="1C1F19AF" w14:textId="77777777" w:rsidTr="009916B9">
        <w:tc>
          <w:tcPr>
            <w:tcW w:w="1621" w:type="dxa"/>
          </w:tcPr>
          <w:p w14:paraId="4D5E26BA" w14:textId="77777777" w:rsidR="000A4FA8" w:rsidRDefault="000A4FA8" w:rsidP="008A443B"/>
        </w:tc>
        <w:tc>
          <w:tcPr>
            <w:tcW w:w="5219" w:type="dxa"/>
          </w:tcPr>
          <w:p w14:paraId="30007940" w14:textId="3A06DE7F" w:rsidR="000A4FA8" w:rsidRPr="000A4FA8" w:rsidRDefault="000A4FA8" w:rsidP="000A4FA8">
            <m:oMathPara>
              <m:oMathParaPr>
                <m:jc m:val="right"/>
              </m:oMathParaPr>
              <m:oMath>
                <m:r>
                  <w:rPr>
                    <w:rFonts w:ascii="Cambria Math" w:hAnsi="Cambria Math"/>
                  </w:rPr>
                  <m:t>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1j</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0j</m:t>
                            </m:r>
                          </m:sub>
                        </m:sSub>
                      </m:e>
                    </m:nary>
                  </m:num>
                  <m:den>
                    <m:rad>
                      <m:radPr>
                        <m:degHide m:val="1"/>
                        <m:ctrlPr>
                          <w:rPr>
                            <w:rFonts w:ascii="Cambria Math" w:hAnsi="Cambria Math"/>
                            <w:i/>
                          </w:rPr>
                        </m:ctrlPr>
                      </m:radPr>
                      <m:deg/>
                      <m:e>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sSub>
                              <m:sSubPr>
                                <m:ctrlPr>
                                  <w:rPr>
                                    <w:rFonts w:ascii="Cambria Math" w:hAnsi="Cambria Math"/>
                                    <w:i/>
                                  </w:rPr>
                                </m:ctrlPr>
                              </m:sSubPr>
                              <m:e>
                                <m:r>
                                  <w:rPr>
                                    <w:rFonts w:ascii="Cambria Math" w:hAnsi="Cambria Math"/>
                                  </w:rPr>
                                  <m:t>M</m:t>
                                </m:r>
                              </m:e>
                              <m:sub>
                                <m:r>
                                  <w:rPr>
                                    <w:rFonts w:ascii="Cambria Math" w:hAnsi="Cambria Math"/>
                                  </w:rPr>
                                  <m:t>0</m:t>
                                </m:r>
                              </m:sub>
                            </m:sSub>
                          </m:den>
                        </m:f>
                      </m:e>
                    </m:rad>
                  </m:den>
                </m:f>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rad>
                          <m:radPr>
                            <m:degHide m:val="1"/>
                            <m:ctrlPr>
                              <w:rPr>
                                <w:rFonts w:ascii="Cambria Math" w:hAnsi="Cambria Math"/>
                                <w:i/>
                              </w:rPr>
                            </m:ctrlPr>
                          </m:radPr>
                          <m:deg/>
                          <m:e>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sSub>
                                  <m:sSubPr>
                                    <m:ctrlPr>
                                      <w:rPr>
                                        <w:rFonts w:ascii="Cambria Math" w:hAnsi="Cambria Math"/>
                                        <w:i/>
                                      </w:rPr>
                                    </m:ctrlPr>
                                  </m:sSubPr>
                                  <m:e>
                                    <m:r>
                                      <w:rPr>
                                        <w:rFonts w:ascii="Cambria Math" w:hAnsi="Cambria Math"/>
                                      </w:rPr>
                                      <m:t>M</m:t>
                                    </m:r>
                                  </m:e>
                                  <m:sub>
                                    <m:r>
                                      <w:rPr>
                                        <w:rFonts w:ascii="Cambria Math" w:hAnsi="Cambria Math"/>
                                      </w:rPr>
                                      <m:t>0</m:t>
                                    </m:r>
                                  </m:sub>
                                </m:sSub>
                              </m:den>
                            </m:f>
                          </m:e>
                        </m:rad>
                      </m:den>
                    </m:f>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2</m:t>
                        </m:r>
                      </m:sup>
                    </m:sSup>
                  </m:e>
                </m:d>
              </m:oMath>
            </m:oMathPara>
          </w:p>
          <w:p w14:paraId="1D385143" w14:textId="77777777" w:rsidR="000A4FA8" w:rsidRDefault="000A4FA8" w:rsidP="008A443B"/>
        </w:tc>
        <w:tc>
          <w:tcPr>
            <w:tcW w:w="533" w:type="dxa"/>
            <w:vAlign w:val="center"/>
          </w:tcPr>
          <w:p w14:paraId="149235FC" w14:textId="77777777" w:rsidR="000A4FA8" w:rsidRDefault="000A4FA8" w:rsidP="008A443B">
            <w:pPr>
              <w:rPr>
                <w:rFonts w:eastAsia="Times New Roman"/>
              </w:rPr>
            </w:pPr>
            <w:r>
              <w:rPr>
                <w:rFonts w:eastAsia="Times New Roman"/>
              </w:rPr>
              <w:t>,</w:t>
            </w:r>
          </w:p>
        </w:tc>
        <w:tc>
          <w:tcPr>
            <w:tcW w:w="1987" w:type="dxa"/>
            <w:vAlign w:val="center"/>
          </w:tcPr>
          <w:p w14:paraId="482DB254" w14:textId="77777777" w:rsidR="000A4FA8" w:rsidRDefault="000A4FA8" w:rsidP="008A443B">
            <w:pPr>
              <w:jc w:val="right"/>
              <w:rPr>
                <w:rFonts w:eastAsia="Times New Roman"/>
              </w:rPr>
            </w:pPr>
            <w:r>
              <w:rPr>
                <w:rFonts w:eastAsia="Times New Roman"/>
              </w:rPr>
              <w:t>(6)</w:t>
            </w:r>
          </w:p>
        </w:tc>
      </w:tr>
    </w:tbl>
    <w:p w14:paraId="61DEA7C4" w14:textId="77777777" w:rsidR="00B665C4" w:rsidRDefault="000A4FA8" w:rsidP="00B665C4">
      <w:r>
        <w:lastRenderedPageBreak/>
        <w:t>Thus,</w:t>
      </w:r>
      <w:r w:rsidR="00E858F0">
        <w:t xml:space="preserve"> the false negative rate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320"/>
        <w:gridCol w:w="900"/>
        <w:gridCol w:w="1620"/>
      </w:tblGrid>
      <w:tr w:rsidR="000A4FA8" w14:paraId="7F3415EA" w14:textId="77777777" w:rsidTr="009916B9">
        <w:tc>
          <w:tcPr>
            <w:tcW w:w="2520" w:type="dxa"/>
          </w:tcPr>
          <w:p w14:paraId="35D6E2D8" w14:textId="77777777" w:rsidR="000A4FA8" w:rsidRDefault="000A4FA8" w:rsidP="008A443B"/>
        </w:tc>
        <w:tc>
          <w:tcPr>
            <w:tcW w:w="4320" w:type="dxa"/>
          </w:tcPr>
          <w:p w14:paraId="0FC95B61" w14:textId="27DC698D" w:rsidR="00E858F0" w:rsidRPr="00AC06BD" w:rsidRDefault="00E858F0" w:rsidP="00E858F0">
            <m:oMathPara>
              <m:oMath>
                <m:r>
                  <w:rPr>
                    <w:rFonts w:ascii="Cambria Math" w:hAnsi="Cambria Math"/>
                  </w:rPr>
                  <m:t>β</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t&lt;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rad>
                          <m:radPr>
                            <m:degHide m:val="1"/>
                            <m:ctrlPr>
                              <w:rPr>
                                <w:rFonts w:ascii="Cambria Math" w:hAnsi="Cambria Math"/>
                                <w:i/>
                              </w:rPr>
                            </m:ctrlPr>
                          </m:radPr>
                          <m:deg/>
                          <m:e>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sSub>
                                  <m:sSubPr>
                                    <m:ctrlPr>
                                      <w:rPr>
                                        <w:rFonts w:ascii="Cambria Math" w:hAnsi="Cambria Math"/>
                                        <w:i/>
                                      </w:rPr>
                                    </m:ctrlPr>
                                  </m:sSubPr>
                                  <m:e>
                                    <m:r>
                                      <w:rPr>
                                        <w:rFonts w:ascii="Cambria Math" w:hAnsi="Cambria Math"/>
                                      </w:rPr>
                                      <m:t>M</m:t>
                                    </m:r>
                                  </m:e>
                                  <m:sub>
                                    <m:r>
                                      <w:rPr>
                                        <w:rFonts w:ascii="Cambria Math" w:hAnsi="Cambria Math"/>
                                      </w:rPr>
                                      <m:t>0</m:t>
                                    </m:r>
                                  </m:sub>
                                </m:sSub>
                              </m:den>
                            </m:f>
                          </m:e>
                        </m:rad>
                      </m:den>
                    </m:f>
                  </m:e>
                </m:d>
              </m:oMath>
            </m:oMathPara>
          </w:p>
          <w:p w14:paraId="3AC342B9" w14:textId="77777777" w:rsidR="000A4FA8" w:rsidRDefault="000A4FA8" w:rsidP="008A443B"/>
        </w:tc>
        <w:tc>
          <w:tcPr>
            <w:tcW w:w="900" w:type="dxa"/>
            <w:vAlign w:val="center"/>
          </w:tcPr>
          <w:p w14:paraId="6FE38CAB" w14:textId="77777777" w:rsidR="000A4FA8" w:rsidRDefault="00E858F0" w:rsidP="008A443B">
            <w:pPr>
              <w:rPr>
                <w:rFonts w:eastAsia="Times New Roman"/>
              </w:rPr>
            </w:pPr>
            <w:r>
              <w:rPr>
                <w:rFonts w:eastAsia="Times New Roman"/>
              </w:rPr>
              <w:t>,</w:t>
            </w:r>
          </w:p>
        </w:tc>
        <w:tc>
          <w:tcPr>
            <w:tcW w:w="1620" w:type="dxa"/>
            <w:vAlign w:val="center"/>
          </w:tcPr>
          <w:p w14:paraId="079877AE" w14:textId="4510CACB" w:rsidR="000A4FA8" w:rsidRDefault="000A4FA8" w:rsidP="008A443B">
            <w:pPr>
              <w:jc w:val="right"/>
              <w:rPr>
                <w:rFonts w:eastAsia="Times New Roman"/>
              </w:rPr>
            </w:pPr>
            <w:r>
              <w:rPr>
                <w:rFonts w:eastAsia="Times New Roman"/>
              </w:rPr>
              <w:t>(</w:t>
            </w:r>
            <w:r w:rsidR="009916B9">
              <w:rPr>
                <w:rFonts w:eastAsia="Times New Roman"/>
              </w:rPr>
              <w:t>7</w:t>
            </w:r>
            <w:r>
              <w:rPr>
                <w:rFonts w:eastAsia="Times New Roman"/>
              </w:rPr>
              <w:t>)</w:t>
            </w:r>
          </w:p>
        </w:tc>
      </w:tr>
    </w:tbl>
    <w:p w14:paraId="0C39ABB2" w14:textId="3D9DDF5F" w:rsidR="00B665C4" w:rsidRDefault="00E858F0" w:rsidP="00E858F0">
      <w:r>
        <w:t xml:space="preserve">where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,ν</m:t>
            </m:r>
          </m:sub>
        </m:sSub>
      </m:oMath>
      <w:r>
        <w:t xml:space="preserve">, as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&lt;α</m:t>
        </m:r>
      </m:oMath>
      <w:r>
        <w:t xml:space="preserve">, </w:t>
      </w:r>
      <w:r w:rsidR="00B665C4">
        <w:t>for a two-sided test</w:t>
      </w:r>
      <w:r w:rsidR="009916B9">
        <w:t>, or</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1-α,ν</m:t>
            </m:r>
          </m:sub>
        </m:sSub>
      </m:oMath>
      <w:r w:rsidR="009916B9">
        <w:t xml:space="preserve"> for a one-sided test</w:t>
      </w:r>
      <w:r w:rsidR="00160AB6">
        <w:t>,</w:t>
      </w:r>
      <w:r w:rsidR="00A62F9B">
        <w:t xml:space="preserve"> </w:t>
      </w:r>
      <w:r w:rsidR="00160AB6">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240"/>
        <w:gridCol w:w="1530"/>
        <w:gridCol w:w="1620"/>
      </w:tblGrid>
      <w:tr w:rsidR="00A62F9B" w14:paraId="6A8D1E3C" w14:textId="77777777" w:rsidTr="009916B9">
        <w:tc>
          <w:tcPr>
            <w:tcW w:w="2970" w:type="dxa"/>
          </w:tcPr>
          <w:p w14:paraId="25192FCF" w14:textId="77777777" w:rsidR="00A62F9B" w:rsidRDefault="00A62F9B" w:rsidP="00EB23CA"/>
        </w:tc>
        <w:tc>
          <w:tcPr>
            <w:tcW w:w="3240" w:type="dxa"/>
          </w:tcPr>
          <w:p w14:paraId="524BD783" w14:textId="78937AE4" w:rsidR="00A62F9B" w:rsidRPr="00AC06BD" w:rsidRDefault="00A62F9B" w:rsidP="00EB23CA">
            <m:oMathPara>
              <m:oMath>
                <m:r>
                  <w:rPr>
                    <w:rFonts w:ascii="Cambria Math" w:hAnsi="Cambria Math"/>
                  </w:rPr>
                  <m:t>ν=</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num>
                  <m:den>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num>
                      <m:den>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den>
                    </m:f>
                  </m:den>
                </m:f>
              </m:oMath>
            </m:oMathPara>
          </w:p>
          <w:p w14:paraId="4297A916" w14:textId="77777777" w:rsidR="00A62F9B" w:rsidRDefault="00A62F9B" w:rsidP="00EB23CA"/>
        </w:tc>
        <w:tc>
          <w:tcPr>
            <w:tcW w:w="1530" w:type="dxa"/>
            <w:vAlign w:val="center"/>
          </w:tcPr>
          <w:p w14:paraId="4F3E8B6E" w14:textId="6F0AA86E" w:rsidR="00A62F9B" w:rsidRDefault="00A62F9B" w:rsidP="00EB23CA">
            <w:pPr>
              <w:rPr>
                <w:rFonts w:eastAsia="Times New Roman"/>
              </w:rPr>
            </w:pPr>
            <w:r>
              <w:rPr>
                <w:rFonts w:eastAsia="Times New Roman"/>
              </w:rPr>
              <w:t>.</w:t>
            </w:r>
          </w:p>
        </w:tc>
        <w:tc>
          <w:tcPr>
            <w:tcW w:w="1620" w:type="dxa"/>
            <w:vAlign w:val="center"/>
          </w:tcPr>
          <w:p w14:paraId="2D77DE05" w14:textId="3BFF7071" w:rsidR="00A62F9B" w:rsidRDefault="00A62F9B" w:rsidP="00EB23CA">
            <w:pPr>
              <w:jc w:val="right"/>
              <w:rPr>
                <w:rFonts w:eastAsia="Times New Roman"/>
              </w:rPr>
            </w:pPr>
            <w:r>
              <w:rPr>
                <w:rFonts w:eastAsia="Times New Roman"/>
              </w:rPr>
              <w:t>(</w:t>
            </w:r>
            <w:r w:rsidR="009916B9">
              <w:rPr>
                <w:rFonts w:eastAsia="Times New Roman"/>
              </w:rPr>
              <w:t>8</w:t>
            </w:r>
            <w:r>
              <w:rPr>
                <w:rFonts w:eastAsia="Times New Roman"/>
              </w:rPr>
              <w:t>)</w:t>
            </w:r>
          </w:p>
        </w:tc>
      </w:tr>
    </w:tbl>
    <w:p w14:paraId="13D9C9A3" w14:textId="6A50E3DE" w:rsidR="00A62F9B" w:rsidRDefault="00AF5083" w:rsidP="00E858F0">
      <w:r>
        <w:t xml:space="preserve">which is equivalent to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m:t>
            </m:r>
          </m:e>
        </m:d>
      </m:oMath>
      <w:r>
        <w:t xml:space="preserve"> when </w:t>
      </w:r>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i/>
          </w:rPr>
          <w:fldChar w:fldCharType="begin"/>
        </m:r>
        <m:r>
          <m:rPr>
            <m:sty m:val="p"/>
          </m:rPr>
          <w:rPr>
            <w:rFonts w:ascii="Cambria Math" w:hAnsi="Cambria Math"/>
          </w:rPr>
          <m:t xml:space="preserve"> ADDIN ZOTERO_ITEM CSL_CITATION {"citationID":"HuYZ6Osd","properties":{"formattedCitation":"[10]","plainCitation":"[10]","noteIndex":0},"citationItems":[{"id":384,"uris":["http://zotero.org/users/4312917/items/7FWE8NYJ"],"uri":["http://zotero.org/users/4312917/items/7FWE8NYJ"],"itemData":{"id":384,"type":"article-journal","abstract":"Often in the study of behavioral ecology, and more widely in science, we require to statistically test whether the central tendencies (mean or median) of 2 grou","container-title":"Behavioral Ecology","DOI":"10.1093/beheco/ark016","ISSN":"1045-2249","issue":"4","journalAbbreviation":"Behav Ecol","language":"en","note":"publisher: Oxford Academic","page":"688-690","source":"academic.oup.com","title":"The unequal variance t-test is an underused alternative to Student's t-test and the Mann–Whitney U test","volume":"17","author":[{"family":"Ruxton","given":"Graeme D."}],"issued":{"date-parts":[["2006",7,1]]}}}],"schema":"https://github.com/citation-style-language/schema/raw/master/csl-citation.json"} </m:t>
        </m:r>
        <m:r>
          <w:rPr>
            <w:rFonts w:ascii="Cambria Math" w:hAnsi="Cambria Math"/>
            <w:i/>
          </w:rPr>
          <w:fldChar w:fldCharType="separate"/>
        </m:r>
        <m:r>
          <m:rPr>
            <m:sty m:val="p"/>
          </m:rPr>
          <w:rPr>
            <w:rFonts w:ascii="Cambria Math" w:hAnsi="Cambria Math"/>
          </w:rPr>
          <m:t>[10]</m:t>
        </m:r>
        <m:r>
          <w:rPr>
            <w:rFonts w:ascii="Cambria Math" w:hAnsi="Cambria Math"/>
            <w:i/>
          </w:rPr>
          <w:fldChar w:fldCharType="end"/>
        </m:r>
      </m:oMath>
      <w:r w:rsidR="001448F7">
        <w:t xml:space="preserve">. </w:t>
      </w:r>
      <w:r w:rsidR="00A62F9B">
        <w:t xml:space="preserve">For a fast estimation, we do not account for the variability brought by estimating </w:t>
      </w:r>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oMath>
      <w:r w:rsidR="00A62F9B">
        <w:t xml:space="preserve"> and </w:t>
      </w:r>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oMath>
      <w:r w:rsidR="00A62F9B">
        <w:t xml:space="preserve"> from samples in the </w:t>
      </w:r>
      <m:oMath>
        <m:r>
          <w:rPr>
            <w:rFonts w:ascii="Cambria Math" w:hAnsi="Cambria Math"/>
          </w:rPr>
          <m:t>S</m:t>
        </m:r>
      </m:oMath>
      <w:r w:rsidR="00A62F9B">
        <w:t xml:space="preserve"> and in the </w:t>
      </w:r>
      <m:oMath>
        <m:r>
          <w:rPr>
            <w:rFonts w:ascii="Cambria Math" w:hAnsi="Cambria Math"/>
          </w:rPr>
          <m:t>ν</m:t>
        </m:r>
      </m:oMath>
      <w:r w:rsidR="00A62F9B">
        <w:t>.</w:t>
      </w:r>
      <w:r w:rsidR="002E4F87">
        <w:t xml:space="preserve"> This is a common practice in power estimation </w:t>
      </w:r>
      <w:r w:rsidR="002E4F87">
        <w:fldChar w:fldCharType="begin"/>
      </w:r>
      <w:r w:rsidR="002E4F87">
        <w:instrText xml:space="preserve"> ADDIN ZOTERO_ITEM CSL_CITATION {"citationID":"OEMrl5tY","properties":{"formattedCitation":"[10]","plainCitation":"[10]","noteIndex":0},"citationItems":[{"id":387,"uris":["http://zotero.org/users/4312917/items/9IKBIKI6"],"uri":["http://zotero.org/users/4312917/items/9IKBIKI6"],"itemData":{"id":387,"type":"article-journal","abstract":"The underlying concepts for calculating the power of a statistical test elude most investigators. Understanding them helps to know how the various factors contributing to statistical power factor into study design when calculating the required number of subjects to enter into a study. Most journals and funding agencies now require a justification for the number of subjects enrolled into a study and investigators must present the principals of powers calculations used to justify these numbers. For these reasons, knowing how statistical power is determined is essential for researchers in the modern era. The number of subjects required for study entry, depends on the following four concepts: 1) The magnitude of the hypothesized effect (i.e., how far apart the two sample means are expected to differ by); 2) the underlying variability of the outcomes measured (standard deviation); 3) the level of significance desired (e.g., α = 0.05); 4) the amount of power desired (typically 0.8). If the sample standard deviations are small or the means are expected to be very different then smaller numbers of subjects are required to ensure avoidance of type 1 and 2 errors. This review provides the derivation of the sample size equation for continuous variables when the statistical analysis will be the Student’s t-test. We also provide graphical illustrations of how and why these equations are derived.","container-title":"Journal of Surgical Research","DOI":"10.1016/j.jss.2004.12.013","ISSN":"0022-4804","issue":"2","journalAbbreviation":"Journal of Surgical Research","language":"en","page":"149-159","source":"ScienceDirect","title":"Statistical Power and Estimation of the Number of Required Subjects for a Study Based on the t-Test: A Surgeon’s Primer","title-short":"Statistical Power and Estimation of the Number of Required Subjects for a Study Based on the t-Test","volume":"126","author":[{"family":"Livingston","given":"Edward H."},{"family":"Cassidy","given":"Laura"}],"issued":{"date-parts":[["2005",6,15]]}}}],"schema":"https://github.com/citation-style-language/schema/raw/master/csl-citation.json"} </w:instrText>
      </w:r>
      <w:r w:rsidR="002E4F87">
        <w:fldChar w:fldCharType="separate"/>
      </w:r>
      <w:r w:rsidR="002E4F87" w:rsidRPr="002E4F87">
        <w:rPr>
          <w:rFonts w:ascii="Calibri" w:hAnsi="Calibri" w:cs="Calibri"/>
        </w:rPr>
        <w:t>[10]</w:t>
      </w:r>
      <w:r w:rsidR="002E4F87">
        <w:fldChar w:fldCharType="end"/>
      </w:r>
      <w:r w:rsidR="002E4F87">
        <w:t>.</w:t>
      </w:r>
      <w:r w:rsidR="00A62F9B">
        <w:t xml:space="preserve"> A more precise estimation can only be done by sampling, which is too costly for a web application. Nevertheless, we provide MATLAB scripts for more comprehensive estimations.</w:t>
      </w:r>
    </w:p>
    <w:p w14:paraId="1B7C7E8B" w14:textId="79BC0B45" w:rsidR="00E858F0" w:rsidRDefault="00E858F0" w:rsidP="00E858F0">
      <w:pPr>
        <w:pStyle w:val="Heading1"/>
      </w:pPr>
      <w:r>
        <w:t>Results</w:t>
      </w:r>
    </w:p>
    <w:p w14:paraId="3E0948B5" w14:textId="6CF2405E" w:rsidR="007237EF" w:rsidRDefault="009B78D3" w:rsidP="007237EF">
      <w:pPr>
        <w:pStyle w:val="Heading2"/>
      </w:pPr>
      <w:r>
        <w:t>Sensei - t</w:t>
      </w:r>
      <w:r w:rsidR="007237EF">
        <w:t>he web application</w:t>
      </w:r>
    </w:p>
    <w:p w14:paraId="244D8D86" w14:textId="43992539" w:rsidR="007237EF" w:rsidRPr="007237EF" w:rsidRDefault="007237EF" w:rsidP="007237EF">
      <w:r>
        <w:t xml:space="preserve">We created a neat standalone web application </w:t>
      </w:r>
      <w:r w:rsidR="009C0AA1">
        <w:t xml:space="preserve">using HTML and </w:t>
      </w:r>
      <w:r>
        <w:t>JavaScript</w:t>
      </w:r>
      <w:r w:rsidR="009C0AA1">
        <w:t xml:space="preserve">. It </w:t>
      </w:r>
      <w:r>
        <w:t>runs purely on the front-end</w:t>
      </w:r>
      <w:r w:rsidR="009C0AA1">
        <w:t>, and no</w:t>
      </w:r>
      <w:r>
        <w:t xml:space="preserve"> link to any server is needed. </w:t>
      </w:r>
      <w:r w:rsidR="009C0AA1">
        <w:t xml:space="preserve">The tool is based on </w:t>
      </w:r>
      <w:proofErr w:type="spellStart"/>
      <w:r w:rsidR="009C0AA1">
        <w:t>jstat</w:t>
      </w:r>
      <w:proofErr w:type="spellEnd"/>
      <w:r w:rsidR="009C0AA1">
        <w:t xml:space="preserve">, a JavaScript statistics library, and </w:t>
      </w:r>
      <w:proofErr w:type="spellStart"/>
      <w:r w:rsidR="009C0AA1">
        <w:t>ploty</w:t>
      </w:r>
      <w:proofErr w:type="spellEnd"/>
      <w:r w:rsidR="009C0AA1">
        <w:t xml:space="preserve">, a plotting library. </w:t>
      </w:r>
      <w:r>
        <w:t>A screen shot is shown in Fig. 2.</w:t>
      </w:r>
      <w:r w:rsidR="00754465">
        <w:t xml:space="preserve"> Sensei asks for the parameters detailed above, and an additional cutoff for the false negative rate </w:t>
      </w:r>
      <m:oMath>
        <m:r>
          <w:rPr>
            <w:rFonts w:ascii="Cambria Math" w:hAnsi="Cambria Math"/>
          </w:rPr>
          <m:t>β</m:t>
        </m:r>
      </m:oMath>
      <w:r w:rsidR="00754465">
        <w:t>.</w:t>
      </w:r>
    </w:p>
    <w:tbl>
      <w:tblPr>
        <w:tblStyle w:val="TableGrid"/>
        <w:tblW w:w="0" w:type="auto"/>
        <w:tblLook w:val="04A0" w:firstRow="1" w:lastRow="0" w:firstColumn="1" w:lastColumn="0" w:noHBand="0" w:noVBand="1"/>
      </w:tblPr>
      <w:tblGrid>
        <w:gridCol w:w="4675"/>
        <w:gridCol w:w="4675"/>
      </w:tblGrid>
      <w:tr w:rsidR="00D61A02" w14:paraId="721AA503" w14:textId="77777777" w:rsidTr="00163025">
        <w:tc>
          <w:tcPr>
            <w:tcW w:w="4675" w:type="dxa"/>
          </w:tcPr>
          <w:p w14:paraId="0F5268B0" w14:textId="77777777" w:rsidR="00D61A02" w:rsidRDefault="00D61A02" w:rsidP="00E858F0">
            <w:r>
              <w:t xml:space="preserve">a                                </w:t>
            </w:r>
          </w:p>
        </w:tc>
        <w:tc>
          <w:tcPr>
            <w:tcW w:w="4675" w:type="dxa"/>
          </w:tcPr>
          <w:p w14:paraId="120F5ACA" w14:textId="6786D604" w:rsidR="00D61A02" w:rsidRDefault="00D61A02" w:rsidP="00E858F0">
            <w:r>
              <w:t>b</w:t>
            </w:r>
          </w:p>
        </w:tc>
      </w:tr>
      <w:tr w:rsidR="00E94AE7" w14:paraId="4998DC23" w14:textId="77777777" w:rsidTr="00E858F0">
        <w:tc>
          <w:tcPr>
            <w:tcW w:w="9350" w:type="dxa"/>
            <w:gridSpan w:val="2"/>
          </w:tcPr>
          <w:p w14:paraId="033955AF" w14:textId="586615E9" w:rsidR="00E94AE7" w:rsidRDefault="002E4F87" w:rsidP="00E858F0">
            <w:r>
              <w:rPr>
                <w:noProof/>
              </w:rPr>
              <w:drawing>
                <wp:inline distT="0" distB="0" distL="0" distR="0" wp14:anchorId="695D756D" wp14:editId="2B9C8BCC">
                  <wp:extent cx="288036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360" cy="1828800"/>
                          </a:xfrm>
                          <a:prstGeom prst="rect">
                            <a:avLst/>
                          </a:prstGeom>
                        </pic:spPr>
                      </pic:pic>
                    </a:graphicData>
                  </a:graphic>
                </wp:inline>
              </w:drawing>
            </w:r>
            <w:r>
              <w:rPr>
                <w:noProof/>
              </w:rPr>
              <w:drawing>
                <wp:inline distT="0" distB="0" distL="0" distR="0" wp14:anchorId="5F6379CA" wp14:editId="10130A02">
                  <wp:extent cx="2880360" cy="1834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60" cy="1834515"/>
                          </a:xfrm>
                          <a:prstGeom prst="rect">
                            <a:avLst/>
                          </a:prstGeom>
                        </pic:spPr>
                      </pic:pic>
                    </a:graphicData>
                  </a:graphic>
                </wp:inline>
              </w:drawing>
            </w:r>
          </w:p>
        </w:tc>
      </w:tr>
      <w:tr w:rsidR="00E94AE7" w14:paraId="6756C887" w14:textId="77777777" w:rsidTr="00E858F0">
        <w:tc>
          <w:tcPr>
            <w:tcW w:w="9350" w:type="dxa"/>
            <w:gridSpan w:val="2"/>
          </w:tcPr>
          <w:p w14:paraId="08420216" w14:textId="70FC4CF8" w:rsidR="00E94AE7" w:rsidRDefault="00D61A02" w:rsidP="00E858F0">
            <w:r>
              <w:t>c</w:t>
            </w:r>
          </w:p>
        </w:tc>
      </w:tr>
      <w:tr w:rsidR="00E94AE7" w14:paraId="309793B4" w14:textId="77777777" w:rsidTr="00E858F0">
        <w:tc>
          <w:tcPr>
            <w:tcW w:w="9350" w:type="dxa"/>
            <w:gridSpan w:val="2"/>
          </w:tcPr>
          <w:p w14:paraId="0757C846" w14:textId="77777777" w:rsidR="00E94AE7" w:rsidRDefault="00E94AE7" w:rsidP="00E858F0"/>
          <w:p w14:paraId="4DAAE81E" w14:textId="77777777" w:rsidR="00DE0AB5" w:rsidRDefault="00DE0AB5" w:rsidP="00E858F0">
            <w:r>
              <w:rPr>
                <w:noProof/>
              </w:rPr>
              <w:lastRenderedPageBreak/>
              <w:drawing>
                <wp:inline distT="0" distB="0" distL="0" distR="0" wp14:anchorId="0B978528" wp14:editId="4EDC0016">
                  <wp:extent cx="3652137"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2137" cy="1828800"/>
                          </a:xfrm>
                          <a:prstGeom prst="rect">
                            <a:avLst/>
                          </a:prstGeom>
                        </pic:spPr>
                      </pic:pic>
                    </a:graphicData>
                  </a:graphic>
                </wp:inline>
              </w:drawing>
            </w:r>
          </w:p>
        </w:tc>
      </w:tr>
      <w:tr w:rsidR="00E858F0" w14:paraId="589F8402" w14:textId="77777777" w:rsidTr="00E858F0">
        <w:tc>
          <w:tcPr>
            <w:tcW w:w="9350" w:type="dxa"/>
            <w:gridSpan w:val="2"/>
          </w:tcPr>
          <w:p w14:paraId="420A1AD6" w14:textId="1710F78F" w:rsidR="00E858F0" w:rsidRDefault="00E858F0" w:rsidP="00E858F0">
            <w:r w:rsidRPr="008A443B">
              <w:rPr>
                <w:b/>
              </w:rPr>
              <w:lastRenderedPageBreak/>
              <w:t>Fig. 2</w:t>
            </w:r>
            <w:r w:rsidR="008A443B">
              <w:rPr>
                <w:b/>
              </w:rPr>
              <w:t xml:space="preserve"> </w:t>
            </w:r>
            <w:r w:rsidR="008A443B">
              <w:t>Screenshot of Sensei</w:t>
            </w:r>
            <w:r w:rsidR="007E797D">
              <w:t xml:space="preserve">. </w:t>
            </w:r>
            <w:r w:rsidR="00DE0AB5">
              <w:br/>
            </w:r>
            <w:r w:rsidR="007E797D">
              <w:t>(</w:t>
            </w:r>
            <w:r w:rsidR="00DE0AB5">
              <w:t>a</w:t>
            </w:r>
            <w:r w:rsidR="00D61A02">
              <w:t>, b</w:t>
            </w:r>
            <w:r w:rsidR="007E797D">
              <w:t xml:space="preserve">) </w:t>
            </w:r>
            <w:r w:rsidR="00DE0AB5">
              <w:t>The</w:t>
            </w:r>
            <w:r w:rsidR="00D61A02">
              <w:t xml:space="preserve"> table for negative rate </w:t>
            </w:r>
            <m:oMath>
              <m:r>
                <w:rPr>
                  <w:rFonts w:ascii="Cambria Math" w:hAnsi="Cambria Math"/>
                </w:rPr>
                <m:t>β</m:t>
              </m:r>
            </m:oMath>
            <w:r w:rsidR="00DE0AB5">
              <w:t xml:space="preserve"> </w:t>
            </w:r>
            <w:r w:rsidR="00D61A02">
              <w:t xml:space="preserve">under various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D61A02">
              <w:t xml:space="preserve"> and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61A02">
              <w:t xml:space="preserve"> in </w:t>
            </w:r>
            <w:r w:rsidR="00DE0AB5">
              <w:t>one-sided and two-sided</w:t>
            </w:r>
            <w:r w:rsidR="00D61A02">
              <w:t xml:space="preserve"> t-tests</w:t>
            </w:r>
            <w:r w:rsidR="00DE0AB5">
              <w:t xml:space="preserve">. Shaded entries correspond to </w:t>
            </w:r>
            <m:oMath>
              <m:r>
                <w:rPr>
                  <w:rFonts w:ascii="Cambria Math" w:hAnsi="Cambria Math"/>
                </w:rPr>
                <m:t>β&lt;0.1</m:t>
              </m:r>
            </m:oMath>
            <w:r w:rsidR="00DE0AB5">
              <w:t>. Parameters are</w:t>
            </w:r>
            <w:r w:rsidR="00D61A02">
              <w:t xml:space="preserve"> set to</w:t>
            </w:r>
            <w:r w:rsidR="00DE0AB5">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=5~12;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=1000;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=0.3;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=0.15;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=0.5;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=0.1;α=0.05</m:t>
              </m:r>
            </m:oMath>
            <w:r w:rsidR="00DE0AB5">
              <w:t>.</w:t>
            </w:r>
            <w:r w:rsidR="00D61A02">
              <w:t xml:space="preserve"> This is the main output of the application.</w:t>
            </w:r>
          </w:p>
          <w:p w14:paraId="18B4514C" w14:textId="16876592" w:rsidR="00DE0AB5" w:rsidRPr="008A443B" w:rsidRDefault="00DE0AB5" w:rsidP="00E858F0">
            <w:r>
              <w:t>(b) The visualization for the beta distributions in (a).</w:t>
            </w:r>
            <w:r w:rsidR="00D61A02">
              <w:t xml:space="preserve"> This is given when a user sets the parameters for the distribution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D61A02">
              <w:t xml:space="preserve"> as a visual confirmation of what is desired. </w:t>
            </w:r>
          </w:p>
        </w:tc>
      </w:tr>
    </w:tbl>
    <w:p w14:paraId="7A9831CA" w14:textId="77777777" w:rsidR="00E858F0" w:rsidRDefault="00E858F0" w:rsidP="00E858F0"/>
    <w:p w14:paraId="3BBB1642" w14:textId="2B9A362C" w:rsidR="00E94AE7" w:rsidRDefault="00D61A02" w:rsidP="00E94AE7">
      <w:pPr>
        <w:pStyle w:val="Heading2"/>
      </w:pPr>
      <w:r>
        <w:t xml:space="preserve">Generating a </w:t>
      </w:r>
      <w:r w:rsidR="00612079">
        <w:t>table for various study designs</w:t>
      </w:r>
    </w:p>
    <w:p w14:paraId="1351AFD5" w14:textId="6010971B" w:rsidR="00E94AE7" w:rsidRDefault="00E94AE7" w:rsidP="00E94AE7">
      <w:r>
        <w:t>To further help researcher choose a study design, we allow user to set a range for feasible number of samples. Sensei then rapidly calculate</w:t>
      </w:r>
      <w:r w:rsidR="007237EF">
        <w:t xml:space="preserve"> false negative rate</w:t>
      </w:r>
      <w:r>
        <w:t xml:space="preserve"> </w:t>
      </w:r>
      <m:oMath>
        <m:r>
          <w:rPr>
            <w:rFonts w:ascii="Cambria Math" w:hAnsi="Cambria Math"/>
          </w:rPr>
          <m:t>β</m:t>
        </m:r>
      </m:oMath>
      <w:r>
        <w:t xml:space="preserve"> for all pairs of feasible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w:r w:rsidR="007237EF">
        <w:t xml:space="preserve">Fig. 2 shows an example where we set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=5~12;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=1000;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=0.3;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=0.15;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=0.5;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=0.1;α=0.05</m:t>
        </m:r>
      </m:oMath>
      <w:r w:rsidR="007237EF">
        <w:t xml:space="preserve">. Two tables are generated to show </w:t>
      </w:r>
      <m:oMath>
        <m:r>
          <w:rPr>
            <w:rFonts w:ascii="Cambria Math" w:hAnsi="Cambria Math"/>
          </w:rPr>
          <m:t>β</m:t>
        </m:r>
      </m:oMath>
      <w:r w:rsidR="007237EF">
        <w:t xml:space="preserve"> for each pair of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7237EF">
        <w:t xml:space="preserve"> and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7237EF">
        <w:t xml:space="preserve"> for one-sided test and two-sided test. </w:t>
      </w:r>
      <w:r w:rsidR="00D61A02">
        <w:t xml:space="preserve">This presentation allows for comparison among multiple combinations of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D61A02">
        <w:t xml:space="preserve"> and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61A02">
        <w:t>, where there is a trade-off in between.</w:t>
      </w:r>
      <w:r w:rsidR="00DE0AB5">
        <w:t xml:space="preserve"> For example, </w:t>
      </w:r>
      <w:r w:rsidR="00D61A02">
        <w:t xml:space="preserve">in Fig. 2a, </w:t>
      </w:r>
      <w:r w:rsidR="00DE0AB5">
        <w:t xml:space="preserve">to obtain </w:t>
      </w:r>
      <m:oMath>
        <m:r>
          <w:rPr>
            <w:rFonts w:ascii="Cambria Math" w:hAnsi="Cambria Math"/>
          </w:rPr>
          <m:t>β&lt;0.1</m:t>
        </m:r>
      </m:oMath>
      <w:r w:rsidR="00DE0AB5">
        <w:t xml:space="preserve">, the researcher may gather either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=10</m:t>
        </m:r>
      </m:oMath>
      <w:r w:rsidR="00DE0AB5">
        <w:t xml:space="preserve"> control samples and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9</m:t>
        </m:r>
      </m:oMath>
      <w:r w:rsidR="00D61A02">
        <w:t xml:space="preserve"> </w:t>
      </w:r>
      <w:r w:rsidR="00DE0AB5">
        <w:t xml:space="preserve">experimental samples, or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w:rPr>
            <w:rFonts w:ascii="Cambria Math" w:hAnsi="Cambria Math"/>
          </w:rPr>
          <m:t>11</m:t>
        </m:r>
      </m:oMath>
      <w:r w:rsidR="00DE0AB5">
        <w:t xml:space="preserve"> control samples and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=8</m:t>
        </m:r>
      </m:oMath>
      <w:r w:rsidR="00DE0AB5">
        <w:t xml:space="preserve"> experimental samples. The final decision will be based on the difference </w:t>
      </w:r>
      <w:r w:rsidR="00612079">
        <w:t>in the</w:t>
      </w:r>
      <w:r w:rsidR="00DE0AB5">
        <w:t xml:space="preserve"> cost of control and experimental samples. </w:t>
      </w:r>
      <w:bookmarkStart w:id="0" w:name="_GoBack"/>
      <w:bookmarkEnd w:id="0"/>
    </w:p>
    <w:p w14:paraId="3FD3274A" w14:textId="0F25E842" w:rsidR="00DE0AB5" w:rsidRDefault="00DE0AB5" w:rsidP="00DE0AB5">
      <w:pPr>
        <w:pStyle w:val="Heading2"/>
      </w:pPr>
      <w:r>
        <w:t>Reparametriz</w:t>
      </w:r>
      <w:r w:rsidR="00612079">
        <w:t>ing and visualizing</w:t>
      </w:r>
      <w:r>
        <w:t xml:space="preserve"> beta distributions</w:t>
      </w:r>
    </w:p>
    <w:p w14:paraId="22972278" w14:textId="14AE54BA" w:rsidR="00DE0AB5" w:rsidRDefault="00612079" w:rsidP="00DE0AB5">
      <w:r>
        <w:t xml:space="preserve">Sensei models the distribution of the portion of cells using beta distribution. </w:t>
      </w:r>
      <w:r w:rsidR="00510719">
        <w:t xml:space="preserve">To give the user a more intuitive interface, </w:t>
      </w:r>
      <w:r w:rsidR="00DE0AB5">
        <w:t xml:space="preserve">Sensei supports both parametrization of beta distribution, i.e.,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E0AB5">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E0AB5">
        <w:t xml:space="preserve">, or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E0AB5">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DE0AB5">
        <w:t xml:space="preserve">. User may use either set and the other set will be updated accordingly. The beta distribution is further visualized (Fig. 2b) to help the user determine if </w:t>
      </w:r>
      <w:r w:rsidR="00510719">
        <w:t>the shape is desired.</w:t>
      </w:r>
    </w:p>
    <w:p w14:paraId="7EF52654" w14:textId="68E5E3DA" w:rsidR="00163025" w:rsidRDefault="00163025" w:rsidP="00163025">
      <w:pPr>
        <w:pStyle w:val="Heading2"/>
      </w:pPr>
      <w:r>
        <w:t>Simulation verification</w:t>
      </w:r>
    </w:p>
    <w:p w14:paraId="56630806" w14:textId="6BF24CFE" w:rsidR="00163025" w:rsidRDefault="00215085" w:rsidP="00163025">
      <w:r>
        <w:t>Because several approximation was made in the derivation, t</w:t>
      </w:r>
      <w:r w:rsidR="00163025">
        <w:t>o further verify the program</w:t>
      </w:r>
      <w:r>
        <w:t xml:space="preserve">, </w:t>
      </w:r>
      <w:r w:rsidR="00163025">
        <w:t>we perform a simulation study</w:t>
      </w:r>
      <w:r>
        <w:t xml:space="preserve"> for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=5~12;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=1000;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=0.3;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=0.15;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=0.5;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=0.1;α=0.05</m:t>
        </m:r>
      </m:oMath>
      <w:r>
        <w:t>, the same as that in Fig. 2</w:t>
      </w:r>
      <w:r w:rsidR="00163025">
        <w:t>.</w:t>
      </w:r>
      <w:r>
        <w:t xml:space="preserve"> The results are shown in Table 2 and the difference </w:t>
      </w:r>
      <w:r w:rsidR="002E4F87">
        <w:t xml:space="preserve">from Fig. 2b </w:t>
      </w:r>
      <w:r>
        <w:t xml:space="preserve">is shown in table 3. </w:t>
      </w:r>
      <w:r w:rsidR="002E4F87">
        <w:t>T</w:t>
      </w:r>
      <w:r>
        <w:t>he difference is generally small.</w:t>
      </w:r>
      <w:r w:rsidR="002E4F87">
        <w:t xml:space="preserve"> In fact, the error is mostly from ignoring the variance in the variance term in the t-test, which is a common practice </w:t>
      </w:r>
      <w:r w:rsidR="002E4F87">
        <w:fldChar w:fldCharType="begin"/>
      </w:r>
      <w:r w:rsidR="002E4F87">
        <w:instrText xml:space="preserve"> ADDIN ZOTERO_ITEM CSL_CITATION {"citationID":"wgeol7aX","properties":{"formattedCitation":"[10]","plainCitation":"[10]","noteIndex":0},"citationItems":[{"id":387,"uris":["http://zotero.org/users/4312917/items/9IKBIKI6"],"uri":["http://zotero.org/users/4312917/items/9IKBIKI6"],"itemData":{"id":387,"type":"article-journal","abstract":"The underlying concepts for calculating the power of a statistical test elude most investigators. Understanding them helps to know how the various factors contributing to statistical power factor into study design when calculating the required number of subjects to enter into a study. Most journals and funding agencies now require a justification for the number of subjects enrolled into a study and investigators must present the principals of powers calculations used to justify these numbers. For these reasons, knowing how statistical power is determined is essential for researchers in the modern era. The number of subjects required for study entry, depends on the following four concepts: 1) The magnitude of the hypothesized effect (i.e., how far apart the two sample means are expected to differ by); 2) the underlying variability of the outcomes measured (standard deviation); 3) the level of significance desired (e.g., α = 0.05); 4) the amount of power desired (typically 0.8). If the sample standard deviations are small or the means are expected to be very different then smaller numbers of subjects are required to ensure avoidance of type 1 and 2 errors. This review provides the derivation of the sample size equation for continuous variables when the statistical analysis will be the Student’s t-test. We also provide graphical illustrations of how and why these equations are derived.","container-title":"Journal of Surgical Research","DOI":"10.1016/j.jss.2004.12.013","ISSN":"0022-4804","issue":"2","journalAbbreviation":"Journal of Surgical Research","language":"en","page":"149-159","source":"ScienceDirect","title":"Statistical Power and Estimation of the Number of Required Subjects for a Study Based on the t-Test: A Surgeon’s Primer","title-short":"Statistical Power and Estimation of the Number of Required Subjects for a Study Based on the t-Test","volume":"126","author":[{"family":"Livingston","given":"Edward H."},{"family":"Cassidy","given":"Laura"}],"issued":{"date-parts":[["2005",6,15]]}}}],"schema":"https://github.com/citation-style-language/schema/raw/master/csl-citation.json"} </w:instrText>
      </w:r>
      <w:r w:rsidR="002E4F87">
        <w:fldChar w:fldCharType="separate"/>
      </w:r>
      <w:r w:rsidR="002E4F87" w:rsidRPr="002E4F87">
        <w:rPr>
          <w:rFonts w:ascii="Calibri" w:hAnsi="Calibri" w:cs="Calibri"/>
        </w:rPr>
        <w:t>[10]</w:t>
      </w:r>
      <w:r w:rsidR="002E4F87">
        <w:fldChar w:fldCharType="end"/>
      </w:r>
      <w:r w:rsidR="002E4F87">
        <w:t>.</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215085" w:rsidRPr="00215085" w14:paraId="7ABF9C5E" w14:textId="77777777" w:rsidTr="003A4B24">
        <w:trPr>
          <w:trHeight w:val="300"/>
        </w:trPr>
        <w:tc>
          <w:tcPr>
            <w:tcW w:w="8640" w:type="dxa"/>
            <w:gridSpan w:val="9"/>
            <w:tcBorders>
              <w:left w:val="nil"/>
              <w:bottom w:val="single" w:sz="4" w:space="0" w:color="auto"/>
              <w:right w:val="nil"/>
            </w:tcBorders>
          </w:tcPr>
          <w:p w14:paraId="61AE6759" w14:textId="4ADC1320" w:rsidR="00215085" w:rsidRDefault="00215085" w:rsidP="00215085">
            <w:pPr>
              <w:spacing w:after="0" w:line="240" w:lineRule="auto"/>
              <w:jc w:val="center"/>
              <w:rPr>
                <w:rFonts w:ascii="Calibri" w:hAnsi="Calibri" w:cs="Calibri"/>
                <w:color w:val="000000"/>
              </w:rPr>
            </w:pPr>
            <w:r>
              <w:t>Table 2. Simulation results for two-sided test</w:t>
            </w:r>
          </w:p>
        </w:tc>
      </w:tr>
      <w:tr w:rsidR="00215085" w:rsidRPr="00215085" w14:paraId="3C856F36" w14:textId="77777777" w:rsidTr="00215085">
        <w:trPr>
          <w:trHeight w:val="300"/>
        </w:trPr>
        <w:tc>
          <w:tcPr>
            <w:tcW w:w="960" w:type="dxa"/>
            <w:tcBorders>
              <w:top w:val="single" w:sz="4" w:space="0" w:color="auto"/>
              <w:left w:val="nil"/>
              <w:bottom w:val="nil"/>
              <w:right w:val="nil"/>
            </w:tcBorders>
          </w:tcPr>
          <w:p w14:paraId="78E9C6BD" w14:textId="77777777" w:rsidR="00215085" w:rsidRDefault="00215085" w:rsidP="00215085">
            <w:pPr>
              <w:spacing w:after="0" w:line="240" w:lineRule="auto"/>
              <w:jc w:val="right"/>
              <w:rPr>
                <w:rFonts w:ascii="Calibri" w:hAnsi="Calibri" w:cs="Calibri"/>
                <w:color w:val="000000"/>
              </w:rPr>
            </w:pPr>
          </w:p>
        </w:tc>
        <w:tc>
          <w:tcPr>
            <w:tcW w:w="7680" w:type="dxa"/>
            <w:gridSpan w:val="8"/>
            <w:tcBorders>
              <w:top w:val="single" w:sz="4" w:space="0" w:color="auto"/>
              <w:left w:val="nil"/>
              <w:bottom w:val="single" w:sz="4" w:space="0" w:color="auto"/>
              <w:right w:val="nil"/>
            </w:tcBorders>
            <w:shd w:val="clear" w:color="auto" w:fill="auto"/>
            <w:noWrap/>
            <w:vAlign w:val="bottom"/>
          </w:tcPr>
          <w:p w14:paraId="22DE12D6" w14:textId="46017ED8" w:rsidR="00215085" w:rsidRDefault="00215085" w:rsidP="00215085">
            <w:pPr>
              <w:spacing w:after="0" w:line="240" w:lineRule="auto"/>
              <w:jc w:val="center"/>
              <w:rPr>
                <w:rFonts w:ascii="Calibri" w:hAnsi="Calibri" w:cs="Calibri"/>
                <w:color w:val="000000"/>
              </w:rPr>
            </w:pPr>
            <w:r>
              <w:rPr>
                <w:rFonts w:ascii="Calibri" w:hAnsi="Calibri" w:cs="Calibri"/>
                <w:color w:val="000000"/>
              </w:rPr>
              <w:t>Experimental</w:t>
            </w:r>
          </w:p>
        </w:tc>
      </w:tr>
      <w:tr w:rsidR="00215085" w:rsidRPr="00215085" w14:paraId="1E2ACE6E" w14:textId="77777777" w:rsidTr="00215085">
        <w:trPr>
          <w:trHeight w:val="300"/>
        </w:trPr>
        <w:tc>
          <w:tcPr>
            <w:tcW w:w="960" w:type="dxa"/>
            <w:tcBorders>
              <w:left w:val="nil"/>
              <w:bottom w:val="single" w:sz="4" w:space="0" w:color="auto"/>
              <w:right w:val="nil"/>
            </w:tcBorders>
          </w:tcPr>
          <w:p w14:paraId="5C6A8C35" w14:textId="2AB10F55" w:rsidR="00215085" w:rsidRDefault="00215085" w:rsidP="00215085">
            <w:pPr>
              <w:spacing w:after="0" w:line="240" w:lineRule="auto"/>
              <w:jc w:val="center"/>
              <w:rPr>
                <w:rFonts w:ascii="Calibri" w:hAnsi="Calibri" w:cs="Calibri"/>
                <w:color w:val="000000"/>
              </w:rPr>
            </w:pPr>
            <w:r>
              <w:rPr>
                <w:rFonts w:ascii="Calibri" w:hAnsi="Calibri" w:cs="Calibri"/>
                <w:color w:val="000000"/>
              </w:rPr>
              <w:t>Control</w:t>
            </w:r>
          </w:p>
        </w:tc>
        <w:tc>
          <w:tcPr>
            <w:tcW w:w="960" w:type="dxa"/>
            <w:tcBorders>
              <w:top w:val="single" w:sz="4" w:space="0" w:color="auto"/>
              <w:left w:val="nil"/>
              <w:bottom w:val="single" w:sz="4" w:space="0" w:color="auto"/>
              <w:right w:val="nil"/>
            </w:tcBorders>
            <w:shd w:val="clear" w:color="auto" w:fill="auto"/>
            <w:noWrap/>
            <w:vAlign w:val="bottom"/>
          </w:tcPr>
          <w:p w14:paraId="2E392015" w14:textId="3696A6FD" w:rsidR="00215085" w:rsidRDefault="00215085" w:rsidP="00215085">
            <w:pPr>
              <w:spacing w:after="0" w:line="240" w:lineRule="auto"/>
              <w:jc w:val="right"/>
              <w:rPr>
                <w:rFonts w:ascii="Calibri" w:hAnsi="Calibri" w:cs="Calibri"/>
                <w:color w:val="000000"/>
              </w:rPr>
            </w:pPr>
            <w:r>
              <w:rPr>
                <w:rFonts w:ascii="Calibri" w:hAnsi="Calibri" w:cs="Calibri"/>
                <w:color w:val="000000"/>
              </w:rPr>
              <w:t>5</w:t>
            </w:r>
          </w:p>
        </w:tc>
        <w:tc>
          <w:tcPr>
            <w:tcW w:w="960" w:type="dxa"/>
            <w:tcBorders>
              <w:top w:val="single" w:sz="4" w:space="0" w:color="auto"/>
              <w:left w:val="nil"/>
              <w:bottom w:val="single" w:sz="4" w:space="0" w:color="auto"/>
              <w:right w:val="nil"/>
            </w:tcBorders>
            <w:shd w:val="clear" w:color="auto" w:fill="auto"/>
            <w:noWrap/>
            <w:vAlign w:val="bottom"/>
          </w:tcPr>
          <w:p w14:paraId="6090A217" w14:textId="4C911712" w:rsidR="00215085" w:rsidRDefault="00215085" w:rsidP="00215085">
            <w:pPr>
              <w:spacing w:after="0" w:line="240" w:lineRule="auto"/>
              <w:jc w:val="right"/>
              <w:rPr>
                <w:rFonts w:ascii="Calibri" w:hAnsi="Calibri" w:cs="Calibri"/>
                <w:color w:val="000000"/>
              </w:rPr>
            </w:pPr>
            <w:r>
              <w:rPr>
                <w:rFonts w:ascii="Calibri" w:hAnsi="Calibri" w:cs="Calibri"/>
                <w:color w:val="000000"/>
              </w:rPr>
              <w:t>6</w:t>
            </w:r>
          </w:p>
        </w:tc>
        <w:tc>
          <w:tcPr>
            <w:tcW w:w="960" w:type="dxa"/>
            <w:tcBorders>
              <w:top w:val="single" w:sz="4" w:space="0" w:color="auto"/>
              <w:left w:val="nil"/>
              <w:bottom w:val="single" w:sz="4" w:space="0" w:color="auto"/>
              <w:right w:val="nil"/>
            </w:tcBorders>
            <w:shd w:val="clear" w:color="auto" w:fill="auto"/>
            <w:noWrap/>
            <w:vAlign w:val="bottom"/>
          </w:tcPr>
          <w:p w14:paraId="27A72BBE" w14:textId="752EDB3D" w:rsidR="00215085" w:rsidRDefault="00215085" w:rsidP="00215085">
            <w:pPr>
              <w:spacing w:after="0" w:line="240" w:lineRule="auto"/>
              <w:jc w:val="right"/>
              <w:rPr>
                <w:rFonts w:ascii="Calibri" w:hAnsi="Calibri" w:cs="Calibri"/>
                <w:color w:val="000000"/>
              </w:rPr>
            </w:pPr>
            <w:r>
              <w:rPr>
                <w:rFonts w:ascii="Calibri" w:hAnsi="Calibri" w:cs="Calibri"/>
                <w:color w:val="000000"/>
              </w:rPr>
              <w:t>7</w:t>
            </w:r>
          </w:p>
        </w:tc>
        <w:tc>
          <w:tcPr>
            <w:tcW w:w="960" w:type="dxa"/>
            <w:tcBorders>
              <w:top w:val="single" w:sz="4" w:space="0" w:color="auto"/>
              <w:left w:val="nil"/>
              <w:bottom w:val="single" w:sz="4" w:space="0" w:color="auto"/>
              <w:right w:val="nil"/>
            </w:tcBorders>
            <w:shd w:val="clear" w:color="auto" w:fill="auto"/>
            <w:noWrap/>
            <w:vAlign w:val="bottom"/>
          </w:tcPr>
          <w:p w14:paraId="5345D444" w14:textId="219D9ADD" w:rsidR="00215085" w:rsidRDefault="00215085" w:rsidP="00215085">
            <w:pPr>
              <w:spacing w:after="0" w:line="240" w:lineRule="auto"/>
              <w:jc w:val="right"/>
              <w:rPr>
                <w:rFonts w:ascii="Calibri" w:hAnsi="Calibri" w:cs="Calibri"/>
                <w:color w:val="000000"/>
              </w:rPr>
            </w:pPr>
            <w:r>
              <w:rPr>
                <w:rFonts w:ascii="Calibri" w:hAnsi="Calibri" w:cs="Calibri"/>
                <w:color w:val="000000"/>
              </w:rPr>
              <w:t>8</w:t>
            </w:r>
          </w:p>
        </w:tc>
        <w:tc>
          <w:tcPr>
            <w:tcW w:w="960" w:type="dxa"/>
            <w:tcBorders>
              <w:top w:val="single" w:sz="4" w:space="0" w:color="auto"/>
              <w:left w:val="nil"/>
              <w:bottom w:val="single" w:sz="4" w:space="0" w:color="auto"/>
              <w:right w:val="nil"/>
            </w:tcBorders>
            <w:shd w:val="clear" w:color="auto" w:fill="auto"/>
            <w:noWrap/>
            <w:vAlign w:val="bottom"/>
          </w:tcPr>
          <w:p w14:paraId="38ED100B" w14:textId="364AD2BF" w:rsidR="00215085" w:rsidRDefault="00215085" w:rsidP="00215085">
            <w:pPr>
              <w:spacing w:after="0" w:line="240" w:lineRule="auto"/>
              <w:jc w:val="right"/>
              <w:rPr>
                <w:rFonts w:ascii="Calibri" w:hAnsi="Calibri" w:cs="Calibri"/>
                <w:color w:val="000000"/>
              </w:rPr>
            </w:pPr>
            <w:r>
              <w:rPr>
                <w:rFonts w:ascii="Calibri" w:hAnsi="Calibri" w:cs="Calibri"/>
                <w:color w:val="000000"/>
              </w:rPr>
              <w:t>9</w:t>
            </w:r>
          </w:p>
        </w:tc>
        <w:tc>
          <w:tcPr>
            <w:tcW w:w="960" w:type="dxa"/>
            <w:tcBorders>
              <w:top w:val="single" w:sz="4" w:space="0" w:color="auto"/>
              <w:left w:val="nil"/>
              <w:bottom w:val="single" w:sz="4" w:space="0" w:color="auto"/>
              <w:right w:val="nil"/>
            </w:tcBorders>
            <w:shd w:val="clear" w:color="auto" w:fill="auto"/>
            <w:noWrap/>
            <w:vAlign w:val="bottom"/>
          </w:tcPr>
          <w:p w14:paraId="798D3994" w14:textId="2D8EF21D" w:rsidR="00215085" w:rsidRDefault="00215085" w:rsidP="00215085">
            <w:pPr>
              <w:spacing w:after="0" w:line="240" w:lineRule="auto"/>
              <w:jc w:val="right"/>
              <w:rPr>
                <w:rFonts w:ascii="Calibri" w:hAnsi="Calibri" w:cs="Calibri"/>
                <w:color w:val="000000"/>
              </w:rPr>
            </w:pPr>
            <w:r>
              <w:rPr>
                <w:rFonts w:ascii="Calibri" w:hAnsi="Calibri" w:cs="Calibri"/>
                <w:color w:val="000000"/>
              </w:rPr>
              <w:t>10</w:t>
            </w:r>
          </w:p>
        </w:tc>
        <w:tc>
          <w:tcPr>
            <w:tcW w:w="960" w:type="dxa"/>
            <w:tcBorders>
              <w:top w:val="single" w:sz="4" w:space="0" w:color="auto"/>
              <w:left w:val="nil"/>
              <w:bottom w:val="single" w:sz="4" w:space="0" w:color="auto"/>
              <w:right w:val="nil"/>
            </w:tcBorders>
            <w:shd w:val="clear" w:color="auto" w:fill="auto"/>
            <w:noWrap/>
            <w:vAlign w:val="bottom"/>
          </w:tcPr>
          <w:p w14:paraId="39E6DCD3" w14:textId="57ACB791" w:rsidR="00215085" w:rsidRDefault="00215085" w:rsidP="00215085">
            <w:pPr>
              <w:spacing w:after="0" w:line="240" w:lineRule="auto"/>
              <w:jc w:val="right"/>
              <w:rPr>
                <w:rFonts w:ascii="Calibri" w:hAnsi="Calibri" w:cs="Calibri"/>
                <w:color w:val="000000"/>
              </w:rPr>
            </w:pPr>
            <w:r>
              <w:rPr>
                <w:rFonts w:ascii="Calibri" w:hAnsi="Calibri" w:cs="Calibri"/>
                <w:color w:val="000000"/>
              </w:rPr>
              <w:t>11</w:t>
            </w:r>
          </w:p>
        </w:tc>
        <w:tc>
          <w:tcPr>
            <w:tcW w:w="960" w:type="dxa"/>
            <w:tcBorders>
              <w:top w:val="single" w:sz="4" w:space="0" w:color="auto"/>
              <w:left w:val="nil"/>
              <w:bottom w:val="single" w:sz="4" w:space="0" w:color="auto"/>
              <w:right w:val="nil"/>
            </w:tcBorders>
            <w:shd w:val="clear" w:color="auto" w:fill="auto"/>
            <w:noWrap/>
            <w:vAlign w:val="bottom"/>
          </w:tcPr>
          <w:p w14:paraId="68B26071" w14:textId="7C000561" w:rsidR="00215085" w:rsidRDefault="00215085" w:rsidP="00215085">
            <w:pPr>
              <w:spacing w:after="0" w:line="240" w:lineRule="auto"/>
              <w:jc w:val="right"/>
              <w:rPr>
                <w:rFonts w:ascii="Calibri" w:hAnsi="Calibri" w:cs="Calibri"/>
                <w:color w:val="000000"/>
              </w:rPr>
            </w:pPr>
            <w:r>
              <w:rPr>
                <w:rFonts w:ascii="Calibri" w:hAnsi="Calibri" w:cs="Calibri"/>
                <w:color w:val="000000"/>
              </w:rPr>
              <w:t>12</w:t>
            </w:r>
          </w:p>
        </w:tc>
      </w:tr>
      <w:tr w:rsidR="00215085" w:rsidRPr="00215085" w14:paraId="24CBFA7F" w14:textId="77777777" w:rsidTr="00215085">
        <w:trPr>
          <w:trHeight w:val="300"/>
        </w:trPr>
        <w:tc>
          <w:tcPr>
            <w:tcW w:w="960" w:type="dxa"/>
            <w:tcBorders>
              <w:top w:val="single" w:sz="4" w:space="0" w:color="auto"/>
              <w:left w:val="nil"/>
              <w:right w:val="nil"/>
            </w:tcBorders>
          </w:tcPr>
          <w:p w14:paraId="34093DCC" w14:textId="27DB5965" w:rsidR="00215085" w:rsidRDefault="00215085" w:rsidP="00215085">
            <w:pPr>
              <w:spacing w:after="0" w:line="240" w:lineRule="auto"/>
              <w:jc w:val="right"/>
              <w:rPr>
                <w:rFonts w:ascii="Calibri" w:hAnsi="Calibri" w:cs="Calibri"/>
                <w:color w:val="000000"/>
              </w:rPr>
            </w:pPr>
            <w:r>
              <w:rPr>
                <w:rFonts w:ascii="Calibri" w:hAnsi="Calibri" w:cs="Calibri"/>
                <w:color w:val="000000"/>
              </w:rPr>
              <w:t>5</w:t>
            </w:r>
          </w:p>
        </w:tc>
        <w:tc>
          <w:tcPr>
            <w:tcW w:w="960" w:type="dxa"/>
            <w:tcBorders>
              <w:top w:val="single" w:sz="4" w:space="0" w:color="auto"/>
              <w:left w:val="nil"/>
              <w:right w:val="nil"/>
            </w:tcBorders>
            <w:shd w:val="clear" w:color="auto" w:fill="auto"/>
            <w:noWrap/>
            <w:vAlign w:val="bottom"/>
            <w:hideMark/>
          </w:tcPr>
          <w:p w14:paraId="4F28793A" w14:textId="1CD4653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0.4540</w:t>
            </w:r>
          </w:p>
        </w:tc>
        <w:tc>
          <w:tcPr>
            <w:tcW w:w="960" w:type="dxa"/>
            <w:tcBorders>
              <w:top w:val="single" w:sz="4" w:space="0" w:color="auto"/>
              <w:left w:val="nil"/>
              <w:right w:val="nil"/>
            </w:tcBorders>
            <w:shd w:val="clear" w:color="auto" w:fill="auto"/>
            <w:noWrap/>
            <w:vAlign w:val="bottom"/>
            <w:hideMark/>
          </w:tcPr>
          <w:p w14:paraId="5EBF9710" w14:textId="61DE579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0.4299</w:t>
            </w:r>
          </w:p>
        </w:tc>
        <w:tc>
          <w:tcPr>
            <w:tcW w:w="960" w:type="dxa"/>
            <w:tcBorders>
              <w:top w:val="single" w:sz="4" w:space="0" w:color="auto"/>
              <w:left w:val="nil"/>
              <w:right w:val="nil"/>
            </w:tcBorders>
            <w:shd w:val="clear" w:color="auto" w:fill="auto"/>
            <w:noWrap/>
            <w:vAlign w:val="bottom"/>
            <w:hideMark/>
          </w:tcPr>
          <w:p w14:paraId="7713175A" w14:textId="11222112"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0.4213</w:t>
            </w:r>
          </w:p>
        </w:tc>
        <w:tc>
          <w:tcPr>
            <w:tcW w:w="960" w:type="dxa"/>
            <w:tcBorders>
              <w:top w:val="single" w:sz="4" w:space="0" w:color="auto"/>
              <w:left w:val="nil"/>
              <w:right w:val="nil"/>
            </w:tcBorders>
            <w:shd w:val="clear" w:color="auto" w:fill="auto"/>
            <w:noWrap/>
            <w:vAlign w:val="bottom"/>
            <w:hideMark/>
          </w:tcPr>
          <w:p w14:paraId="3273D008" w14:textId="7D68685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0.4162</w:t>
            </w:r>
          </w:p>
        </w:tc>
        <w:tc>
          <w:tcPr>
            <w:tcW w:w="960" w:type="dxa"/>
            <w:tcBorders>
              <w:top w:val="single" w:sz="4" w:space="0" w:color="auto"/>
              <w:left w:val="nil"/>
              <w:right w:val="nil"/>
            </w:tcBorders>
            <w:shd w:val="clear" w:color="auto" w:fill="auto"/>
            <w:noWrap/>
            <w:vAlign w:val="bottom"/>
            <w:hideMark/>
          </w:tcPr>
          <w:p w14:paraId="200091F5" w14:textId="644E4105"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0.4007</w:t>
            </w:r>
          </w:p>
        </w:tc>
        <w:tc>
          <w:tcPr>
            <w:tcW w:w="960" w:type="dxa"/>
            <w:tcBorders>
              <w:top w:val="single" w:sz="4" w:space="0" w:color="auto"/>
              <w:left w:val="nil"/>
              <w:right w:val="nil"/>
            </w:tcBorders>
            <w:shd w:val="clear" w:color="auto" w:fill="auto"/>
            <w:noWrap/>
            <w:vAlign w:val="bottom"/>
            <w:hideMark/>
          </w:tcPr>
          <w:p w14:paraId="50EC2FAE" w14:textId="7B7F6E16"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0.3953</w:t>
            </w:r>
          </w:p>
        </w:tc>
        <w:tc>
          <w:tcPr>
            <w:tcW w:w="960" w:type="dxa"/>
            <w:tcBorders>
              <w:top w:val="single" w:sz="4" w:space="0" w:color="auto"/>
              <w:left w:val="nil"/>
              <w:right w:val="nil"/>
            </w:tcBorders>
            <w:shd w:val="clear" w:color="auto" w:fill="auto"/>
            <w:noWrap/>
            <w:vAlign w:val="bottom"/>
            <w:hideMark/>
          </w:tcPr>
          <w:p w14:paraId="0FEE1196" w14:textId="77ADF3F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0.4040</w:t>
            </w:r>
          </w:p>
        </w:tc>
        <w:tc>
          <w:tcPr>
            <w:tcW w:w="960" w:type="dxa"/>
            <w:tcBorders>
              <w:top w:val="single" w:sz="4" w:space="0" w:color="auto"/>
              <w:left w:val="nil"/>
              <w:right w:val="nil"/>
            </w:tcBorders>
            <w:shd w:val="clear" w:color="auto" w:fill="auto"/>
            <w:noWrap/>
            <w:vAlign w:val="bottom"/>
            <w:hideMark/>
          </w:tcPr>
          <w:p w14:paraId="3B256622" w14:textId="751F4AE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0.4025</w:t>
            </w:r>
          </w:p>
        </w:tc>
      </w:tr>
      <w:tr w:rsidR="00215085" w:rsidRPr="00215085" w14:paraId="370A70F4" w14:textId="77777777" w:rsidTr="00215085">
        <w:trPr>
          <w:trHeight w:val="300"/>
        </w:trPr>
        <w:tc>
          <w:tcPr>
            <w:tcW w:w="960" w:type="dxa"/>
            <w:tcBorders>
              <w:left w:val="nil"/>
              <w:bottom w:val="nil"/>
              <w:right w:val="nil"/>
            </w:tcBorders>
          </w:tcPr>
          <w:p w14:paraId="1BFAC1C3" w14:textId="2501349C" w:rsidR="00215085" w:rsidRDefault="00215085" w:rsidP="00215085">
            <w:pPr>
              <w:spacing w:after="0" w:line="240" w:lineRule="auto"/>
              <w:jc w:val="right"/>
              <w:rPr>
                <w:rFonts w:ascii="Calibri" w:hAnsi="Calibri" w:cs="Calibri"/>
                <w:color w:val="000000"/>
              </w:rPr>
            </w:pPr>
            <w:r>
              <w:rPr>
                <w:rFonts w:ascii="Calibri" w:hAnsi="Calibri" w:cs="Calibri"/>
                <w:color w:val="000000"/>
              </w:rPr>
              <w:t>6</w:t>
            </w:r>
          </w:p>
        </w:tc>
        <w:tc>
          <w:tcPr>
            <w:tcW w:w="960" w:type="dxa"/>
            <w:tcBorders>
              <w:left w:val="nil"/>
              <w:bottom w:val="nil"/>
              <w:right w:val="nil"/>
            </w:tcBorders>
            <w:shd w:val="clear" w:color="auto" w:fill="auto"/>
            <w:noWrap/>
            <w:vAlign w:val="bottom"/>
            <w:hideMark/>
          </w:tcPr>
          <w:p w14:paraId="4055B34D" w14:textId="4141582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0.3898</w:t>
            </w:r>
          </w:p>
        </w:tc>
        <w:tc>
          <w:tcPr>
            <w:tcW w:w="960" w:type="dxa"/>
            <w:tcBorders>
              <w:left w:val="nil"/>
              <w:bottom w:val="nil"/>
              <w:right w:val="nil"/>
            </w:tcBorders>
            <w:shd w:val="clear" w:color="auto" w:fill="auto"/>
            <w:noWrap/>
            <w:vAlign w:val="bottom"/>
            <w:hideMark/>
          </w:tcPr>
          <w:p w14:paraId="32CC70A8" w14:textId="6EFF094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0.3596</w:t>
            </w:r>
          </w:p>
        </w:tc>
        <w:tc>
          <w:tcPr>
            <w:tcW w:w="960" w:type="dxa"/>
            <w:tcBorders>
              <w:left w:val="nil"/>
              <w:bottom w:val="nil"/>
              <w:right w:val="nil"/>
            </w:tcBorders>
            <w:shd w:val="clear" w:color="auto" w:fill="auto"/>
            <w:noWrap/>
            <w:vAlign w:val="bottom"/>
            <w:hideMark/>
          </w:tcPr>
          <w:p w14:paraId="680AB525" w14:textId="77ADE83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0.3411</w:t>
            </w:r>
          </w:p>
        </w:tc>
        <w:tc>
          <w:tcPr>
            <w:tcW w:w="960" w:type="dxa"/>
            <w:tcBorders>
              <w:left w:val="nil"/>
              <w:bottom w:val="nil"/>
              <w:right w:val="nil"/>
            </w:tcBorders>
            <w:shd w:val="clear" w:color="auto" w:fill="auto"/>
            <w:noWrap/>
            <w:vAlign w:val="bottom"/>
            <w:hideMark/>
          </w:tcPr>
          <w:p w14:paraId="7DD43DA8" w14:textId="76B6A98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0.3289</w:t>
            </w:r>
          </w:p>
        </w:tc>
        <w:tc>
          <w:tcPr>
            <w:tcW w:w="960" w:type="dxa"/>
            <w:tcBorders>
              <w:left w:val="nil"/>
              <w:bottom w:val="nil"/>
              <w:right w:val="nil"/>
            </w:tcBorders>
            <w:shd w:val="clear" w:color="auto" w:fill="auto"/>
            <w:noWrap/>
            <w:vAlign w:val="bottom"/>
            <w:hideMark/>
          </w:tcPr>
          <w:p w14:paraId="524E417A" w14:textId="16D3873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0.3233</w:t>
            </w:r>
          </w:p>
        </w:tc>
        <w:tc>
          <w:tcPr>
            <w:tcW w:w="960" w:type="dxa"/>
            <w:tcBorders>
              <w:left w:val="nil"/>
              <w:bottom w:val="nil"/>
              <w:right w:val="nil"/>
            </w:tcBorders>
            <w:shd w:val="clear" w:color="auto" w:fill="auto"/>
            <w:noWrap/>
            <w:vAlign w:val="bottom"/>
            <w:hideMark/>
          </w:tcPr>
          <w:p w14:paraId="1F32D172" w14:textId="50649A4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0.3161</w:t>
            </w:r>
          </w:p>
        </w:tc>
        <w:tc>
          <w:tcPr>
            <w:tcW w:w="960" w:type="dxa"/>
            <w:tcBorders>
              <w:left w:val="nil"/>
              <w:bottom w:val="nil"/>
              <w:right w:val="nil"/>
            </w:tcBorders>
            <w:shd w:val="clear" w:color="auto" w:fill="auto"/>
            <w:noWrap/>
            <w:vAlign w:val="bottom"/>
            <w:hideMark/>
          </w:tcPr>
          <w:p w14:paraId="7B99BA02" w14:textId="1757D9B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0.3099</w:t>
            </w:r>
          </w:p>
        </w:tc>
        <w:tc>
          <w:tcPr>
            <w:tcW w:w="960" w:type="dxa"/>
            <w:tcBorders>
              <w:left w:val="nil"/>
              <w:bottom w:val="nil"/>
              <w:right w:val="nil"/>
            </w:tcBorders>
            <w:shd w:val="clear" w:color="auto" w:fill="auto"/>
            <w:noWrap/>
            <w:vAlign w:val="bottom"/>
            <w:hideMark/>
          </w:tcPr>
          <w:p w14:paraId="5381D663" w14:textId="0D8E597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0.3126</w:t>
            </w:r>
          </w:p>
        </w:tc>
      </w:tr>
      <w:tr w:rsidR="00215085" w:rsidRPr="00215085" w14:paraId="11D1CE3B" w14:textId="77777777" w:rsidTr="00215085">
        <w:trPr>
          <w:trHeight w:val="300"/>
        </w:trPr>
        <w:tc>
          <w:tcPr>
            <w:tcW w:w="960" w:type="dxa"/>
            <w:tcBorders>
              <w:top w:val="nil"/>
              <w:left w:val="nil"/>
              <w:bottom w:val="nil"/>
              <w:right w:val="nil"/>
            </w:tcBorders>
          </w:tcPr>
          <w:p w14:paraId="4C8E9982" w14:textId="3A4C1200" w:rsidR="00215085" w:rsidRDefault="00215085" w:rsidP="00215085">
            <w:pPr>
              <w:spacing w:after="0" w:line="240" w:lineRule="auto"/>
              <w:jc w:val="right"/>
              <w:rPr>
                <w:rFonts w:ascii="Calibri" w:hAnsi="Calibri" w:cs="Calibri"/>
                <w:color w:val="000000"/>
              </w:rPr>
            </w:pPr>
            <w:r>
              <w:rPr>
                <w:rFonts w:ascii="Calibri" w:hAnsi="Calibri" w:cs="Calibri"/>
                <w:color w:val="000000"/>
              </w:rPr>
              <w:t>7</w:t>
            </w:r>
          </w:p>
        </w:tc>
        <w:tc>
          <w:tcPr>
            <w:tcW w:w="960" w:type="dxa"/>
            <w:tcBorders>
              <w:top w:val="nil"/>
              <w:left w:val="nil"/>
              <w:bottom w:val="nil"/>
              <w:right w:val="nil"/>
            </w:tcBorders>
            <w:shd w:val="clear" w:color="auto" w:fill="auto"/>
            <w:noWrap/>
            <w:vAlign w:val="bottom"/>
            <w:hideMark/>
          </w:tcPr>
          <w:p w14:paraId="269C0414" w14:textId="0B7E910E"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0.3347</w:t>
            </w:r>
          </w:p>
        </w:tc>
        <w:tc>
          <w:tcPr>
            <w:tcW w:w="960" w:type="dxa"/>
            <w:tcBorders>
              <w:top w:val="nil"/>
              <w:left w:val="nil"/>
              <w:bottom w:val="nil"/>
              <w:right w:val="nil"/>
            </w:tcBorders>
            <w:shd w:val="clear" w:color="auto" w:fill="auto"/>
            <w:noWrap/>
            <w:vAlign w:val="bottom"/>
            <w:hideMark/>
          </w:tcPr>
          <w:p w14:paraId="4A553906" w14:textId="474E8576"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0.3012</w:t>
            </w:r>
          </w:p>
        </w:tc>
        <w:tc>
          <w:tcPr>
            <w:tcW w:w="960" w:type="dxa"/>
            <w:tcBorders>
              <w:top w:val="nil"/>
              <w:left w:val="nil"/>
              <w:bottom w:val="nil"/>
              <w:right w:val="nil"/>
            </w:tcBorders>
            <w:shd w:val="clear" w:color="auto" w:fill="auto"/>
            <w:noWrap/>
            <w:vAlign w:val="bottom"/>
            <w:hideMark/>
          </w:tcPr>
          <w:p w14:paraId="42797924" w14:textId="2B7DBAFD"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0.2702</w:t>
            </w:r>
          </w:p>
        </w:tc>
        <w:tc>
          <w:tcPr>
            <w:tcW w:w="960" w:type="dxa"/>
            <w:tcBorders>
              <w:top w:val="nil"/>
              <w:left w:val="nil"/>
              <w:bottom w:val="nil"/>
              <w:right w:val="nil"/>
            </w:tcBorders>
            <w:shd w:val="clear" w:color="auto" w:fill="auto"/>
            <w:noWrap/>
            <w:vAlign w:val="bottom"/>
            <w:hideMark/>
          </w:tcPr>
          <w:p w14:paraId="49292B60" w14:textId="43FA13E5"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0.2509</w:t>
            </w:r>
          </w:p>
        </w:tc>
        <w:tc>
          <w:tcPr>
            <w:tcW w:w="960" w:type="dxa"/>
            <w:tcBorders>
              <w:top w:val="nil"/>
              <w:left w:val="nil"/>
              <w:bottom w:val="nil"/>
              <w:right w:val="nil"/>
            </w:tcBorders>
            <w:shd w:val="clear" w:color="auto" w:fill="auto"/>
            <w:noWrap/>
            <w:vAlign w:val="bottom"/>
            <w:hideMark/>
          </w:tcPr>
          <w:p w14:paraId="4B71DEC9" w14:textId="2942DF7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0.2543</w:t>
            </w:r>
          </w:p>
        </w:tc>
        <w:tc>
          <w:tcPr>
            <w:tcW w:w="960" w:type="dxa"/>
            <w:tcBorders>
              <w:top w:val="nil"/>
              <w:left w:val="nil"/>
              <w:bottom w:val="nil"/>
              <w:right w:val="nil"/>
            </w:tcBorders>
            <w:shd w:val="clear" w:color="auto" w:fill="auto"/>
            <w:noWrap/>
            <w:vAlign w:val="bottom"/>
            <w:hideMark/>
          </w:tcPr>
          <w:p w14:paraId="6A7CA7D9" w14:textId="0E015D5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0.2331</w:t>
            </w:r>
          </w:p>
        </w:tc>
        <w:tc>
          <w:tcPr>
            <w:tcW w:w="960" w:type="dxa"/>
            <w:tcBorders>
              <w:top w:val="nil"/>
              <w:left w:val="nil"/>
              <w:bottom w:val="nil"/>
              <w:right w:val="nil"/>
            </w:tcBorders>
            <w:shd w:val="clear" w:color="auto" w:fill="auto"/>
            <w:noWrap/>
            <w:vAlign w:val="bottom"/>
            <w:hideMark/>
          </w:tcPr>
          <w:p w14:paraId="4B402013" w14:textId="3EF56AA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0.2311</w:t>
            </w:r>
          </w:p>
        </w:tc>
        <w:tc>
          <w:tcPr>
            <w:tcW w:w="960" w:type="dxa"/>
            <w:tcBorders>
              <w:top w:val="nil"/>
              <w:left w:val="nil"/>
              <w:bottom w:val="nil"/>
              <w:right w:val="nil"/>
            </w:tcBorders>
            <w:shd w:val="clear" w:color="auto" w:fill="auto"/>
            <w:noWrap/>
            <w:vAlign w:val="bottom"/>
            <w:hideMark/>
          </w:tcPr>
          <w:p w14:paraId="761B567C" w14:textId="60F46AF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0.2395</w:t>
            </w:r>
          </w:p>
        </w:tc>
      </w:tr>
      <w:tr w:rsidR="00215085" w:rsidRPr="00215085" w14:paraId="583CD6F1" w14:textId="77777777" w:rsidTr="00215085">
        <w:trPr>
          <w:trHeight w:val="300"/>
        </w:trPr>
        <w:tc>
          <w:tcPr>
            <w:tcW w:w="960" w:type="dxa"/>
            <w:tcBorders>
              <w:top w:val="nil"/>
              <w:left w:val="nil"/>
              <w:bottom w:val="nil"/>
              <w:right w:val="nil"/>
            </w:tcBorders>
          </w:tcPr>
          <w:p w14:paraId="4BE46505" w14:textId="135B4EDD" w:rsidR="00215085" w:rsidRDefault="00215085" w:rsidP="00215085">
            <w:pPr>
              <w:spacing w:after="0" w:line="240" w:lineRule="auto"/>
              <w:jc w:val="right"/>
              <w:rPr>
                <w:rFonts w:ascii="Calibri" w:hAnsi="Calibri" w:cs="Calibri"/>
                <w:color w:val="000000"/>
              </w:rPr>
            </w:pPr>
            <w:r>
              <w:rPr>
                <w:rFonts w:ascii="Calibri" w:hAnsi="Calibri" w:cs="Calibri"/>
                <w:color w:val="000000"/>
              </w:rPr>
              <w:t>8</w:t>
            </w:r>
          </w:p>
        </w:tc>
        <w:tc>
          <w:tcPr>
            <w:tcW w:w="960" w:type="dxa"/>
            <w:tcBorders>
              <w:top w:val="nil"/>
              <w:left w:val="nil"/>
              <w:bottom w:val="nil"/>
              <w:right w:val="nil"/>
            </w:tcBorders>
            <w:shd w:val="clear" w:color="auto" w:fill="auto"/>
            <w:noWrap/>
            <w:vAlign w:val="bottom"/>
            <w:hideMark/>
          </w:tcPr>
          <w:p w14:paraId="38E17896" w14:textId="152A0322"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0.2789</w:t>
            </w:r>
          </w:p>
        </w:tc>
        <w:tc>
          <w:tcPr>
            <w:tcW w:w="960" w:type="dxa"/>
            <w:tcBorders>
              <w:top w:val="nil"/>
              <w:left w:val="nil"/>
              <w:bottom w:val="nil"/>
              <w:right w:val="nil"/>
            </w:tcBorders>
            <w:shd w:val="clear" w:color="auto" w:fill="auto"/>
            <w:noWrap/>
            <w:vAlign w:val="bottom"/>
            <w:hideMark/>
          </w:tcPr>
          <w:p w14:paraId="3CDBF373" w14:textId="72E4BD1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0.2513</w:t>
            </w:r>
          </w:p>
        </w:tc>
        <w:tc>
          <w:tcPr>
            <w:tcW w:w="960" w:type="dxa"/>
            <w:tcBorders>
              <w:top w:val="nil"/>
              <w:left w:val="nil"/>
              <w:bottom w:val="nil"/>
              <w:right w:val="nil"/>
            </w:tcBorders>
            <w:shd w:val="clear" w:color="auto" w:fill="auto"/>
            <w:noWrap/>
            <w:vAlign w:val="bottom"/>
            <w:hideMark/>
          </w:tcPr>
          <w:p w14:paraId="5D175E43" w14:textId="0663365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0.2204</w:t>
            </w:r>
          </w:p>
        </w:tc>
        <w:tc>
          <w:tcPr>
            <w:tcW w:w="960" w:type="dxa"/>
            <w:tcBorders>
              <w:top w:val="nil"/>
              <w:left w:val="nil"/>
              <w:bottom w:val="nil"/>
              <w:right w:val="nil"/>
            </w:tcBorders>
            <w:shd w:val="clear" w:color="auto" w:fill="auto"/>
            <w:noWrap/>
            <w:vAlign w:val="bottom"/>
            <w:hideMark/>
          </w:tcPr>
          <w:p w14:paraId="64882839" w14:textId="6714F62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0.2115</w:t>
            </w:r>
          </w:p>
        </w:tc>
        <w:tc>
          <w:tcPr>
            <w:tcW w:w="960" w:type="dxa"/>
            <w:tcBorders>
              <w:top w:val="nil"/>
              <w:left w:val="nil"/>
              <w:bottom w:val="nil"/>
              <w:right w:val="nil"/>
            </w:tcBorders>
            <w:shd w:val="clear" w:color="auto" w:fill="auto"/>
            <w:noWrap/>
            <w:vAlign w:val="bottom"/>
            <w:hideMark/>
          </w:tcPr>
          <w:p w14:paraId="567C0486" w14:textId="1C00338D"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0.2027</w:t>
            </w:r>
          </w:p>
        </w:tc>
        <w:tc>
          <w:tcPr>
            <w:tcW w:w="960" w:type="dxa"/>
            <w:tcBorders>
              <w:top w:val="nil"/>
              <w:left w:val="nil"/>
              <w:bottom w:val="nil"/>
              <w:right w:val="nil"/>
            </w:tcBorders>
            <w:shd w:val="clear" w:color="auto" w:fill="auto"/>
            <w:noWrap/>
            <w:vAlign w:val="bottom"/>
            <w:hideMark/>
          </w:tcPr>
          <w:p w14:paraId="6EC65F25" w14:textId="2BAD08B5"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0.1920</w:t>
            </w:r>
          </w:p>
        </w:tc>
        <w:tc>
          <w:tcPr>
            <w:tcW w:w="960" w:type="dxa"/>
            <w:tcBorders>
              <w:top w:val="nil"/>
              <w:left w:val="nil"/>
              <w:bottom w:val="nil"/>
              <w:right w:val="nil"/>
            </w:tcBorders>
            <w:shd w:val="clear" w:color="auto" w:fill="auto"/>
            <w:noWrap/>
            <w:vAlign w:val="bottom"/>
            <w:hideMark/>
          </w:tcPr>
          <w:p w14:paraId="4B3CFFCF" w14:textId="68907F5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0.1835</w:t>
            </w:r>
          </w:p>
        </w:tc>
        <w:tc>
          <w:tcPr>
            <w:tcW w:w="960" w:type="dxa"/>
            <w:tcBorders>
              <w:top w:val="nil"/>
              <w:left w:val="nil"/>
              <w:bottom w:val="nil"/>
              <w:right w:val="nil"/>
            </w:tcBorders>
            <w:shd w:val="clear" w:color="auto" w:fill="auto"/>
            <w:noWrap/>
            <w:vAlign w:val="bottom"/>
            <w:hideMark/>
          </w:tcPr>
          <w:p w14:paraId="7E2E7B4B" w14:textId="46F484C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0.1844</w:t>
            </w:r>
          </w:p>
        </w:tc>
      </w:tr>
      <w:tr w:rsidR="00215085" w:rsidRPr="00215085" w14:paraId="5708D462" w14:textId="77777777" w:rsidTr="00215085">
        <w:trPr>
          <w:trHeight w:val="300"/>
        </w:trPr>
        <w:tc>
          <w:tcPr>
            <w:tcW w:w="960" w:type="dxa"/>
            <w:tcBorders>
              <w:top w:val="nil"/>
              <w:left w:val="nil"/>
              <w:bottom w:val="nil"/>
              <w:right w:val="nil"/>
            </w:tcBorders>
          </w:tcPr>
          <w:p w14:paraId="05548DD3" w14:textId="30ED24FD" w:rsidR="00215085" w:rsidRDefault="00215085" w:rsidP="00215085">
            <w:pPr>
              <w:spacing w:after="0" w:line="240" w:lineRule="auto"/>
              <w:jc w:val="right"/>
              <w:rPr>
                <w:rFonts w:ascii="Calibri" w:hAnsi="Calibri" w:cs="Calibri"/>
                <w:color w:val="000000"/>
              </w:rPr>
            </w:pPr>
            <w:r>
              <w:rPr>
                <w:rFonts w:ascii="Calibri" w:hAnsi="Calibri" w:cs="Calibri"/>
                <w:color w:val="000000"/>
              </w:rPr>
              <w:t>9</w:t>
            </w:r>
          </w:p>
        </w:tc>
        <w:tc>
          <w:tcPr>
            <w:tcW w:w="960" w:type="dxa"/>
            <w:tcBorders>
              <w:top w:val="nil"/>
              <w:left w:val="nil"/>
              <w:bottom w:val="nil"/>
              <w:right w:val="nil"/>
            </w:tcBorders>
            <w:shd w:val="clear" w:color="auto" w:fill="auto"/>
            <w:noWrap/>
            <w:vAlign w:val="bottom"/>
            <w:hideMark/>
          </w:tcPr>
          <w:p w14:paraId="310ECE91" w14:textId="77365A8D"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0.2568</w:t>
            </w:r>
          </w:p>
        </w:tc>
        <w:tc>
          <w:tcPr>
            <w:tcW w:w="960" w:type="dxa"/>
            <w:tcBorders>
              <w:top w:val="nil"/>
              <w:left w:val="nil"/>
              <w:bottom w:val="nil"/>
              <w:right w:val="nil"/>
            </w:tcBorders>
            <w:shd w:val="clear" w:color="auto" w:fill="auto"/>
            <w:noWrap/>
            <w:vAlign w:val="bottom"/>
            <w:hideMark/>
          </w:tcPr>
          <w:p w14:paraId="2017638C" w14:textId="6557477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0.2158</w:t>
            </w:r>
          </w:p>
        </w:tc>
        <w:tc>
          <w:tcPr>
            <w:tcW w:w="960" w:type="dxa"/>
            <w:tcBorders>
              <w:top w:val="nil"/>
              <w:left w:val="nil"/>
              <w:bottom w:val="nil"/>
              <w:right w:val="nil"/>
            </w:tcBorders>
            <w:shd w:val="clear" w:color="auto" w:fill="auto"/>
            <w:noWrap/>
            <w:vAlign w:val="bottom"/>
            <w:hideMark/>
          </w:tcPr>
          <w:p w14:paraId="3C52C7A7" w14:textId="1F434D1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0.1889</w:t>
            </w:r>
          </w:p>
        </w:tc>
        <w:tc>
          <w:tcPr>
            <w:tcW w:w="960" w:type="dxa"/>
            <w:tcBorders>
              <w:top w:val="nil"/>
              <w:left w:val="nil"/>
              <w:bottom w:val="nil"/>
              <w:right w:val="nil"/>
            </w:tcBorders>
            <w:shd w:val="clear" w:color="auto" w:fill="auto"/>
            <w:noWrap/>
            <w:vAlign w:val="bottom"/>
            <w:hideMark/>
          </w:tcPr>
          <w:p w14:paraId="4EC22AAF" w14:textId="5E6D165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0.1691</w:t>
            </w:r>
          </w:p>
        </w:tc>
        <w:tc>
          <w:tcPr>
            <w:tcW w:w="960" w:type="dxa"/>
            <w:tcBorders>
              <w:top w:val="nil"/>
              <w:left w:val="nil"/>
              <w:bottom w:val="nil"/>
              <w:right w:val="nil"/>
            </w:tcBorders>
            <w:shd w:val="clear" w:color="auto" w:fill="auto"/>
            <w:noWrap/>
            <w:vAlign w:val="bottom"/>
            <w:hideMark/>
          </w:tcPr>
          <w:p w14:paraId="09EC4D53" w14:textId="0221B34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0.1581</w:t>
            </w:r>
          </w:p>
        </w:tc>
        <w:tc>
          <w:tcPr>
            <w:tcW w:w="960" w:type="dxa"/>
            <w:tcBorders>
              <w:top w:val="nil"/>
              <w:left w:val="nil"/>
              <w:bottom w:val="nil"/>
              <w:right w:val="nil"/>
            </w:tcBorders>
            <w:shd w:val="clear" w:color="auto" w:fill="auto"/>
            <w:noWrap/>
            <w:vAlign w:val="bottom"/>
            <w:hideMark/>
          </w:tcPr>
          <w:p w14:paraId="495F2326" w14:textId="5F6C351E"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0.1555</w:t>
            </w:r>
          </w:p>
        </w:tc>
        <w:tc>
          <w:tcPr>
            <w:tcW w:w="960" w:type="dxa"/>
            <w:tcBorders>
              <w:top w:val="nil"/>
              <w:left w:val="nil"/>
              <w:bottom w:val="nil"/>
              <w:right w:val="nil"/>
            </w:tcBorders>
            <w:shd w:val="clear" w:color="auto" w:fill="auto"/>
            <w:noWrap/>
            <w:vAlign w:val="bottom"/>
            <w:hideMark/>
          </w:tcPr>
          <w:p w14:paraId="61D432E8" w14:textId="60123D02"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0.1478</w:t>
            </w:r>
          </w:p>
        </w:tc>
        <w:tc>
          <w:tcPr>
            <w:tcW w:w="960" w:type="dxa"/>
            <w:tcBorders>
              <w:top w:val="nil"/>
              <w:left w:val="nil"/>
              <w:bottom w:val="nil"/>
              <w:right w:val="nil"/>
            </w:tcBorders>
            <w:shd w:val="clear" w:color="auto" w:fill="auto"/>
            <w:noWrap/>
            <w:vAlign w:val="bottom"/>
            <w:hideMark/>
          </w:tcPr>
          <w:p w14:paraId="24B1E0C6" w14:textId="4D9180B2"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0.1420</w:t>
            </w:r>
          </w:p>
        </w:tc>
      </w:tr>
      <w:tr w:rsidR="00215085" w:rsidRPr="00215085" w14:paraId="06E92F93" w14:textId="77777777" w:rsidTr="00215085">
        <w:trPr>
          <w:trHeight w:val="300"/>
        </w:trPr>
        <w:tc>
          <w:tcPr>
            <w:tcW w:w="960" w:type="dxa"/>
            <w:tcBorders>
              <w:top w:val="nil"/>
              <w:left w:val="nil"/>
              <w:bottom w:val="nil"/>
              <w:right w:val="nil"/>
            </w:tcBorders>
          </w:tcPr>
          <w:p w14:paraId="5E93AE7C" w14:textId="5FB36E06" w:rsidR="00215085" w:rsidRDefault="00215085" w:rsidP="00215085">
            <w:pPr>
              <w:spacing w:after="0" w:line="240" w:lineRule="auto"/>
              <w:jc w:val="right"/>
              <w:rPr>
                <w:rFonts w:ascii="Calibri" w:hAnsi="Calibri" w:cs="Calibri"/>
                <w:color w:val="000000"/>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08C8A63F" w14:textId="2C28517D"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0.2257</w:t>
            </w:r>
          </w:p>
        </w:tc>
        <w:tc>
          <w:tcPr>
            <w:tcW w:w="960" w:type="dxa"/>
            <w:tcBorders>
              <w:top w:val="nil"/>
              <w:left w:val="nil"/>
              <w:bottom w:val="nil"/>
              <w:right w:val="nil"/>
            </w:tcBorders>
            <w:shd w:val="clear" w:color="auto" w:fill="auto"/>
            <w:noWrap/>
            <w:vAlign w:val="bottom"/>
            <w:hideMark/>
          </w:tcPr>
          <w:p w14:paraId="149E6EEB" w14:textId="036D0B1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0.1926</w:t>
            </w:r>
          </w:p>
        </w:tc>
        <w:tc>
          <w:tcPr>
            <w:tcW w:w="960" w:type="dxa"/>
            <w:tcBorders>
              <w:top w:val="nil"/>
              <w:left w:val="nil"/>
              <w:bottom w:val="nil"/>
              <w:right w:val="nil"/>
            </w:tcBorders>
            <w:shd w:val="clear" w:color="auto" w:fill="auto"/>
            <w:noWrap/>
            <w:vAlign w:val="bottom"/>
            <w:hideMark/>
          </w:tcPr>
          <w:p w14:paraId="1D11F169" w14:textId="23DE8A1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0.1574</w:t>
            </w:r>
          </w:p>
        </w:tc>
        <w:tc>
          <w:tcPr>
            <w:tcW w:w="960" w:type="dxa"/>
            <w:tcBorders>
              <w:top w:val="nil"/>
              <w:left w:val="nil"/>
              <w:bottom w:val="nil"/>
              <w:right w:val="nil"/>
            </w:tcBorders>
            <w:shd w:val="clear" w:color="auto" w:fill="auto"/>
            <w:noWrap/>
            <w:vAlign w:val="bottom"/>
            <w:hideMark/>
          </w:tcPr>
          <w:p w14:paraId="5466F9EC" w14:textId="32499326"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0.1390</w:t>
            </w:r>
          </w:p>
        </w:tc>
        <w:tc>
          <w:tcPr>
            <w:tcW w:w="960" w:type="dxa"/>
            <w:tcBorders>
              <w:top w:val="nil"/>
              <w:left w:val="nil"/>
              <w:bottom w:val="nil"/>
              <w:right w:val="nil"/>
            </w:tcBorders>
            <w:shd w:val="clear" w:color="auto" w:fill="auto"/>
            <w:noWrap/>
            <w:vAlign w:val="bottom"/>
            <w:hideMark/>
          </w:tcPr>
          <w:p w14:paraId="0D8EB618" w14:textId="2C6D8E8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0.1304</w:t>
            </w:r>
          </w:p>
        </w:tc>
        <w:tc>
          <w:tcPr>
            <w:tcW w:w="960" w:type="dxa"/>
            <w:tcBorders>
              <w:top w:val="nil"/>
              <w:left w:val="nil"/>
              <w:bottom w:val="nil"/>
              <w:right w:val="nil"/>
            </w:tcBorders>
            <w:shd w:val="clear" w:color="auto" w:fill="auto"/>
            <w:noWrap/>
            <w:vAlign w:val="bottom"/>
            <w:hideMark/>
          </w:tcPr>
          <w:p w14:paraId="36EC64A7" w14:textId="6D3D1BF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0.1251</w:t>
            </w:r>
          </w:p>
        </w:tc>
        <w:tc>
          <w:tcPr>
            <w:tcW w:w="960" w:type="dxa"/>
            <w:tcBorders>
              <w:top w:val="nil"/>
              <w:left w:val="nil"/>
              <w:bottom w:val="nil"/>
              <w:right w:val="nil"/>
            </w:tcBorders>
            <w:shd w:val="clear" w:color="auto" w:fill="auto"/>
            <w:noWrap/>
            <w:vAlign w:val="bottom"/>
            <w:hideMark/>
          </w:tcPr>
          <w:p w14:paraId="25DE1B68" w14:textId="78D23AB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0.1087</w:t>
            </w:r>
          </w:p>
        </w:tc>
        <w:tc>
          <w:tcPr>
            <w:tcW w:w="960" w:type="dxa"/>
            <w:tcBorders>
              <w:top w:val="nil"/>
              <w:left w:val="nil"/>
              <w:bottom w:val="nil"/>
              <w:right w:val="nil"/>
            </w:tcBorders>
            <w:shd w:val="clear" w:color="auto" w:fill="auto"/>
            <w:noWrap/>
            <w:vAlign w:val="bottom"/>
            <w:hideMark/>
          </w:tcPr>
          <w:p w14:paraId="54CE3C39" w14:textId="27708D0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0.1099</w:t>
            </w:r>
          </w:p>
        </w:tc>
      </w:tr>
      <w:tr w:rsidR="00215085" w:rsidRPr="00215085" w14:paraId="5BA8C6DA" w14:textId="77777777" w:rsidTr="00215085">
        <w:trPr>
          <w:trHeight w:val="300"/>
        </w:trPr>
        <w:tc>
          <w:tcPr>
            <w:tcW w:w="960" w:type="dxa"/>
            <w:tcBorders>
              <w:top w:val="nil"/>
              <w:left w:val="nil"/>
              <w:right w:val="nil"/>
            </w:tcBorders>
          </w:tcPr>
          <w:p w14:paraId="3CAA9AE0" w14:textId="2992193F" w:rsidR="00215085" w:rsidRDefault="00215085" w:rsidP="00215085">
            <w:pPr>
              <w:spacing w:after="0" w:line="240" w:lineRule="auto"/>
              <w:jc w:val="right"/>
              <w:rPr>
                <w:rFonts w:ascii="Calibri" w:hAnsi="Calibri" w:cs="Calibri"/>
                <w:color w:val="000000"/>
              </w:rPr>
            </w:pPr>
            <w:r>
              <w:rPr>
                <w:rFonts w:ascii="Calibri" w:hAnsi="Calibri" w:cs="Calibri"/>
                <w:color w:val="000000"/>
              </w:rPr>
              <w:t>11</w:t>
            </w:r>
          </w:p>
        </w:tc>
        <w:tc>
          <w:tcPr>
            <w:tcW w:w="960" w:type="dxa"/>
            <w:tcBorders>
              <w:top w:val="nil"/>
              <w:left w:val="nil"/>
              <w:right w:val="nil"/>
            </w:tcBorders>
            <w:shd w:val="clear" w:color="auto" w:fill="auto"/>
            <w:noWrap/>
            <w:vAlign w:val="bottom"/>
            <w:hideMark/>
          </w:tcPr>
          <w:p w14:paraId="3AD2DE37" w14:textId="4E5FD30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0.2103</w:t>
            </w:r>
          </w:p>
        </w:tc>
        <w:tc>
          <w:tcPr>
            <w:tcW w:w="960" w:type="dxa"/>
            <w:tcBorders>
              <w:top w:val="nil"/>
              <w:left w:val="nil"/>
              <w:right w:val="nil"/>
            </w:tcBorders>
            <w:shd w:val="clear" w:color="auto" w:fill="auto"/>
            <w:noWrap/>
            <w:vAlign w:val="bottom"/>
            <w:hideMark/>
          </w:tcPr>
          <w:p w14:paraId="46A3A638" w14:textId="47973C3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0.1617</w:t>
            </w:r>
          </w:p>
        </w:tc>
        <w:tc>
          <w:tcPr>
            <w:tcW w:w="960" w:type="dxa"/>
            <w:tcBorders>
              <w:top w:val="nil"/>
              <w:left w:val="nil"/>
              <w:right w:val="nil"/>
            </w:tcBorders>
            <w:shd w:val="clear" w:color="auto" w:fill="auto"/>
            <w:noWrap/>
            <w:vAlign w:val="bottom"/>
            <w:hideMark/>
          </w:tcPr>
          <w:p w14:paraId="0F2C7BB4" w14:textId="3D2B7AA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0.1417</w:t>
            </w:r>
          </w:p>
        </w:tc>
        <w:tc>
          <w:tcPr>
            <w:tcW w:w="960" w:type="dxa"/>
            <w:tcBorders>
              <w:top w:val="nil"/>
              <w:left w:val="nil"/>
              <w:right w:val="nil"/>
            </w:tcBorders>
            <w:shd w:val="clear" w:color="auto" w:fill="auto"/>
            <w:noWrap/>
            <w:vAlign w:val="bottom"/>
            <w:hideMark/>
          </w:tcPr>
          <w:p w14:paraId="38925533" w14:textId="4EB08F17"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0.1083</w:t>
            </w:r>
          </w:p>
        </w:tc>
        <w:tc>
          <w:tcPr>
            <w:tcW w:w="960" w:type="dxa"/>
            <w:tcBorders>
              <w:top w:val="nil"/>
              <w:left w:val="nil"/>
              <w:right w:val="nil"/>
            </w:tcBorders>
            <w:shd w:val="clear" w:color="auto" w:fill="auto"/>
            <w:noWrap/>
            <w:vAlign w:val="bottom"/>
            <w:hideMark/>
          </w:tcPr>
          <w:p w14:paraId="60DB50D4" w14:textId="2E9AD16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0.1020</w:t>
            </w:r>
          </w:p>
        </w:tc>
        <w:tc>
          <w:tcPr>
            <w:tcW w:w="960" w:type="dxa"/>
            <w:tcBorders>
              <w:top w:val="nil"/>
              <w:left w:val="nil"/>
              <w:right w:val="nil"/>
            </w:tcBorders>
            <w:shd w:val="clear" w:color="auto" w:fill="auto"/>
            <w:noWrap/>
            <w:vAlign w:val="bottom"/>
            <w:hideMark/>
          </w:tcPr>
          <w:p w14:paraId="58B8C3E9" w14:textId="0A30F9D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0.0981</w:t>
            </w:r>
          </w:p>
        </w:tc>
        <w:tc>
          <w:tcPr>
            <w:tcW w:w="960" w:type="dxa"/>
            <w:tcBorders>
              <w:top w:val="nil"/>
              <w:left w:val="nil"/>
              <w:right w:val="nil"/>
            </w:tcBorders>
            <w:shd w:val="clear" w:color="auto" w:fill="auto"/>
            <w:noWrap/>
            <w:vAlign w:val="bottom"/>
            <w:hideMark/>
          </w:tcPr>
          <w:p w14:paraId="434094E4" w14:textId="6A360E4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0.0907</w:t>
            </w:r>
          </w:p>
        </w:tc>
        <w:tc>
          <w:tcPr>
            <w:tcW w:w="960" w:type="dxa"/>
            <w:tcBorders>
              <w:top w:val="nil"/>
              <w:left w:val="nil"/>
              <w:right w:val="nil"/>
            </w:tcBorders>
            <w:shd w:val="clear" w:color="auto" w:fill="auto"/>
            <w:noWrap/>
            <w:vAlign w:val="bottom"/>
            <w:hideMark/>
          </w:tcPr>
          <w:p w14:paraId="1F9CC11A" w14:textId="1B2838A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0.0788</w:t>
            </w:r>
          </w:p>
        </w:tc>
      </w:tr>
      <w:tr w:rsidR="00215085" w:rsidRPr="00215085" w14:paraId="0CC96C75" w14:textId="77777777" w:rsidTr="00215085">
        <w:trPr>
          <w:trHeight w:val="300"/>
        </w:trPr>
        <w:tc>
          <w:tcPr>
            <w:tcW w:w="960" w:type="dxa"/>
            <w:tcBorders>
              <w:top w:val="nil"/>
              <w:left w:val="nil"/>
              <w:bottom w:val="single" w:sz="4" w:space="0" w:color="auto"/>
              <w:right w:val="nil"/>
            </w:tcBorders>
          </w:tcPr>
          <w:p w14:paraId="5C44C3F5" w14:textId="6599A013" w:rsidR="00215085" w:rsidRDefault="00215085" w:rsidP="00215085">
            <w:pPr>
              <w:spacing w:after="0" w:line="240" w:lineRule="auto"/>
              <w:jc w:val="right"/>
              <w:rPr>
                <w:rFonts w:ascii="Calibri" w:hAnsi="Calibri" w:cs="Calibri"/>
                <w:color w:val="000000"/>
              </w:rPr>
            </w:pPr>
            <w:r>
              <w:rPr>
                <w:rFonts w:ascii="Calibri"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14:paraId="74E1932D" w14:textId="7090A95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0.1894</w:t>
            </w:r>
          </w:p>
        </w:tc>
        <w:tc>
          <w:tcPr>
            <w:tcW w:w="960" w:type="dxa"/>
            <w:tcBorders>
              <w:top w:val="nil"/>
              <w:left w:val="nil"/>
              <w:bottom w:val="single" w:sz="4" w:space="0" w:color="auto"/>
              <w:right w:val="nil"/>
            </w:tcBorders>
            <w:shd w:val="clear" w:color="auto" w:fill="auto"/>
            <w:noWrap/>
            <w:vAlign w:val="bottom"/>
            <w:hideMark/>
          </w:tcPr>
          <w:p w14:paraId="0CD81A77" w14:textId="7273AA0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0.1408</w:t>
            </w:r>
          </w:p>
        </w:tc>
        <w:tc>
          <w:tcPr>
            <w:tcW w:w="960" w:type="dxa"/>
            <w:tcBorders>
              <w:top w:val="nil"/>
              <w:left w:val="nil"/>
              <w:bottom w:val="single" w:sz="4" w:space="0" w:color="auto"/>
              <w:right w:val="nil"/>
            </w:tcBorders>
            <w:shd w:val="clear" w:color="auto" w:fill="auto"/>
            <w:noWrap/>
            <w:vAlign w:val="bottom"/>
            <w:hideMark/>
          </w:tcPr>
          <w:p w14:paraId="597BF71C" w14:textId="0137BFD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0.1077</w:t>
            </w:r>
          </w:p>
        </w:tc>
        <w:tc>
          <w:tcPr>
            <w:tcW w:w="960" w:type="dxa"/>
            <w:tcBorders>
              <w:top w:val="nil"/>
              <w:left w:val="nil"/>
              <w:bottom w:val="single" w:sz="4" w:space="0" w:color="auto"/>
              <w:right w:val="nil"/>
            </w:tcBorders>
            <w:shd w:val="clear" w:color="auto" w:fill="auto"/>
            <w:noWrap/>
            <w:vAlign w:val="bottom"/>
            <w:hideMark/>
          </w:tcPr>
          <w:p w14:paraId="03C3C9A3" w14:textId="4E225CEF"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0.1000</w:t>
            </w:r>
          </w:p>
        </w:tc>
        <w:tc>
          <w:tcPr>
            <w:tcW w:w="960" w:type="dxa"/>
            <w:tcBorders>
              <w:top w:val="nil"/>
              <w:left w:val="nil"/>
              <w:bottom w:val="single" w:sz="4" w:space="0" w:color="auto"/>
              <w:right w:val="nil"/>
            </w:tcBorders>
            <w:shd w:val="clear" w:color="auto" w:fill="auto"/>
            <w:noWrap/>
            <w:vAlign w:val="bottom"/>
            <w:hideMark/>
          </w:tcPr>
          <w:p w14:paraId="091B2B3D" w14:textId="0F6C4FA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0.0863</w:t>
            </w:r>
          </w:p>
        </w:tc>
        <w:tc>
          <w:tcPr>
            <w:tcW w:w="960" w:type="dxa"/>
            <w:tcBorders>
              <w:top w:val="nil"/>
              <w:left w:val="nil"/>
              <w:bottom w:val="single" w:sz="4" w:space="0" w:color="auto"/>
              <w:right w:val="nil"/>
            </w:tcBorders>
            <w:shd w:val="clear" w:color="auto" w:fill="auto"/>
            <w:noWrap/>
            <w:vAlign w:val="bottom"/>
            <w:hideMark/>
          </w:tcPr>
          <w:p w14:paraId="72567F66" w14:textId="0455733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0.0734</w:t>
            </w:r>
          </w:p>
        </w:tc>
        <w:tc>
          <w:tcPr>
            <w:tcW w:w="960" w:type="dxa"/>
            <w:tcBorders>
              <w:top w:val="nil"/>
              <w:left w:val="nil"/>
              <w:bottom w:val="single" w:sz="4" w:space="0" w:color="auto"/>
              <w:right w:val="nil"/>
            </w:tcBorders>
            <w:shd w:val="clear" w:color="auto" w:fill="auto"/>
            <w:noWrap/>
            <w:vAlign w:val="bottom"/>
            <w:hideMark/>
          </w:tcPr>
          <w:p w14:paraId="7B626DC1" w14:textId="35393CE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0.0715</w:t>
            </w:r>
          </w:p>
        </w:tc>
        <w:tc>
          <w:tcPr>
            <w:tcW w:w="960" w:type="dxa"/>
            <w:tcBorders>
              <w:top w:val="nil"/>
              <w:left w:val="nil"/>
              <w:bottom w:val="single" w:sz="4" w:space="0" w:color="auto"/>
              <w:right w:val="nil"/>
            </w:tcBorders>
            <w:shd w:val="clear" w:color="auto" w:fill="auto"/>
            <w:noWrap/>
            <w:vAlign w:val="bottom"/>
            <w:hideMark/>
          </w:tcPr>
          <w:p w14:paraId="0A196F24" w14:textId="32E4130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0.0626</w:t>
            </w:r>
          </w:p>
        </w:tc>
      </w:tr>
    </w:tbl>
    <w:p w14:paraId="7D510DD0" w14:textId="7F3B195F" w:rsidR="004B79E9" w:rsidRDefault="004B79E9" w:rsidP="00163025"/>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215085" w:rsidRPr="00215085" w14:paraId="6BE94A9F" w14:textId="77777777" w:rsidTr="00EB23CA">
        <w:trPr>
          <w:trHeight w:val="300"/>
        </w:trPr>
        <w:tc>
          <w:tcPr>
            <w:tcW w:w="8640" w:type="dxa"/>
            <w:gridSpan w:val="9"/>
            <w:tcBorders>
              <w:left w:val="nil"/>
              <w:bottom w:val="single" w:sz="4" w:space="0" w:color="auto"/>
              <w:right w:val="nil"/>
            </w:tcBorders>
          </w:tcPr>
          <w:p w14:paraId="2BFEE022" w14:textId="77777777" w:rsidR="00215085" w:rsidRDefault="00215085" w:rsidP="00EB23CA">
            <w:pPr>
              <w:spacing w:after="0" w:line="240" w:lineRule="auto"/>
              <w:jc w:val="center"/>
              <w:rPr>
                <w:rFonts w:ascii="Calibri" w:hAnsi="Calibri" w:cs="Calibri"/>
                <w:color w:val="000000"/>
              </w:rPr>
            </w:pPr>
            <w:r>
              <w:t>Table 2. Simulation results for two-sided test</w:t>
            </w:r>
          </w:p>
        </w:tc>
      </w:tr>
      <w:tr w:rsidR="00215085" w:rsidRPr="00215085" w14:paraId="773C5A05" w14:textId="77777777" w:rsidTr="00215085">
        <w:trPr>
          <w:trHeight w:val="300"/>
        </w:trPr>
        <w:tc>
          <w:tcPr>
            <w:tcW w:w="960" w:type="dxa"/>
            <w:tcBorders>
              <w:top w:val="single" w:sz="4" w:space="0" w:color="auto"/>
              <w:left w:val="nil"/>
              <w:bottom w:val="nil"/>
              <w:right w:val="nil"/>
            </w:tcBorders>
          </w:tcPr>
          <w:p w14:paraId="6FE0A088" w14:textId="77777777" w:rsidR="00215085" w:rsidRDefault="00215085" w:rsidP="00EB23CA">
            <w:pPr>
              <w:spacing w:after="0" w:line="240" w:lineRule="auto"/>
              <w:jc w:val="right"/>
              <w:rPr>
                <w:rFonts w:ascii="Calibri" w:hAnsi="Calibri" w:cs="Calibri"/>
                <w:color w:val="000000"/>
              </w:rPr>
            </w:pPr>
          </w:p>
        </w:tc>
        <w:tc>
          <w:tcPr>
            <w:tcW w:w="7680" w:type="dxa"/>
            <w:gridSpan w:val="8"/>
            <w:tcBorders>
              <w:top w:val="single" w:sz="4" w:space="0" w:color="auto"/>
              <w:left w:val="nil"/>
              <w:bottom w:val="single" w:sz="4" w:space="0" w:color="auto"/>
              <w:right w:val="nil"/>
            </w:tcBorders>
            <w:shd w:val="clear" w:color="auto" w:fill="auto"/>
            <w:noWrap/>
            <w:vAlign w:val="bottom"/>
          </w:tcPr>
          <w:p w14:paraId="177B7B78" w14:textId="77777777" w:rsidR="00215085" w:rsidRDefault="00215085" w:rsidP="00EB23CA">
            <w:pPr>
              <w:spacing w:after="0" w:line="240" w:lineRule="auto"/>
              <w:jc w:val="center"/>
              <w:rPr>
                <w:rFonts w:ascii="Calibri" w:hAnsi="Calibri" w:cs="Calibri"/>
                <w:color w:val="000000"/>
              </w:rPr>
            </w:pPr>
            <w:r>
              <w:rPr>
                <w:rFonts w:ascii="Calibri" w:hAnsi="Calibri" w:cs="Calibri"/>
                <w:color w:val="000000"/>
              </w:rPr>
              <w:t>Experimental</w:t>
            </w:r>
          </w:p>
        </w:tc>
      </w:tr>
      <w:tr w:rsidR="00215085" w:rsidRPr="00215085" w14:paraId="786E762B" w14:textId="77777777" w:rsidTr="00215085">
        <w:trPr>
          <w:trHeight w:val="300"/>
        </w:trPr>
        <w:tc>
          <w:tcPr>
            <w:tcW w:w="960" w:type="dxa"/>
            <w:tcBorders>
              <w:left w:val="nil"/>
              <w:bottom w:val="single" w:sz="4" w:space="0" w:color="auto"/>
              <w:right w:val="nil"/>
            </w:tcBorders>
          </w:tcPr>
          <w:p w14:paraId="61567131" w14:textId="77777777" w:rsidR="00215085" w:rsidRDefault="00215085" w:rsidP="00EB23CA">
            <w:pPr>
              <w:spacing w:after="0" w:line="240" w:lineRule="auto"/>
              <w:jc w:val="center"/>
              <w:rPr>
                <w:rFonts w:ascii="Calibri" w:hAnsi="Calibri" w:cs="Calibri"/>
                <w:color w:val="000000"/>
              </w:rPr>
            </w:pPr>
            <w:r>
              <w:rPr>
                <w:rFonts w:ascii="Calibri" w:hAnsi="Calibri" w:cs="Calibri"/>
                <w:color w:val="000000"/>
              </w:rPr>
              <w:t>Control</w:t>
            </w:r>
          </w:p>
        </w:tc>
        <w:tc>
          <w:tcPr>
            <w:tcW w:w="960" w:type="dxa"/>
            <w:tcBorders>
              <w:top w:val="single" w:sz="4" w:space="0" w:color="auto"/>
              <w:left w:val="nil"/>
              <w:bottom w:val="single" w:sz="4" w:space="0" w:color="auto"/>
              <w:right w:val="nil"/>
            </w:tcBorders>
            <w:shd w:val="clear" w:color="auto" w:fill="auto"/>
            <w:noWrap/>
            <w:vAlign w:val="bottom"/>
          </w:tcPr>
          <w:p w14:paraId="4C415CE9"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5</w:t>
            </w:r>
          </w:p>
        </w:tc>
        <w:tc>
          <w:tcPr>
            <w:tcW w:w="960" w:type="dxa"/>
            <w:tcBorders>
              <w:top w:val="single" w:sz="4" w:space="0" w:color="auto"/>
              <w:left w:val="nil"/>
              <w:bottom w:val="single" w:sz="4" w:space="0" w:color="auto"/>
              <w:right w:val="nil"/>
            </w:tcBorders>
            <w:shd w:val="clear" w:color="auto" w:fill="auto"/>
            <w:noWrap/>
            <w:vAlign w:val="bottom"/>
          </w:tcPr>
          <w:p w14:paraId="02963702"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6</w:t>
            </w:r>
          </w:p>
        </w:tc>
        <w:tc>
          <w:tcPr>
            <w:tcW w:w="960" w:type="dxa"/>
            <w:tcBorders>
              <w:top w:val="single" w:sz="4" w:space="0" w:color="auto"/>
              <w:left w:val="nil"/>
              <w:bottom w:val="single" w:sz="4" w:space="0" w:color="auto"/>
              <w:right w:val="nil"/>
            </w:tcBorders>
            <w:shd w:val="clear" w:color="auto" w:fill="auto"/>
            <w:noWrap/>
            <w:vAlign w:val="bottom"/>
          </w:tcPr>
          <w:p w14:paraId="57C8EB77"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7</w:t>
            </w:r>
          </w:p>
        </w:tc>
        <w:tc>
          <w:tcPr>
            <w:tcW w:w="960" w:type="dxa"/>
            <w:tcBorders>
              <w:top w:val="single" w:sz="4" w:space="0" w:color="auto"/>
              <w:left w:val="nil"/>
              <w:bottom w:val="single" w:sz="4" w:space="0" w:color="auto"/>
              <w:right w:val="nil"/>
            </w:tcBorders>
            <w:shd w:val="clear" w:color="auto" w:fill="auto"/>
            <w:noWrap/>
            <w:vAlign w:val="bottom"/>
          </w:tcPr>
          <w:p w14:paraId="51FE26B9"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8</w:t>
            </w:r>
          </w:p>
        </w:tc>
        <w:tc>
          <w:tcPr>
            <w:tcW w:w="960" w:type="dxa"/>
            <w:tcBorders>
              <w:top w:val="single" w:sz="4" w:space="0" w:color="auto"/>
              <w:left w:val="nil"/>
              <w:bottom w:val="single" w:sz="4" w:space="0" w:color="auto"/>
              <w:right w:val="nil"/>
            </w:tcBorders>
            <w:shd w:val="clear" w:color="auto" w:fill="auto"/>
            <w:noWrap/>
            <w:vAlign w:val="bottom"/>
          </w:tcPr>
          <w:p w14:paraId="1E2066AB"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9</w:t>
            </w:r>
          </w:p>
        </w:tc>
        <w:tc>
          <w:tcPr>
            <w:tcW w:w="960" w:type="dxa"/>
            <w:tcBorders>
              <w:top w:val="single" w:sz="4" w:space="0" w:color="auto"/>
              <w:left w:val="nil"/>
              <w:bottom w:val="single" w:sz="4" w:space="0" w:color="auto"/>
              <w:right w:val="nil"/>
            </w:tcBorders>
            <w:shd w:val="clear" w:color="auto" w:fill="auto"/>
            <w:noWrap/>
            <w:vAlign w:val="bottom"/>
          </w:tcPr>
          <w:p w14:paraId="5C0F7155"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10</w:t>
            </w:r>
          </w:p>
        </w:tc>
        <w:tc>
          <w:tcPr>
            <w:tcW w:w="960" w:type="dxa"/>
            <w:tcBorders>
              <w:top w:val="single" w:sz="4" w:space="0" w:color="auto"/>
              <w:left w:val="nil"/>
              <w:bottom w:val="single" w:sz="4" w:space="0" w:color="auto"/>
              <w:right w:val="nil"/>
            </w:tcBorders>
            <w:shd w:val="clear" w:color="auto" w:fill="auto"/>
            <w:noWrap/>
            <w:vAlign w:val="bottom"/>
          </w:tcPr>
          <w:p w14:paraId="577BA118"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11</w:t>
            </w:r>
          </w:p>
        </w:tc>
        <w:tc>
          <w:tcPr>
            <w:tcW w:w="960" w:type="dxa"/>
            <w:tcBorders>
              <w:top w:val="single" w:sz="4" w:space="0" w:color="auto"/>
              <w:left w:val="nil"/>
              <w:bottom w:val="single" w:sz="4" w:space="0" w:color="auto"/>
              <w:right w:val="nil"/>
            </w:tcBorders>
            <w:shd w:val="clear" w:color="auto" w:fill="auto"/>
            <w:noWrap/>
            <w:vAlign w:val="bottom"/>
          </w:tcPr>
          <w:p w14:paraId="3CE0000B" w14:textId="77777777" w:rsidR="00215085" w:rsidRDefault="00215085" w:rsidP="00EB23CA">
            <w:pPr>
              <w:spacing w:after="0" w:line="240" w:lineRule="auto"/>
              <w:jc w:val="right"/>
              <w:rPr>
                <w:rFonts w:ascii="Calibri" w:hAnsi="Calibri" w:cs="Calibri"/>
                <w:color w:val="000000"/>
              </w:rPr>
            </w:pPr>
            <w:r>
              <w:rPr>
                <w:rFonts w:ascii="Calibri" w:hAnsi="Calibri" w:cs="Calibri"/>
                <w:color w:val="000000"/>
              </w:rPr>
              <w:t>12</w:t>
            </w:r>
          </w:p>
        </w:tc>
      </w:tr>
      <w:tr w:rsidR="00215085" w:rsidRPr="00215085" w14:paraId="6B1F7639" w14:textId="77777777" w:rsidTr="00215085">
        <w:trPr>
          <w:trHeight w:val="300"/>
        </w:trPr>
        <w:tc>
          <w:tcPr>
            <w:tcW w:w="960" w:type="dxa"/>
            <w:tcBorders>
              <w:top w:val="single" w:sz="4" w:space="0" w:color="auto"/>
              <w:left w:val="nil"/>
              <w:bottom w:val="nil"/>
              <w:right w:val="nil"/>
            </w:tcBorders>
          </w:tcPr>
          <w:p w14:paraId="40B83719"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5</w:t>
            </w:r>
          </w:p>
        </w:tc>
        <w:tc>
          <w:tcPr>
            <w:tcW w:w="960" w:type="dxa"/>
            <w:tcBorders>
              <w:top w:val="single" w:sz="4" w:space="0" w:color="auto"/>
              <w:left w:val="nil"/>
              <w:bottom w:val="nil"/>
              <w:right w:val="nil"/>
            </w:tcBorders>
            <w:shd w:val="clear" w:color="auto" w:fill="auto"/>
            <w:noWrap/>
            <w:vAlign w:val="bottom"/>
            <w:hideMark/>
          </w:tcPr>
          <w:p w14:paraId="76268E13" w14:textId="7031C0B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0.0062</w:t>
            </w:r>
          </w:p>
        </w:tc>
        <w:tc>
          <w:tcPr>
            <w:tcW w:w="960" w:type="dxa"/>
            <w:tcBorders>
              <w:top w:val="single" w:sz="4" w:space="0" w:color="auto"/>
              <w:left w:val="nil"/>
              <w:bottom w:val="nil"/>
              <w:right w:val="nil"/>
            </w:tcBorders>
            <w:shd w:val="clear" w:color="auto" w:fill="auto"/>
            <w:noWrap/>
            <w:vAlign w:val="bottom"/>
            <w:hideMark/>
          </w:tcPr>
          <w:p w14:paraId="4025607E" w14:textId="18B725A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0.0095</w:t>
            </w:r>
          </w:p>
        </w:tc>
        <w:tc>
          <w:tcPr>
            <w:tcW w:w="960" w:type="dxa"/>
            <w:tcBorders>
              <w:top w:val="single" w:sz="4" w:space="0" w:color="auto"/>
              <w:left w:val="nil"/>
              <w:bottom w:val="nil"/>
              <w:right w:val="nil"/>
            </w:tcBorders>
            <w:shd w:val="clear" w:color="auto" w:fill="auto"/>
            <w:noWrap/>
            <w:vAlign w:val="bottom"/>
            <w:hideMark/>
          </w:tcPr>
          <w:p w14:paraId="74F3A9B2" w14:textId="60E0DA5D"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0.0060</w:t>
            </w:r>
          </w:p>
        </w:tc>
        <w:tc>
          <w:tcPr>
            <w:tcW w:w="960" w:type="dxa"/>
            <w:tcBorders>
              <w:top w:val="single" w:sz="4" w:space="0" w:color="auto"/>
              <w:left w:val="nil"/>
              <w:bottom w:val="nil"/>
              <w:right w:val="nil"/>
            </w:tcBorders>
            <w:shd w:val="clear" w:color="auto" w:fill="auto"/>
            <w:noWrap/>
            <w:vAlign w:val="bottom"/>
            <w:hideMark/>
          </w:tcPr>
          <w:p w14:paraId="42C20F65" w14:textId="2A5A5F7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0.0037</w:t>
            </w:r>
          </w:p>
        </w:tc>
        <w:tc>
          <w:tcPr>
            <w:tcW w:w="960" w:type="dxa"/>
            <w:tcBorders>
              <w:top w:val="single" w:sz="4" w:space="0" w:color="auto"/>
              <w:left w:val="nil"/>
              <w:bottom w:val="nil"/>
              <w:right w:val="nil"/>
            </w:tcBorders>
            <w:shd w:val="clear" w:color="auto" w:fill="auto"/>
            <w:noWrap/>
            <w:vAlign w:val="bottom"/>
            <w:hideMark/>
          </w:tcPr>
          <w:p w14:paraId="29D567BD" w14:textId="3333F2C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0.0144</w:t>
            </w:r>
          </w:p>
        </w:tc>
        <w:tc>
          <w:tcPr>
            <w:tcW w:w="960" w:type="dxa"/>
            <w:tcBorders>
              <w:top w:val="single" w:sz="4" w:space="0" w:color="auto"/>
              <w:left w:val="nil"/>
              <w:bottom w:val="nil"/>
              <w:right w:val="nil"/>
            </w:tcBorders>
            <w:shd w:val="clear" w:color="auto" w:fill="auto"/>
            <w:noWrap/>
            <w:vAlign w:val="bottom"/>
            <w:hideMark/>
          </w:tcPr>
          <w:p w14:paraId="7AF99386" w14:textId="04695E3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0.0167</w:t>
            </w:r>
          </w:p>
        </w:tc>
        <w:tc>
          <w:tcPr>
            <w:tcW w:w="960" w:type="dxa"/>
            <w:tcBorders>
              <w:top w:val="single" w:sz="4" w:space="0" w:color="auto"/>
              <w:left w:val="nil"/>
              <w:bottom w:val="nil"/>
              <w:right w:val="nil"/>
            </w:tcBorders>
            <w:shd w:val="clear" w:color="auto" w:fill="auto"/>
            <w:noWrap/>
            <w:vAlign w:val="bottom"/>
            <w:hideMark/>
          </w:tcPr>
          <w:p w14:paraId="539D8206" w14:textId="4BD21D1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0.0060</w:t>
            </w:r>
          </w:p>
        </w:tc>
        <w:tc>
          <w:tcPr>
            <w:tcW w:w="960" w:type="dxa"/>
            <w:tcBorders>
              <w:top w:val="single" w:sz="4" w:space="0" w:color="auto"/>
              <w:left w:val="nil"/>
              <w:bottom w:val="nil"/>
              <w:right w:val="nil"/>
            </w:tcBorders>
            <w:shd w:val="clear" w:color="auto" w:fill="auto"/>
            <w:noWrap/>
            <w:vAlign w:val="bottom"/>
            <w:hideMark/>
          </w:tcPr>
          <w:p w14:paraId="5C92143E" w14:textId="3D55203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0.0061</w:t>
            </w:r>
          </w:p>
        </w:tc>
      </w:tr>
      <w:tr w:rsidR="00215085" w:rsidRPr="00215085" w14:paraId="2EA9FE7E" w14:textId="77777777" w:rsidTr="00EB23CA">
        <w:trPr>
          <w:trHeight w:val="300"/>
        </w:trPr>
        <w:tc>
          <w:tcPr>
            <w:tcW w:w="960" w:type="dxa"/>
            <w:tcBorders>
              <w:top w:val="nil"/>
              <w:left w:val="nil"/>
              <w:bottom w:val="nil"/>
              <w:right w:val="nil"/>
            </w:tcBorders>
          </w:tcPr>
          <w:p w14:paraId="31075188"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6</w:t>
            </w:r>
          </w:p>
        </w:tc>
        <w:tc>
          <w:tcPr>
            <w:tcW w:w="960" w:type="dxa"/>
            <w:tcBorders>
              <w:top w:val="nil"/>
              <w:left w:val="nil"/>
              <w:bottom w:val="nil"/>
              <w:right w:val="nil"/>
            </w:tcBorders>
            <w:shd w:val="clear" w:color="auto" w:fill="auto"/>
            <w:noWrap/>
            <w:vAlign w:val="bottom"/>
            <w:hideMark/>
          </w:tcPr>
          <w:p w14:paraId="00CFACBF" w14:textId="76D4E10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-0.0248</w:t>
            </w:r>
          </w:p>
        </w:tc>
        <w:tc>
          <w:tcPr>
            <w:tcW w:w="960" w:type="dxa"/>
            <w:tcBorders>
              <w:top w:val="nil"/>
              <w:left w:val="nil"/>
              <w:bottom w:val="nil"/>
              <w:right w:val="nil"/>
            </w:tcBorders>
            <w:shd w:val="clear" w:color="auto" w:fill="auto"/>
            <w:noWrap/>
            <w:vAlign w:val="bottom"/>
            <w:hideMark/>
          </w:tcPr>
          <w:p w14:paraId="3A22C2CD" w14:textId="3986FB25"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-0.0252</w:t>
            </w:r>
          </w:p>
        </w:tc>
        <w:tc>
          <w:tcPr>
            <w:tcW w:w="960" w:type="dxa"/>
            <w:tcBorders>
              <w:top w:val="nil"/>
              <w:left w:val="nil"/>
              <w:bottom w:val="nil"/>
              <w:right w:val="nil"/>
            </w:tcBorders>
            <w:shd w:val="clear" w:color="auto" w:fill="auto"/>
            <w:noWrap/>
            <w:vAlign w:val="bottom"/>
            <w:hideMark/>
          </w:tcPr>
          <w:p w14:paraId="6297FAC7" w14:textId="44C06C4D"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-0.0260</w:t>
            </w:r>
          </w:p>
        </w:tc>
        <w:tc>
          <w:tcPr>
            <w:tcW w:w="960" w:type="dxa"/>
            <w:tcBorders>
              <w:top w:val="nil"/>
              <w:left w:val="nil"/>
              <w:bottom w:val="nil"/>
              <w:right w:val="nil"/>
            </w:tcBorders>
            <w:shd w:val="clear" w:color="auto" w:fill="auto"/>
            <w:noWrap/>
            <w:vAlign w:val="bottom"/>
            <w:hideMark/>
          </w:tcPr>
          <w:p w14:paraId="7B7C9475" w14:textId="2F34AFA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-0.0269</w:t>
            </w:r>
          </w:p>
        </w:tc>
        <w:tc>
          <w:tcPr>
            <w:tcW w:w="960" w:type="dxa"/>
            <w:tcBorders>
              <w:top w:val="nil"/>
              <w:left w:val="nil"/>
              <w:bottom w:val="nil"/>
              <w:right w:val="nil"/>
            </w:tcBorders>
            <w:shd w:val="clear" w:color="auto" w:fill="auto"/>
            <w:noWrap/>
            <w:vAlign w:val="bottom"/>
            <w:hideMark/>
          </w:tcPr>
          <w:p w14:paraId="7558497B" w14:textId="7424928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-0.0308</w:t>
            </w:r>
          </w:p>
        </w:tc>
        <w:tc>
          <w:tcPr>
            <w:tcW w:w="960" w:type="dxa"/>
            <w:tcBorders>
              <w:top w:val="nil"/>
              <w:left w:val="nil"/>
              <w:bottom w:val="nil"/>
              <w:right w:val="nil"/>
            </w:tcBorders>
            <w:shd w:val="clear" w:color="auto" w:fill="auto"/>
            <w:noWrap/>
            <w:vAlign w:val="bottom"/>
            <w:hideMark/>
          </w:tcPr>
          <w:p w14:paraId="5707F2FC" w14:textId="069E8EB4"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-0.0306</w:t>
            </w:r>
          </w:p>
        </w:tc>
        <w:tc>
          <w:tcPr>
            <w:tcW w:w="960" w:type="dxa"/>
            <w:tcBorders>
              <w:top w:val="nil"/>
              <w:left w:val="nil"/>
              <w:bottom w:val="nil"/>
              <w:right w:val="nil"/>
            </w:tcBorders>
            <w:shd w:val="clear" w:color="auto" w:fill="auto"/>
            <w:noWrap/>
            <w:vAlign w:val="bottom"/>
            <w:hideMark/>
          </w:tcPr>
          <w:p w14:paraId="67019EC3" w14:textId="1198179F"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-0.0298</w:t>
            </w:r>
          </w:p>
        </w:tc>
        <w:tc>
          <w:tcPr>
            <w:tcW w:w="960" w:type="dxa"/>
            <w:tcBorders>
              <w:top w:val="nil"/>
              <w:left w:val="nil"/>
              <w:bottom w:val="nil"/>
              <w:right w:val="nil"/>
            </w:tcBorders>
            <w:shd w:val="clear" w:color="auto" w:fill="auto"/>
            <w:noWrap/>
            <w:vAlign w:val="bottom"/>
            <w:hideMark/>
          </w:tcPr>
          <w:p w14:paraId="44348A49" w14:textId="287ED0A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-0.0368</w:t>
            </w:r>
          </w:p>
        </w:tc>
      </w:tr>
      <w:tr w:rsidR="00215085" w:rsidRPr="00215085" w14:paraId="74DD9400" w14:textId="77777777" w:rsidTr="00EB23CA">
        <w:trPr>
          <w:trHeight w:val="300"/>
        </w:trPr>
        <w:tc>
          <w:tcPr>
            <w:tcW w:w="960" w:type="dxa"/>
            <w:tcBorders>
              <w:top w:val="nil"/>
              <w:left w:val="nil"/>
              <w:bottom w:val="nil"/>
              <w:right w:val="nil"/>
            </w:tcBorders>
          </w:tcPr>
          <w:p w14:paraId="4A94F7CC"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7</w:t>
            </w:r>
          </w:p>
        </w:tc>
        <w:tc>
          <w:tcPr>
            <w:tcW w:w="960" w:type="dxa"/>
            <w:tcBorders>
              <w:top w:val="nil"/>
              <w:left w:val="nil"/>
              <w:bottom w:val="nil"/>
              <w:right w:val="nil"/>
            </w:tcBorders>
            <w:shd w:val="clear" w:color="auto" w:fill="auto"/>
            <w:noWrap/>
            <w:vAlign w:val="bottom"/>
            <w:hideMark/>
          </w:tcPr>
          <w:p w14:paraId="4FF326A6" w14:textId="4415CFA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-0.0338</w:t>
            </w:r>
          </w:p>
        </w:tc>
        <w:tc>
          <w:tcPr>
            <w:tcW w:w="960" w:type="dxa"/>
            <w:tcBorders>
              <w:top w:val="nil"/>
              <w:left w:val="nil"/>
              <w:bottom w:val="nil"/>
              <w:right w:val="nil"/>
            </w:tcBorders>
            <w:shd w:val="clear" w:color="auto" w:fill="auto"/>
            <w:noWrap/>
            <w:vAlign w:val="bottom"/>
            <w:hideMark/>
          </w:tcPr>
          <w:p w14:paraId="3E1E8A78" w14:textId="1FC32FEF"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-0.0366</w:t>
            </w:r>
          </w:p>
        </w:tc>
        <w:tc>
          <w:tcPr>
            <w:tcW w:w="960" w:type="dxa"/>
            <w:tcBorders>
              <w:top w:val="nil"/>
              <w:left w:val="nil"/>
              <w:bottom w:val="nil"/>
              <w:right w:val="nil"/>
            </w:tcBorders>
            <w:shd w:val="clear" w:color="auto" w:fill="auto"/>
            <w:noWrap/>
            <w:vAlign w:val="bottom"/>
            <w:hideMark/>
          </w:tcPr>
          <w:p w14:paraId="34B2E11B" w14:textId="49FB59E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-0.0289</w:t>
            </w:r>
          </w:p>
        </w:tc>
        <w:tc>
          <w:tcPr>
            <w:tcW w:w="960" w:type="dxa"/>
            <w:tcBorders>
              <w:top w:val="nil"/>
              <w:left w:val="nil"/>
              <w:bottom w:val="nil"/>
              <w:right w:val="nil"/>
            </w:tcBorders>
            <w:shd w:val="clear" w:color="auto" w:fill="auto"/>
            <w:noWrap/>
            <w:vAlign w:val="bottom"/>
            <w:hideMark/>
          </w:tcPr>
          <w:p w14:paraId="4D729589" w14:textId="70C1830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-0.0258</w:t>
            </w:r>
          </w:p>
        </w:tc>
        <w:tc>
          <w:tcPr>
            <w:tcW w:w="960" w:type="dxa"/>
            <w:tcBorders>
              <w:top w:val="nil"/>
              <w:left w:val="nil"/>
              <w:bottom w:val="nil"/>
              <w:right w:val="nil"/>
            </w:tcBorders>
            <w:shd w:val="clear" w:color="auto" w:fill="auto"/>
            <w:noWrap/>
            <w:vAlign w:val="bottom"/>
            <w:hideMark/>
          </w:tcPr>
          <w:p w14:paraId="3FDF829C" w14:textId="2D080AC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-0.0410</w:t>
            </w:r>
          </w:p>
        </w:tc>
        <w:tc>
          <w:tcPr>
            <w:tcW w:w="960" w:type="dxa"/>
            <w:tcBorders>
              <w:top w:val="nil"/>
              <w:left w:val="nil"/>
              <w:bottom w:val="nil"/>
              <w:right w:val="nil"/>
            </w:tcBorders>
            <w:shd w:val="clear" w:color="auto" w:fill="auto"/>
            <w:noWrap/>
            <w:vAlign w:val="bottom"/>
            <w:hideMark/>
          </w:tcPr>
          <w:p w14:paraId="7CA26C57" w14:textId="11AC4A6E"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-0.0288</w:t>
            </w:r>
          </w:p>
        </w:tc>
        <w:tc>
          <w:tcPr>
            <w:tcW w:w="960" w:type="dxa"/>
            <w:tcBorders>
              <w:top w:val="nil"/>
              <w:left w:val="nil"/>
              <w:bottom w:val="nil"/>
              <w:right w:val="nil"/>
            </w:tcBorders>
            <w:shd w:val="clear" w:color="auto" w:fill="auto"/>
            <w:noWrap/>
            <w:vAlign w:val="bottom"/>
            <w:hideMark/>
          </w:tcPr>
          <w:p w14:paraId="7E23455B" w14:textId="12E1A42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-0.0338</w:t>
            </w:r>
          </w:p>
        </w:tc>
        <w:tc>
          <w:tcPr>
            <w:tcW w:w="960" w:type="dxa"/>
            <w:tcBorders>
              <w:top w:val="nil"/>
              <w:left w:val="nil"/>
              <w:bottom w:val="nil"/>
              <w:right w:val="nil"/>
            </w:tcBorders>
            <w:shd w:val="clear" w:color="auto" w:fill="auto"/>
            <w:noWrap/>
            <w:vAlign w:val="bottom"/>
            <w:hideMark/>
          </w:tcPr>
          <w:p w14:paraId="2A28A8B9" w14:textId="5600E7D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-0.0479</w:t>
            </w:r>
          </w:p>
        </w:tc>
      </w:tr>
      <w:tr w:rsidR="00215085" w:rsidRPr="00215085" w14:paraId="2F09451B" w14:textId="77777777" w:rsidTr="00EB23CA">
        <w:trPr>
          <w:trHeight w:val="300"/>
        </w:trPr>
        <w:tc>
          <w:tcPr>
            <w:tcW w:w="960" w:type="dxa"/>
            <w:tcBorders>
              <w:top w:val="nil"/>
              <w:left w:val="nil"/>
              <w:bottom w:val="nil"/>
              <w:right w:val="nil"/>
            </w:tcBorders>
          </w:tcPr>
          <w:p w14:paraId="7383B92F"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8</w:t>
            </w:r>
          </w:p>
        </w:tc>
        <w:tc>
          <w:tcPr>
            <w:tcW w:w="960" w:type="dxa"/>
            <w:tcBorders>
              <w:top w:val="nil"/>
              <w:left w:val="nil"/>
              <w:bottom w:val="nil"/>
              <w:right w:val="nil"/>
            </w:tcBorders>
            <w:shd w:val="clear" w:color="auto" w:fill="auto"/>
            <w:noWrap/>
            <w:vAlign w:val="bottom"/>
            <w:hideMark/>
          </w:tcPr>
          <w:p w14:paraId="1F644393" w14:textId="4E49C23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-0.0234</w:t>
            </w:r>
          </w:p>
        </w:tc>
        <w:tc>
          <w:tcPr>
            <w:tcW w:w="960" w:type="dxa"/>
            <w:tcBorders>
              <w:top w:val="nil"/>
              <w:left w:val="nil"/>
              <w:bottom w:val="nil"/>
              <w:right w:val="nil"/>
            </w:tcBorders>
            <w:shd w:val="clear" w:color="auto" w:fill="auto"/>
            <w:noWrap/>
            <w:vAlign w:val="bottom"/>
            <w:hideMark/>
          </w:tcPr>
          <w:p w14:paraId="64812FD9" w14:textId="4A975EE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-0.0356</w:t>
            </w:r>
          </w:p>
        </w:tc>
        <w:tc>
          <w:tcPr>
            <w:tcW w:w="960" w:type="dxa"/>
            <w:tcBorders>
              <w:top w:val="nil"/>
              <w:left w:val="nil"/>
              <w:bottom w:val="nil"/>
              <w:right w:val="nil"/>
            </w:tcBorders>
            <w:shd w:val="clear" w:color="auto" w:fill="auto"/>
            <w:noWrap/>
            <w:vAlign w:val="bottom"/>
            <w:hideMark/>
          </w:tcPr>
          <w:p w14:paraId="4B1582AE" w14:textId="502452E5"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-0.0301</w:t>
            </w:r>
          </w:p>
        </w:tc>
        <w:tc>
          <w:tcPr>
            <w:tcW w:w="960" w:type="dxa"/>
            <w:tcBorders>
              <w:top w:val="nil"/>
              <w:left w:val="nil"/>
              <w:bottom w:val="nil"/>
              <w:right w:val="nil"/>
            </w:tcBorders>
            <w:shd w:val="clear" w:color="auto" w:fill="auto"/>
            <w:noWrap/>
            <w:vAlign w:val="bottom"/>
            <w:hideMark/>
          </w:tcPr>
          <w:p w14:paraId="134327CD" w14:textId="694D26C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-0.0388</w:t>
            </w:r>
          </w:p>
        </w:tc>
        <w:tc>
          <w:tcPr>
            <w:tcW w:w="960" w:type="dxa"/>
            <w:tcBorders>
              <w:top w:val="nil"/>
              <w:left w:val="nil"/>
              <w:bottom w:val="nil"/>
              <w:right w:val="nil"/>
            </w:tcBorders>
            <w:shd w:val="clear" w:color="auto" w:fill="auto"/>
            <w:noWrap/>
            <w:vAlign w:val="bottom"/>
            <w:hideMark/>
          </w:tcPr>
          <w:p w14:paraId="125AAE1B" w14:textId="6AE6D50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-0.0428</w:t>
            </w:r>
          </w:p>
        </w:tc>
        <w:tc>
          <w:tcPr>
            <w:tcW w:w="960" w:type="dxa"/>
            <w:tcBorders>
              <w:top w:val="nil"/>
              <w:left w:val="nil"/>
              <w:bottom w:val="nil"/>
              <w:right w:val="nil"/>
            </w:tcBorders>
            <w:shd w:val="clear" w:color="auto" w:fill="auto"/>
            <w:noWrap/>
            <w:vAlign w:val="bottom"/>
            <w:hideMark/>
          </w:tcPr>
          <w:p w14:paraId="3BD5F1FD" w14:textId="324EE13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-0.0418</w:t>
            </w:r>
          </w:p>
        </w:tc>
        <w:tc>
          <w:tcPr>
            <w:tcW w:w="960" w:type="dxa"/>
            <w:tcBorders>
              <w:top w:val="nil"/>
              <w:left w:val="nil"/>
              <w:bottom w:val="nil"/>
              <w:right w:val="nil"/>
            </w:tcBorders>
            <w:shd w:val="clear" w:color="auto" w:fill="auto"/>
            <w:noWrap/>
            <w:vAlign w:val="bottom"/>
            <w:hideMark/>
          </w:tcPr>
          <w:p w14:paraId="19B148E2" w14:textId="33F6ECA7"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-0.0410</w:t>
            </w:r>
          </w:p>
        </w:tc>
        <w:tc>
          <w:tcPr>
            <w:tcW w:w="960" w:type="dxa"/>
            <w:tcBorders>
              <w:top w:val="nil"/>
              <w:left w:val="nil"/>
              <w:bottom w:val="nil"/>
              <w:right w:val="nil"/>
            </w:tcBorders>
            <w:shd w:val="clear" w:color="auto" w:fill="auto"/>
            <w:noWrap/>
            <w:vAlign w:val="bottom"/>
            <w:hideMark/>
          </w:tcPr>
          <w:p w14:paraId="4145D500" w14:textId="42BFAA1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-0.0480</w:t>
            </w:r>
          </w:p>
        </w:tc>
      </w:tr>
      <w:tr w:rsidR="00215085" w:rsidRPr="00215085" w14:paraId="056923DE" w14:textId="77777777" w:rsidTr="00EB23CA">
        <w:trPr>
          <w:trHeight w:val="300"/>
        </w:trPr>
        <w:tc>
          <w:tcPr>
            <w:tcW w:w="960" w:type="dxa"/>
            <w:tcBorders>
              <w:top w:val="nil"/>
              <w:left w:val="nil"/>
              <w:bottom w:val="nil"/>
              <w:right w:val="nil"/>
            </w:tcBorders>
          </w:tcPr>
          <w:p w14:paraId="11ACEA10"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9</w:t>
            </w:r>
          </w:p>
        </w:tc>
        <w:tc>
          <w:tcPr>
            <w:tcW w:w="960" w:type="dxa"/>
            <w:tcBorders>
              <w:top w:val="nil"/>
              <w:left w:val="nil"/>
              <w:bottom w:val="nil"/>
              <w:right w:val="nil"/>
            </w:tcBorders>
            <w:shd w:val="clear" w:color="auto" w:fill="auto"/>
            <w:noWrap/>
            <w:vAlign w:val="bottom"/>
            <w:hideMark/>
          </w:tcPr>
          <w:p w14:paraId="319C25B4" w14:textId="275B2F2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-0.0348</w:t>
            </w:r>
          </w:p>
        </w:tc>
        <w:tc>
          <w:tcPr>
            <w:tcW w:w="960" w:type="dxa"/>
            <w:tcBorders>
              <w:top w:val="nil"/>
              <w:left w:val="nil"/>
              <w:bottom w:val="nil"/>
              <w:right w:val="nil"/>
            </w:tcBorders>
            <w:shd w:val="clear" w:color="auto" w:fill="auto"/>
            <w:noWrap/>
            <w:vAlign w:val="bottom"/>
            <w:hideMark/>
          </w:tcPr>
          <w:p w14:paraId="4E5F4594" w14:textId="1C648ECD"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-0.0358</w:t>
            </w:r>
          </w:p>
        </w:tc>
        <w:tc>
          <w:tcPr>
            <w:tcW w:w="960" w:type="dxa"/>
            <w:tcBorders>
              <w:top w:val="nil"/>
              <w:left w:val="nil"/>
              <w:bottom w:val="nil"/>
              <w:right w:val="nil"/>
            </w:tcBorders>
            <w:shd w:val="clear" w:color="auto" w:fill="auto"/>
            <w:noWrap/>
            <w:vAlign w:val="bottom"/>
            <w:hideMark/>
          </w:tcPr>
          <w:p w14:paraId="37FD1AC7" w14:textId="699C2B2A"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-0.0352</w:t>
            </w:r>
          </w:p>
        </w:tc>
        <w:tc>
          <w:tcPr>
            <w:tcW w:w="960" w:type="dxa"/>
            <w:tcBorders>
              <w:top w:val="nil"/>
              <w:left w:val="nil"/>
              <w:bottom w:val="nil"/>
              <w:right w:val="nil"/>
            </w:tcBorders>
            <w:shd w:val="clear" w:color="auto" w:fill="auto"/>
            <w:noWrap/>
            <w:vAlign w:val="bottom"/>
            <w:hideMark/>
          </w:tcPr>
          <w:p w14:paraId="03F9203C" w14:textId="1A660521"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-0.0334</w:t>
            </w:r>
          </w:p>
        </w:tc>
        <w:tc>
          <w:tcPr>
            <w:tcW w:w="960" w:type="dxa"/>
            <w:tcBorders>
              <w:top w:val="nil"/>
              <w:left w:val="nil"/>
              <w:bottom w:val="nil"/>
              <w:right w:val="nil"/>
            </w:tcBorders>
            <w:shd w:val="clear" w:color="auto" w:fill="auto"/>
            <w:noWrap/>
            <w:vAlign w:val="bottom"/>
            <w:hideMark/>
          </w:tcPr>
          <w:p w14:paraId="07564C68" w14:textId="5699BBD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-0.0354</w:t>
            </w:r>
          </w:p>
        </w:tc>
        <w:tc>
          <w:tcPr>
            <w:tcW w:w="960" w:type="dxa"/>
            <w:tcBorders>
              <w:top w:val="nil"/>
              <w:left w:val="nil"/>
              <w:bottom w:val="nil"/>
              <w:right w:val="nil"/>
            </w:tcBorders>
            <w:shd w:val="clear" w:color="auto" w:fill="auto"/>
            <w:noWrap/>
            <w:vAlign w:val="bottom"/>
            <w:hideMark/>
          </w:tcPr>
          <w:p w14:paraId="14BDE483" w14:textId="3C0A721E"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-0.0426</w:t>
            </w:r>
          </w:p>
        </w:tc>
        <w:tc>
          <w:tcPr>
            <w:tcW w:w="960" w:type="dxa"/>
            <w:tcBorders>
              <w:top w:val="nil"/>
              <w:left w:val="nil"/>
              <w:bottom w:val="nil"/>
              <w:right w:val="nil"/>
            </w:tcBorders>
            <w:shd w:val="clear" w:color="auto" w:fill="auto"/>
            <w:noWrap/>
            <w:vAlign w:val="bottom"/>
            <w:hideMark/>
          </w:tcPr>
          <w:p w14:paraId="53F427F1" w14:textId="6D14509F"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-0.0426</w:t>
            </w:r>
          </w:p>
        </w:tc>
        <w:tc>
          <w:tcPr>
            <w:tcW w:w="960" w:type="dxa"/>
            <w:tcBorders>
              <w:top w:val="nil"/>
              <w:left w:val="nil"/>
              <w:bottom w:val="nil"/>
              <w:right w:val="nil"/>
            </w:tcBorders>
            <w:shd w:val="clear" w:color="auto" w:fill="auto"/>
            <w:noWrap/>
            <w:vAlign w:val="bottom"/>
            <w:hideMark/>
          </w:tcPr>
          <w:p w14:paraId="58AD24C9" w14:textId="409CE6D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-0.0429</w:t>
            </w:r>
          </w:p>
        </w:tc>
      </w:tr>
      <w:tr w:rsidR="00215085" w:rsidRPr="00215085" w14:paraId="3F0F4987" w14:textId="77777777" w:rsidTr="00EB23CA">
        <w:trPr>
          <w:trHeight w:val="300"/>
        </w:trPr>
        <w:tc>
          <w:tcPr>
            <w:tcW w:w="960" w:type="dxa"/>
            <w:tcBorders>
              <w:top w:val="nil"/>
              <w:left w:val="nil"/>
              <w:bottom w:val="nil"/>
              <w:right w:val="nil"/>
            </w:tcBorders>
          </w:tcPr>
          <w:p w14:paraId="2D919DE4"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46630E0B" w14:textId="734F27F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-0.0293</w:t>
            </w:r>
          </w:p>
        </w:tc>
        <w:tc>
          <w:tcPr>
            <w:tcW w:w="960" w:type="dxa"/>
            <w:tcBorders>
              <w:top w:val="nil"/>
              <w:left w:val="nil"/>
              <w:bottom w:val="nil"/>
              <w:right w:val="nil"/>
            </w:tcBorders>
            <w:shd w:val="clear" w:color="auto" w:fill="auto"/>
            <w:noWrap/>
            <w:vAlign w:val="bottom"/>
            <w:hideMark/>
          </w:tcPr>
          <w:p w14:paraId="611E8A25" w14:textId="601EEB2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-0.0394</w:t>
            </w:r>
          </w:p>
        </w:tc>
        <w:tc>
          <w:tcPr>
            <w:tcW w:w="960" w:type="dxa"/>
            <w:tcBorders>
              <w:top w:val="nil"/>
              <w:left w:val="nil"/>
              <w:bottom w:val="nil"/>
              <w:right w:val="nil"/>
            </w:tcBorders>
            <w:shd w:val="clear" w:color="auto" w:fill="auto"/>
            <w:noWrap/>
            <w:vAlign w:val="bottom"/>
            <w:hideMark/>
          </w:tcPr>
          <w:p w14:paraId="6BA69896" w14:textId="33BC0D8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-0.0308</w:t>
            </w:r>
          </w:p>
        </w:tc>
        <w:tc>
          <w:tcPr>
            <w:tcW w:w="960" w:type="dxa"/>
            <w:tcBorders>
              <w:top w:val="nil"/>
              <w:left w:val="nil"/>
              <w:bottom w:val="nil"/>
              <w:right w:val="nil"/>
            </w:tcBorders>
            <w:shd w:val="clear" w:color="auto" w:fill="auto"/>
            <w:noWrap/>
            <w:vAlign w:val="bottom"/>
            <w:hideMark/>
          </w:tcPr>
          <w:p w14:paraId="7138A8F3" w14:textId="6B4C411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-0.0303</w:t>
            </w:r>
          </w:p>
        </w:tc>
        <w:tc>
          <w:tcPr>
            <w:tcW w:w="960" w:type="dxa"/>
            <w:tcBorders>
              <w:top w:val="nil"/>
              <w:left w:val="nil"/>
              <w:bottom w:val="nil"/>
              <w:right w:val="nil"/>
            </w:tcBorders>
            <w:shd w:val="clear" w:color="auto" w:fill="auto"/>
            <w:noWrap/>
            <w:vAlign w:val="bottom"/>
            <w:hideMark/>
          </w:tcPr>
          <w:p w14:paraId="25B6793A" w14:textId="6D42377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-0.0344</w:t>
            </w:r>
          </w:p>
        </w:tc>
        <w:tc>
          <w:tcPr>
            <w:tcW w:w="960" w:type="dxa"/>
            <w:tcBorders>
              <w:top w:val="nil"/>
              <w:left w:val="nil"/>
              <w:bottom w:val="nil"/>
              <w:right w:val="nil"/>
            </w:tcBorders>
            <w:shd w:val="clear" w:color="auto" w:fill="auto"/>
            <w:noWrap/>
            <w:vAlign w:val="bottom"/>
            <w:hideMark/>
          </w:tcPr>
          <w:p w14:paraId="64555ECA" w14:textId="52B7301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-0.0386</w:t>
            </w:r>
          </w:p>
        </w:tc>
        <w:tc>
          <w:tcPr>
            <w:tcW w:w="960" w:type="dxa"/>
            <w:tcBorders>
              <w:top w:val="nil"/>
              <w:left w:val="nil"/>
              <w:bottom w:val="nil"/>
              <w:right w:val="nil"/>
            </w:tcBorders>
            <w:shd w:val="clear" w:color="auto" w:fill="auto"/>
            <w:noWrap/>
            <w:vAlign w:val="bottom"/>
            <w:hideMark/>
          </w:tcPr>
          <w:p w14:paraId="3A22587B" w14:textId="7643082B"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-0.0295</w:t>
            </w:r>
          </w:p>
        </w:tc>
        <w:tc>
          <w:tcPr>
            <w:tcW w:w="960" w:type="dxa"/>
            <w:tcBorders>
              <w:top w:val="nil"/>
              <w:left w:val="nil"/>
              <w:bottom w:val="nil"/>
              <w:right w:val="nil"/>
            </w:tcBorders>
            <w:shd w:val="clear" w:color="auto" w:fill="auto"/>
            <w:noWrap/>
            <w:vAlign w:val="bottom"/>
            <w:hideMark/>
          </w:tcPr>
          <w:p w14:paraId="52A92C24" w14:textId="20474AF6"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-0.0365</w:t>
            </w:r>
          </w:p>
        </w:tc>
      </w:tr>
      <w:tr w:rsidR="00215085" w:rsidRPr="00215085" w14:paraId="037A123E" w14:textId="77777777" w:rsidTr="00215085">
        <w:trPr>
          <w:trHeight w:val="300"/>
        </w:trPr>
        <w:tc>
          <w:tcPr>
            <w:tcW w:w="960" w:type="dxa"/>
            <w:tcBorders>
              <w:top w:val="nil"/>
              <w:left w:val="nil"/>
              <w:right w:val="nil"/>
            </w:tcBorders>
          </w:tcPr>
          <w:p w14:paraId="4884A1D3"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11</w:t>
            </w:r>
          </w:p>
        </w:tc>
        <w:tc>
          <w:tcPr>
            <w:tcW w:w="960" w:type="dxa"/>
            <w:tcBorders>
              <w:top w:val="nil"/>
              <w:left w:val="nil"/>
              <w:right w:val="nil"/>
            </w:tcBorders>
            <w:shd w:val="clear" w:color="auto" w:fill="auto"/>
            <w:noWrap/>
            <w:vAlign w:val="bottom"/>
            <w:hideMark/>
          </w:tcPr>
          <w:p w14:paraId="2340F711" w14:textId="0896A9B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-0.0339</w:t>
            </w:r>
          </w:p>
        </w:tc>
        <w:tc>
          <w:tcPr>
            <w:tcW w:w="960" w:type="dxa"/>
            <w:tcBorders>
              <w:top w:val="nil"/>
              <w:left w:val="nil"/>
              <w:right w:val="nil"/>
            </w:tcBorders>
            <w:shd w:val="clear" w:color="auto" w:fill="auto"/>
            <w:noWrap/>
            <w:vAlign w:val="bottom"/>
            <w:hideMark/>
          </w:tcPr>
          <w:p w14:paraId="0E5311BC" w14:textId="052B039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-0.0291</w:t>
            </w:r>
          </w:p>
        </w:tc>
        <w:tc>
          <w:tcPr>
            <w:tcW w:w="960" w:type="dxa"/>
            <w:tcBorders>
              <w:top w:val="nil"/>
              <w:left w:val="nil"/>
              <w:right w:val="nil"/>
            </w:tcBorders>
            <w:shd w:val="clear" w:color="auto" w:fill="auto"/>
            <w:noWrap/>
            <w:vAlign w:val="bottom"/>
            <w:hideMark/>
          </w:tcPr>
          <w:p w14:paraId="23DC0282" w14:textId="2B3F1818"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-0.0356</w:t>
            </w:r>
          </w:p>
        </w:tc>
        <w:tc>
          <w:tcPr>
            <w:tcW w:w="960" w:type="dxa"/>
            <w:tcBorders>
              <w:top w:val="nil"/>
              <w:left w:val="nil"/>
              <w:right w:val="nil"/>
            </w:tcBorders>
            <w:shd w:val="clear" w:color="auto" w:fill="auto"/>
            <w:noWrap/>
            <w:vAlign w:val="bottom"/>
            <w:hideMark/>
          </w:tcPr>
          <w:p w14:paraId="4A590B52" w14:textId="4EC00A5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-0.0196</w:t>
            </w:r>
          </w:p>
        </w:tc>
        <w:tc>
          <w:tcPr>
            <w:tcW w:w="960" w:type="dxa"/>
            <w:tcBorders>
              <w:top w:val="nil"/>
              <w:left w:val="nil"/>
              <w:right w:val="nil"/>
            </w:tcBorders>
            <w:shd w:val="clear" w:color="auto" w:fill="auto"/>
            <w:noWrap/>
            <w:vAlign w:val="bottom"/>
            <w:hideMark/>
          </w:tcPr>
          <w:p w14:paraId="55141750" w14:textId="79201885"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-0.0256</w:t>
            </w:r>
          </w:p>
        </w:tc>
        <w:tc>
          <w:tcPr>
            <w:tcW w:w="960" w:type="dxa"/>
            <w:tcBorders>
              <w:top w:val="nil"/>
              <w:left w:val="nil"/>
              <w:right w:val="nil"/>
            </w:tcBorders>
            <w:shd w:val="clear" w:color="auto" w:fill="auto"/>
            <w:noWrap/>
            <w:vAlign w:val="bottom"/>
            <w:hideMark/>
          </w:tcPr>
          <w:p w14:paraId="7ECF3FAF" w14:textId="0ABE0BDE"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-0.0307</w:t>
            </w:r>
          </w:p>
        </w:tc>
        <w:tc>
          <w:tcPr>
            <w:tcW w:w="960" w:type="dxa"/>
            <w:tcBorders>
              <w:top w:val="nil"/>
              <w:left w:val="nil"/>
              <w:right w:val="nil"/>
            </w:tcBorders>
            <w:shd w:val="clear" w:color="auto" w:fill="auto"/>
            <w:noWrap/>
            <w:vAlign w:val="bottom"/>
            <w:hideMark/>
          </w:tcPr>
          <w:p w14:paraId="6FCB24CB" w14:textId="3EC8055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-0.0302</w:t>
            </w:r>
          </w:p>
        </w:tc>
        <w:tc>
          <w:tcPr>
            <w:tcW w:w="960" w:type="dxa"/>
            <w:tcBorders>
              <w:top w:val="nil"/>
              <w:left w:val="nil"/>
              <w:right w:val="nil"/>
            </w:tcBorders>
            <w:shd w:val="clear" w:color="auto" w:fill="auto"/>
            <w:noWrap/>
            <w:vAlign w:val="bottom"/>
            <w:hideMark/>
          </w:tcPr>
          <w:p w14:paraId="5F4F6246" w14:textId="18C46AC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-0.0236</w:t>
            </w:r>
          </w:p>
        </w:tc>
      </w:tr>
      <w:tr w:rsidR="00215085" w:rsidRPr="00215085" w14:paraId="4AE34634" w14:textId="77777777" w:rsidTr="00215085">
        <w:trPr>
          <w:trHeight w:val="300"/>
        </w:trPr>
        <w:tc>
          <w:tcPr>
            <w:tcW w:w="960" w:type="dxa"/>
            <w:tcBorders>
              <w:top w:val="nil"/>
              <w:left w:val="nil"/>
              <w:bottom w:val="single" w:sz="4" w:space="0" w:color="auto"/>
              <w:right w:val="nil"/>
            </w:tcBorders>
          </w:tcPr>
          <w:p w14:paraId="7D1A7CD5" w14:textId="77777777" w:rsidR="00215085" w:rsidRDefault="00215085" w:rsidP="00215085">
            <w:pPr>
              <w:spacing w:after="0" w:line="240" w:lineRule="auto"/>
              <w:jc w:val="right"/>
              <w:rPr>
                <w:rFonts w:ascii="Calibri" w:hAnsi="Calibri" w:cs="Calibri"/>
                <w:color w:val="000000"/>
              </w:rPr>
            </w:pPr>
            <w:r>
              <w:rPr>
                <w:rFonts w:ascii="Calibri"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14:paraId="7C33ECF0" w14:textId="2B08D815"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-0.0290</w:t>
            </w:r>
          </w:p>
        </w:tc>
        <w:tc>
          <w:tcPr>
            <w:tcW w:w="960" w:type="dxa"/>
            <w:tcBorders>
              <w:top w:val="nil"/>
              <w:left w:val="nil"/>
              <w:bottom w:val="single" w:sz="4" w:space="0" w:color="auto"/>
              <w:right w:val="nil"/>
            </w:tcBorders>
            <w:shd w:val="clear" w:color="auto" w:fill="auto"/>
            <w:noWrap/>
            <w:vAlign w:val="bottom"/>
            <w:hideMark/>
          </w:tcPr>
          <w:p w14:paraId="6F15B33D" w14:textId="44E519CC"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-0.0245</w:t>
            </w:r>
          </w:p>
        </w:tc>
        <w:tc>
          <w:tcPr>
            <w:tcW w:w="960" w:type="dxa"/>
            <w:tcBorders>
              <w:top w:val="nil"/>
              <w:left w:val="nil"/>
              <w:bottom w:val="single" w:sz="4" w:space="0" w:color="auto"/>
              <w:right w:val="nil"/>
            </w:tcBorders>
            <w:shd w:val="clear" w:color="auto" w:fill="auto"/>
            <w:noWrap/>
            <w:vAlign w:val="bottom"/>
            <w:hideMark/>
          </w:tcPr>
          <w:p w14:paraId="2E8A1556" w14:textId="4EEF534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-0.0174</w:t>
            </w:r>
          </w:p>
        </w:tc>
        <w:tc>
          <w:tcPr>
            <w:tcW w:w="960" w:type="dxa"/>
            <w:tcBorders>
              <w:top w:val="nil"/>
              <w:left w:val="nil"/>
              <w:bottom w:val="single" w:sz="4" w:space="0" w:color="auto"/>
              <w:right w:val="nil"/>
            </w:tcBorders>
            <w:shd w:val="clear" w:color="auto" w:fill="auto"/>
            <w:noWrap/>
            <w:vAlign w:val="bottom"/>
            <w:hideMark/>
          </w:tcPr>
          <w:p w14:paraId="0261468F" w14:textId="10B695EF"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-0.0266</w:t>
            </w:r>
          </w:p>
        </w:tc>
        <w:tc>
          <w:tcPr>
            <w:tcW w:w="960" w:type="dxa"/>
            <w:tcBorders>
              <w:top w:val="nil"/>
              <w:left w:val="nil"/>
              <w:bottom w:val="single" w:sz="4" w:space="0" w:color="auto"/>
              <w:right w:val="nil"/>
            </w:tcBorders>
            <w:shd w:val="clear" w:color="auto" w:fill="auto"/>
            <w:noWrap/>
            <w:vAlign w:val="bottom"/>
            <w:hideMark/>
          </w:tcPr>
          <w:p w14:paraId="68DC85E8" w14:textId="48724CB3"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-0.0245</w:t>
            </w:r>
          </w:p>
        </w:tc>
        <w:tc>
          <w:tcPr>
            <w:tcW w:w="960" w:type="dxa"/>
            <w:tcBorders>
              <w:top w:val="nil"/>
              <w:left w:val="nil"/>
              <w:bottom w:val="single" w:sz="4" w:space="0" w:color="auto"/>
              <w:right w:val="nil"/>
            </w:tcBorders>
            <w:shd w:val="clear" w:color="auto" w:fill="auto"/>
            <w:noWrap/>
            <w:vAlign w:val="bottom"/>
            <w:hideMark/>
          </w:tcPr>
          <w:p w14:paraId="6F0A0AB2" w14:textId="56970030"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-0.0201</w:t>
            </w:r>
          </w:p>
        </w:tc>
        <w:tc>
          <w:tcPr>
            <w:tcW w:w="960" w:type="dxa"/>
            <w:tcBorders>
              <w:top w:val="nil"/>
              <w:left w:val="nil"/>
              <w:bottom w:val="single" w:sz="4" w:space="0" w:color="auto"/>
              <w:right w:val="nil"/>
            </w:tcBorders>
            <w:shd w:val="clear" w:color="auto" w:fill="auto"/>
            <w:noWrap/>
            <w:vAlign w:val="bottom"/>
            <w:hideMark/>
          </w:tcPr>
          <w:p w14:paraId="6F493158" w14:textId="6254172E"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-0.0245</w:t>
            </w:r>
          </w:p>
        </w:tc>
        <w:tc>
          <w:tcPr>
            <w:tcW w:w="960" w:type="dxa"/>
            <w:tcBorders>
              <w:top w:val="nil"/>
              <w:left w:val="nil"/>
              <w:bottom w:val="single" w:sz="4" w:space="0" w:color="auto"/>
              <w:right w:val="nil"/>
            </w:tcBorders>
            <w:shd w:val="clear" w:color="auto" w:fill="auto"/>
            <w:noWrap/>
            <w:vAlign w:val="bottom"/>
            <w:hideMark/>
          </w:tcPr>
          <w:p w14:paraId="65F6DF59" w14:textId="52ED3799" w:rsidR="00215085" w:rsidRPr="00215085" w:rsidRDefault="00215085" w:rsidP="00215085">
            <w:pPr>
              <w:spacing w:after="0" w:line="240" w:lineRule="auto"/>
              <w:jc w:val="right"/>
              <w:rPr>
                <w:rFonts w:ascii="Calibri" w:eastAsia="Times New Roman" w:hAnsi="Calibri" w:cs="Calibri"/>
                <w:color w:val="000000"/>
              </w:rPr>
            </w:pPr>
            <w:r>
              <w:rPr>
                <w:rFonts w:ascii="Calibri" w:hAnsi="Calibri" w:cs="Calibri"/>
                <w:color w:val="000000"/>
              </w:rPr>
              <w:t>-0.0205</w:t>
            </w:r>
          </w:p>
        </w:tc>
      </w:tr>
    </w:tbl>
    <w:p w14:paraId="19494C40" w14:textId="77777777" w:rsidR="00215085" w:rsidRPr="00163025" w:rsidRDefault="00215085" w:rsidP="00163025"/>
    <w:p w14:paraId="1B120E3E" w14:textId="4DA85FAF" w:rsidR="00002B23" w:rsidRDefault="00E858F0" w:rsidP="00E858F0">
      <w:pPr>
        <w:pStyle w:val="Heading1"/>
      </w:pPr>
      <w:r>
        <w:t>Discussion</w:t>
      </w:r>
    </w:p>
    <w:p w14:paraId="16B1759C" w14:textId="2C9B9A1F" w:rsidR="00261017" w:rsidRDefault="00261017" w:rsidP="00E858F0">
      <w:r>
        <w:t xml:space="preserve">Sensei estimates the participants needed in a single-cell study in order to obtain a statistical meaningful comparison of proportion of a cell type between two samples. </w:t>
      </w:r>
      <w:r w:rsidR="009C0AA1">
        <w:t xml:space="preserve">Although multiple tools are available to estimate number of cells needed </w:t>
      </w:r>
      <w:r w:rsidR="009C0AA1">
        <w:fldChar w:fldCharType="begin"/>
      </w:r>
      <w:r w:rsidR="002E4F87">
        <w:instrText xml:space="preserve"> ADDIN ZOTERO_ITEM CSL_CITATION {"citationID":"DS4pXBPR","properties":{"formattedCitation":"[11]","plainCitation":"[11]","noteIndex":0},"citationItems":[{"id":379,"uris":["http://zotero.org/users/4312917/items/3U9F2ZXC"],"uri":["http://zotero.org/users/4312917/items/3U9F2ZXC"],"itemData":{"id":379,"type":"webpage","title":"Collaborative data science","URL":"https://plot.ly","author":[{"family":"Plotly Technologies Inc.","given":""}],"issued":{"date-parts":[["2015"]]}}}],"schema":"https://github.com/citation-style-language/schema/raw/master/csl-citation.json"} </w:instrText>
      </w:r>
      <w:r w:rsidR="009C0AA1">
        <w:fldChar w:fldCharType="separate"/>
      </w:r>
      <w:r w:rsidR="002E4F87" w:rsidRPr="002E4F87">
        <w:rPr>
          <w:rFonts w:ascii="Calibri" w:hAnsi="Calibri" w:cs="Calibri"/>
        </w:rPr>
        <w:t>[11]</w:t>
      </w:r>
      <w:r w:rsidR="009C0AA1">
        <w:fldChar w:fldCharType="end"/>
      </w:r>
      <w:r w:rsidR="009C0AA1">
        <w:t xml:space="preserve">. </w:t>
      </w:r>
      <w:r>
        <w:t xml:space="preserve">Sensei is by far the first tool we know that </w:t>
      </w:r>
      <w:r w:rsidR="009C0AA1">
        <w:t>estimates the number of participants.</w:t>
      </w:r>
      <w:r w:rsidR="001F74FE">
        <w:t xml:space="preserve"> Although necessary approximations are used in order to fit Sensei in a light-weight web application, its estimation is consistent with the result of a computationally intense simulation. </w:t>
      </w:r>
    </w:p>
    <w:p w14:paraId="1EB9204A" w14:textId="7B6617F1" w:rsidR="00E858F0" w:rsidRDefault="00E858F0" w:rsidP="00E858F0">
      <w:r>
        <w:t>In some cases, researches may want to test if the portion has no meaningful difference between two samples. Such a test can be performed by using two t-tests showing that the portion is confined in a small range that has no biological meaning. This tool can also be used in such cases as t-test is still the basis.</w:t>
      </w:r>
    </w:p>
    <w:p w14:paraId="70FDB2E4" w14:textId="575043F3" w:rsidR="00261017" w:rsidRDefault="008A443B" w:rsidP="00E858F0">
      <w:r>
        <w:t xml:space="preserve">Composition effect may confound the differential abundance analysis. Although as a rough estimation based on limited prior knowledge, Sensei may not be influenced as much, we suggest that user to exclude the highly variable cell types that introduced the composition effect when estimating the number of cells in a sample, namely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For example, if number of tumor cells is highly variable, and normally takes around 1000 ~ 3000 cells in a sample with 5000 cells, we suggest that a user use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=2000</m:t>
        </m:r>
      </m:oMath>
      <w:r>
        <w:t xml:space="preserve">. Here, there are effectively three types of cells, i.e., cell of interest, reliable background cells, and </w:t>
      </w:r>
      <w:r>
        <w:lastRenderedPageBreak/>
        <w:t>highly variable cells. To more precisely model the three types of cells, Dirichlet-multinomial distribution may be useful.</w:t>
      </w:r>
      <w:r w:rsidR="00D33D46">
        <w:t xml:space="preserve"> It is also possible to </w:t>
      </w:r>
      <w:r w:rsidR="00890494">
        <w:t xml:space="preserve">extend the model by using finite mixture model </w:t>
      </w:r>
      <w:r w:rsidR="00890494">
        <w:fldChar w:fldCharType="begin"/>
      </w:r>
      <w:r w:rsidR="00890494">
        <w:instrText xml:space="preserve"> ADDIN ZOTERO_ITEM CSL_CITATION {"citationID":"vxFnT40z","properties":{"formattedCitation":"[8]","plainCitation":"[8]","noteIndex":0},"citationItems":[{"id":383,"uris":["http://zotero.org/users/4312917/items/WSCM8CIL"],"uri":["http://zotero.org/users/4312917/items/WSCM8CIL"],"itemData":{"id":383,"type":"article-journal","abstract":"Six data sets recording fetal control mortality in mouse litters are presented. The data are clearly overdispersed, and a standard approach would be to describe the data by means of a beta-binomial model or to use quasi-likelihood methods. For five of the examples, we show that the beta-binomial model provides a reasonable description but that the fit can be significantly improved by using a mixture of a beta-binomial model with a binomial distribution. This mixture provides two alternative solutions, in one of which the binomial component indicates a high probability of death but is selected infrequently; this accounts for outlying litters with high mortality. The influence of the outliers on the beta-binomial fits is also demonstrated. The location and nature of the two main maxima to the likelihood are investigated through profile log-likelihoods. Comparisons are made with the performance of finite mixtures of binomial distributions.","archive":"JSTOR","container-title":"Biometrics","DOI":"10.2307/2533567","ISSN":"0006-341X","issue":"3","note":"publisher: [Wiley, International Biometric Society]","page":"1097-1115","source":"JSTOR","title":"Finite Mixture Models for Proportions","volume":"53","author":[{"family":"Brooks","given":"S. P."},{"family":"Morgan","given":"B. J. T."},{"family":"Ridout","given":"M. S."},{"family":"Pack","given":"S. E."}],"issued":{"date-parts":[["1997"]]}}}],"schema":"https://github.com/citation-style-language/schema/raw/master/csl-citation.json"} </w:instrText>
      </w:r>
      <w:r w:rsidR="00890494">
        <w:fldChar w:fldCharType="separate"/>
      </w:r>
      <w:r w:rsidR="00890494" w:rsidRPr="00890494">
        <w:rPr>
          <w:rFonts w:ascii="Calibri" w:hAnsi="Calibri" w:cs="Calibri"/>
        </w:rPr>
        <w:t>[8]</w:t>
      </w:r>
      <w:r w:rsidR="00890494">
        <w:fldChar w:fldCharType="end"/>
      </w:r>
      <w:r w:rsidR="00890494">
        <w:t>. However, our current model allows for a closed-form representation, which is essential to a light-weight web-based application providing a fast estimation of sample sizes.</w:t>
      </w:r>
    </w:p>
    <w:p w14:paraId="3D4BB1D2" w14:textId="50ECA267" w:rsidR="00F34D39" w:rsidRDefault="00F34D39" w:rsidP="00E858F0">
      <w:r>
        <w:t xml:space="preserve">It also should be noted that </w:t>
      </w:r>
      <w:r w:rsidR="001D2481">
        <w:t>there are different kinds of t-tests, and the one factors in the different variances of two samples should be used when the variances are indeed dissimilar</w:t>
      </w:r>
      <w:r w:rsidR="002E4F87">
        <w:t xml:space="preserve"> </w:t>
      </w:r>
      <w:r w:rsidR="002E4F87">
        <w:fldChar w:fldCharType="begin"/>
      </w:r>
      <w:r w:rsidR="002E4F87">
        <w:instrText xml:space="preserve"> ADDIN ZOTERO_ITEM CSL_CITATION {"citationID":"vcG6dueo","properties":{"formattedCitation":"[9]","plainCitation":"[9]","noteIndex":0},"citationItems":[{"id":384,"uris":["http://zotero.org/users/4312917/items/7FWE8NYJ"],"uri":["http://zotero.org/users/4312917/items/7FWE8NYJ"],"itemData":{"id":384,"type":"article-journal","abstract":"Often in the study of behavioral ecology, and more widely in science, we require to statistically test whether the central tendencies (mean or median) of 2 grou","container-title":"Behavioral Ecology","DOI":"10.1093/beheco/ark016","ISSN":"1045-2249","issue":"4","journalAbbreviation":"Behav Ecol","language":"en","note":"publisher: Oxford Academic","page":"688-690","source":"academic.oup.com","title":"The unequal variance t-test is an underused alternative to Student's t-test and the Mann–Whitney U test","volume":"17","author":[{"family":"Ruxton","given":"Graeme D."}],"issued":{"date-parts":[["2006",7,1]]}}}],"schema":"https://github.com/citation-style-language/schema/raw/master/csl-citation.json"} </w:instrText>
      </w:r>
      <w:r w:rsidR="002E4F87">
        <w:fldChar w:fldCharType="separate"/>
      </w:r>
      <w:r w:rsidR="002E4F87" w:rsidRPr="002E4F87">
        <w:rPr>
          <w:rFonts w:ascii="Calibri" w:hAnsi="Calibri" w:cs="Calibri"/>
        </w:rPr>
        <w:t>[9]</w:t>
      </w:r>
      <w:r w:rsidR="002E4F87">
        <w:fldChar w:fldCharType="end"/>
      </w:r>
      <w:r w:rsidR="001D2481">
        <w:t xml:space="preserve">. </w:t>
      </w:r>
    </w:p>
    <w:p w14:paraId="2A0516F2" w14:textId="77777777" w:rsidR="00E858F0" w:rsidRDefault="00E858F0" w:rsidP="00E858F0">
      <w:pPr>
        <w:pStyle w:val="Heading1"/>
      </w:pPr>
      <w:r>
        <w:t>Conclusions</w:t>
      </w:r>
    </w:p>
    <w:p w14:paraId="204E00DB" w14:textId="77777777" w:rsidR="008A443B" w:rsidRDefault="00E858F0" w:rsidP="00E858F0">
      <w:r>
        <w:t xml:space="preserve">This study reports a user-friendly web application for estimating sample size and statistical power to help researchers design a single-cell study. We expect that Sensei will have applications in different </w:t>
      </w:r>
      <w:proofErr w:type="spellStart"/>
      <w:r w:rsidR="008A443B">
        <w:t>scRNA</w:t>
      </w:r>
      <w:proofErr w:type="spellEnd"/>
      <w:r w:rsidR="008A443B">
        <w:t xml:space="preserve"> </w:t>
      </w:r>
      <w:r>
        <w:t>studies involving differential abundance analysis.</w:t>
      </w:r>
    </w:p>
    <w:p w14:paraId="6B839B36" w14:textId="6428EB25" w:rsidR="007E797D" w:rsidRDefault="007E797D" w:rsidP="007E797D">
      <w:pPr>
        <w:pStyle w:val="Heading1"/>
      </w:pPr>
      <w:r>
        <w:t>Bibliography</w:t>
      </w:r>
    </w:p>
    <w:p w14:paraId="3420BC34" w14:textId="77777777" w:rsidR="002E4F87" w:rsidRPr="002E4F87" w:rsidRDefault="009C0AA1" w:rsidP="002E4F87">
      <w:pPr>
        <w:pStyle w:val="Bibliography"/>
        <w:rPr>
          <w:rFonts w:ascii="Calibri" w:hAnsi="Calibri" w:cs="Calibri"/>
        </w:rPr>
      </w:pPr>
      <w:r>
        <w:fldChar w:fldCharType="begin"/>
      </w:r>
      <w:r w:rsidR="002E4F87">
        <w:instrText xml:space="preserve"> ADDIN ZOTERO_BIBL {"uncited":[],"omitted":[],"custom":[]} CSL_BIBLIOGRAPHY </w:instrText>
      </w:r>
      <w:r>
        <w:fldChar w:fldCharType="separate"/>
      </w:r>
      <w:r w:rsidR="002E4F87" w:rsidRPr="002E4F87">
        <w:rPr>
          <w:rFonts w:ascii="Calibri" w:hAnsi="Calibri" w:cs="Calibri"/>
        </w:rPr>
        <w:t>1. Lynch HT, Drescher KM, de la Chapelle A. Immunology and the Lynch Syndrome. Gastroenterology. 2008;134:1246–9.</w:t>
      </w:r>
    </w:p>
    <w:p w14:paraId="66E0E99C" w14:textId="77777777" w:rsidR="002E4F87" w:rsidRPr="002E4F87" w:rsidRDefault="002E4F87" w:rsidP="002E4F87">
      <w:pPr>
        <w:pStyle w:val="Bibliography"/>
        <w:rPr>
          <w:rFonts w:ascii="Calibri" w:hAnsi="Calibri" w:cs="Calibri"/>
        </w:rPr>
      </w:pPr>
      <w:r w:rsidRPr="002E4F87">
        <w:rPr>
          <w:rFonts w:ascii="Calibri" w:hAnsi="Calibri" w:cs="Calibri"/>
        </w:rPr>
        <w:t>2. Lun ATL, Richard AC, Marioni JC. Testing for differential abundance in mass cytometry data. Nat Methods. 2017;14:707–9.</w:t>
      </w:r>
    </w:p>
    <w:p w14:paraId="5D6EF3E4" w14:textId="77777777" w:rsidR="002E4F87" w:rsidRPr="002E4F87" w:rsidRDefault="002E4F87" w:rsidP="002E4F87">
      <w:pPr>
        <w:pStyle w:val="Bibliography"/>
        <w:rPr>
          <w:rFonts w:ascii="Calibri" w:hAnsi="Calibri" w:cs="Calibri"/>
        </w:rPr>
      </w:pPr>
      <w:r w:rsidRPr="002E4F87">
        <w:rPr>
          <w:rFonts w:ascii="Calibri" w:hAnsi="Calibri" w:cs="Calibri"/>
        </w:rPr>
        <w:t>3. Gloor GB, Macklaim JM, Pawlowsky-Glahn V, Egozcue JJ. Microbiome Datasets Are Compositional: And This Is Not Optional. Front Microbiol. 2017;8. doi:10.3389/fmicb.2017.02224.</w:t>
      </w:r>
    </w:p>
    <w:p w14:paraId="048F5317" w14:textId="77777777" w:rsidR="002E4F87" w:rsidRPr="002E4F87" w:rsidRDefault="002E4F87" w:rsidP="002E4F87">
      <w:pPr>
        <w:pStyle w:val="Bibliography"/>
        <w:rPr>
          <w:rFonts w:ascii="Calibri" w:hAnsi="Calibri" w:cs="Calibri"/>
        </w:rPr>
      </w:pPr>
      <w:r w:rsidRPr="002E4F87">
        <w:rPr>
          <w:rFonts w:ascii="Calibri" w:hAnsi="Calibri" w:cs="Calibri"/>
        </w:rPr>
        <w:t>4. Luecken MD, Theis FJ. Current best practices in single-cell RNA-seq analysis: a tutorial. Mol Syst Biol. 2019;15:e8746.</w:t>
      </w:r>
    </w:p>
    <w:p w14:paraId="097343FE" w14:textId="77777777" w:rsidR="002E4F87" w:rsidRPr="002E4F87" w:rsidRDefault="002E4F87" w:rsidP="002E4F87">
      <w:pPr>
        <w:pStyle w:val="Bibliography"/>
        <w:rPr>
          <w:rFonts w:ascii="Calibri" w:hAnsi="Calibri" w:cs="Calibri"/>
        </w:rPr>
      </w:pPr>
      <w:r w:rsidRPr="002E4F87">
        <w:rPr>
          <w:rFonts w:ascii="Calibri" w:hAnsi="Calibri" w:cs="Calibri"/>
        </w:rPr>
        <w:t>5. Cao Y, Lin Y, Ormerod JT, Yang P, Yang JYH, Lo KK. scDC: single cell differential composition analysis. BMC Bioinformatics. 2019;20:721.</w:t>
      </w:r>
    </w:p>
    <w:p w14:paraId="26042850" w14:textId="77777777" w:rsidR="002E4F87" w:rsidRPr="002E4F87" w:rsidRDefault="002E4F87" w:rsidP="002E4F87">
      <w:pPr>
        <w:pStyle w:val="Bibliography"/>
        <w:rPr>
          <w:rFonts w:ascii="Calibri" w:hAnsi="Calibri" w:cs="Calibri"/>
        </w:rPr>
      </w:pPr>
      <w:r w:rsidRPr="002E4F87">
        <w:rPr>
          <w:rFonts w:ascii="Calibri" w:hAnsi="Calibri" w:cs="Calibri"/>
        </w:rPr>
        <w:t>6. Davis A, Gao R, Navin NE. SCOPIT: sample size calculations for single-cell sequencing experiments. BMC Bioinformatics. 2019;20:566.</w:t>
      </w:r>
    </w:p>
    <w:p w14:paraId="088B5204" w14:textId="77777777" w:rsidR="002E4F87" w:rsidRPr="002E4F87" w:rsidRDefault="002E4F87" w:rsidP="002E4F87">
      <w:pPr>
        <w:pStyle w:val="Bibliography"/>
        <w:rPr>
          <w:rFonts w:ascii="Calibri" w:hAnsi="Calibri" w:cs="Calibri"/>
        </w:rPr>
      </w:pPr>
      <w:r w:rsidRPr="002E4F87">
        <w:rPr>
          <w:rFonts w:ascii="Calibri" w:hAnsi="Calibri" w:cs="Calibri"/>
        </w:rPr>
        <w:t>7. Crowder MJ. Beta-Binomial Anova for Proportions. J R Stat Soc Ser C Appl Stat. 1978;27:34–7.</w:t>
      </w:r>
    </w:p>
    <w:p w14:paraId="63D62BD5" w14:textId="77777777" w:rsidR="002E4F87" w:rsidRPr="002E4F87" w:rsidRDefault="002E4F87" w:rsidP="002E4F87">
      <w:pPr>
        <w:pStyle w:val="Bibliography"/>
        <w:rPr>
          <w:rFonts w:ascii="Calibri" w:hAnsi="Calibri" w:cs="Calibri"/>
        </w:rPr>
      </w:pPr>
      <w:r w:rsidRPr="002E4F87">
        <w:rPr>
          <w:rFonts w:ascii="Calibri" w:hAnsi="Calibri" w:cs="Calibri"/>
        </w:rPr>
        <w:t>8. Brooks SP, Morgan BJT, Ridout MS, Pack SE. Finite Mixture Models for Proportions. Biometrics. 1997;53:1097–115.</w:t>
      </w:r>
    </w:p>
    <w:p w14:paraId="2A5C760D" w14:textId="77777777" w:rsidR="002E4F87" w:rsidRPr="002E4F87" w:rsidRDefault="002E4F87" w:rsidP="002E4F87">
      <w:pPr>
        <w:pStyle w:val="Bibliography"/>
        <w:rPr>
          <w:rFonts w:ascii="Calibri" w:hAnsi="Calibri" w:cs="Calibri"/>
        </w:rPr>
      </w:pPr>
      <w:r w:rsidRPr="002E4F87">
        <w:rPr>
          <w:rFonts w:ascii="Calibri" w:hAnsi="Calibri" w:cs="Calibri"/>
        </w:rPr>
        <w:t>9. Ruxton GD. The unequal variance t-test is an underused alternative to Student’s t-test and the Mann–Whitney U test. Behav Ecol. 2006;17:688–90.</w:t>
      </w:r>
    </w:p>
    <w:p w14:paraId="3829AB3D" w14:textId="77777777" w:rsidR="002E4F87" w:rsidRPr="002E4F87" w:rsidRDefault="002E4F87" w:rsidP="002E4F87">
      <w:pPr>
        <w:pStyle w:val="Bibliography"/>
        <w:rPr>
          <w:rFonts w:ascii="Calibri" w:hAnsi="Calibri" w:cs="Calibri"/>
        </w:rPr>
      </w:pPr>
      <w:r w:rsidRPr="002E4F87">
        <w:rPr>
          <w:rFonts w:ascii="Calibri" w:hAnsi="Calibri" w:cs="Calibri"/>
        </w:rPr>
        <w:t>10. Livingston EH, Cassidy L. Statistical Power and Estimation of the Number of Required Subjects for a Study Based on the t-Test: A Surgeon’s Primer. J Surg Res. 2005;126:149–59.</w:t>
      </w:r>
    </w:p>
    <w:p w14:paraId="10D1E5C7" w14:textId="4C8AAFAD" w:rsidR="00261017" w:rsidRPr="00261017" w:rsidRDefault="002E4F87" w:rsidP="002E4F87">
      <w:pPr>
        <w:pStyle w:val="Bibliography"/>
      </w:pPr>
      <w:r w:rsidRPr="002E4F87">
        <w:rPr>
          <w:rFonts w:ascii="Calibri" w:hAnsi="Calibri" w:cs="Calibri"/>
        </w:rPr>
        <w:t>11. Plotly Technologies Inc. Collaborative data science. 2015. https://plot.ly.</w:t>
      </w:r>
      <w:r w:rsidR="009C0AA1">
        <w:fldChar w:fldCharType="end"/>
      </w:r>
    </w:p>
    <w:sectPr w:rsidR="00261017" w:rsidRPr="0026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74CE4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E600FC"/>
    <w:multiLevelType w:val="hybridMultilevel"/>
    <w:tmpl w:val="68366456"/>
    <w:lvl w:ilvl="0" w:tplc="09EE6A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40444"/>
    <w:multiLevelType w:val="hybridMultilevel"/>
    <w:tmpl w:val="CDDC0AEA"/>
    <w:lvl w:ilvl="0" w:tplc="482C2A0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2C"/>
    <w:rsid w:val="00002B23"/>
    <w:rsid w:val="00050CEC"/>
    <w:rsid w:val="000A4FA8"/>
    <w:rsid w:val="000B0FFF"/>
    <w:rsid w:val="000E5545"/>
    <w:rsid w:val="001176C8"/>
    <w:rsid w:val="001448F7"/>
    <w:rsid w:val="001547F4"/>
    <w:rsid w:val="00160AB6"/>
    <w:rsid w:val="00163025"/>
    <w:rsid w:val="001D2481"/>
    <w:rsid w:val="001F74FE"/>
    <w:rsid w:val="00215085"/>
    <w:rsid w:val="00261017"/>
    <w:rsid w:val="00293106"/>
    <w:rsid w:val="002E271D"/>
    <w:rsid w:val="002E4F87"/>
    <w:rsid w:val="002F66DB"/>
    <w:rsid w:val="00343B7E"/>
    <w:rsid w:val="003C7D79"/>
    <w:rsid w:val="003D302C"/>
    <w:rsid w:val="003F79E8"/>
    <w:rsid w:val="004B79E9"/>
    <w:rsid w:val="004C38C7"/>
    <w:rsid w:val="004C54CB"/>
    <w:rsid w:val="00503725"/>
    <w:rsid w:val="00510719"/>
    <w:rsid w:val="005439BD"/>
    <w:rsid w:val="00612079"/>
    <w:rsid w:val="006218C8"/>
    <w:rsid w:val="006E6689"/>
    <w:rsid w:val="007237EF"/>
    <w:rsid w:val="00754465"/>
    <w:rsid w:val="007B6C67"/>
    <w:rsid w:val="007E797D"/>
    <w:rsid w:val="00813453"/>
    <w:rsid w:val="0081386E"/>
    <w:rsid w:val="00872CF6"/>
    <w:rsid w:val="00881D25"/>
    <w:rsid w:val="00890494"/>
    <w:rsid w:val="008A443B"/>
    <w:rsid w:val="008B1EB1"/>
    <w:rsid w:val="009916B9"/>
    <w:rsid w:val="009B78D3"/>
    <w:rsid w:val="009C0AA1"/>
    <w:rsid w:val="009F3151"/>
    <w:rsid w:val="00A53948"/>
    <w:rsid w:val="00A62F9B"/>
    <w:rsid w:val="00A633B2"/>
    <w:rsid w:val="00A649F9"/>
    <w:rsid w:val="00A87688"/>
    <w:rsid w:val="00AC06BD"/>
    <w:rsid w:val="00AF5083"/>
    <w:rsid w:val="00B2646E"/>
    <w:rsid w:val="00B2705A"/>
    <w:rsid w:val="00B43B78"/>
    <w:rsid w:val="00B54ECB"/>
    <w:rsid w:val="00B64511"/>
    <w:rsid w:val="00B665C4"/>
    <w:rsid w:val="00C6566F"/>
    <w:rsid w:val="00C761B1"/>
    <w:rsid w:val="00CA5825"/>
    <w:rsid w:val="00D33D46"/>
    <w:rsid w:val="00D61A02"/>
    <w:rsid w:val="00DE0AB5"/>
    <w:rsid w:val="00E84A33"/>
    <w:rsid w:val="00E858F0"/>
    <w:rsid w:val="00E94AE7"/>
    <w:rsid w:val="00F13214"/>
    <w:rsid w:val="00F34D39"/>
    <w:rsid w:val="00F35C75"/>
    <w:rsid w:val="00F37FDB"/>
    <w:rsid w:val="00F42309"/>
    <w:rsid w:val="00F9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7DD2"/>
  <w15:chartTrackingRefBased/>
  <w15:docId w15:val="{50E1493B-0B2B-4D48-AB5D-B31B81EE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9F9"/>
  </w:style>
  <w:style w:type="paragraph" w:styleId="Heading1">
    <w:name w:val="heading 1"/>
    <w:basedOn w:val="Normal"/>
    <w:next w:val="Normal"/>
    <w:link w:val="Heading1Char"/>
    <w:uiPriority w:val="9"/>
    <w:qFormat/>
    <w:rsid w:val="00A649F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649F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649F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649F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49F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649F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649F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9F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9F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302C"/>
    <w:rPr>
      <w:color w:val="808080"/>
    </w:rPr>
  </w:style>
  <w:style w:type="character" w:customStyle="1" w:styleId="Heading1Char">
    <w:name w:val="Heading 1 Char"/>
    <w:basedOn w:val="DefaultParagraphFont"/>
    <w:link w:val="Heading1"/>
    <w:uiPriority w:val="9"/>
    <w:rsid w:val="00A649F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649F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649F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649F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49F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649F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649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9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9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649F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649F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49F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49F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49F9"/>
    <w:rPr>
      <w:color w:val="5A5A5A" w:themeColor="text1" w:themeTint="A5"/>
      <w:spacing w:val="10"/>
    </w:rPr>
  </w:style>
  <w:style w:type="character" w:styleId="Strong">
    <w:name w:val="Strong"/>
    <w:basedOn w:val="DefaultParagraphFont"/>
    <w:uiPriority w:val="22"/>
    <w:qFormat/>
    <w:rsid w:val="00A649F9"/>
    <w:rPr>
      <w:b/>
      <w:bCs/>
      <w:color w:val="000000" w:themeColor="text1"/>
    </w:rPr>
  </w:style>
  <w:style w:type="character" w:styleId="Emphasis">
    <w:name w:val="Emphasis"/>
    <w:basedOn w:val="DefaultParagraphFont"/>
    <w:uiPriority w:val="20"/>
    <w:qFormat/>
    <w:rsid w:val="00A649F9"/>
    <w:rPr>
      <w:i/>
      <w:iCs/>
      <w:color w:val="auto"/>
    </w:rPr>
  </w:style>
  <w:style w:type="paragraph" w:styleId="NoSpacing">
    <w:name w:val="No Spacing"/>
    <w:uiPriority w:val="1"/>
    <w:qFormat/>
    <w:rsid w:val="00A649F9"/>
    <w:pPr>
      <w:spacing w:after="0" w:line="240" w:lineRule="auto"/>
    </w:pPr>
  </w:style>
  <w:style w:type="paragraph" w:styleId="Quote">
    <w:name w:val="Quote"/>
    <w:basedOn w:val="Normal"/>
    <w:next w:val="Normal"/>
    <w:link w:val="QuoteChar"/>
    <w:uiPriority w:val="29"/>
    <w:qFormat/>
    <w:rsid w:val="00A649F9"/>
    <w:pPr>
      <w:spacing w:before="160"/>
      <w:ind w:left="720" w:right="720"/>
    </w:pPr>
    <w:rPr>
      <w:i/>
      <w:iCs/>
      <w:color w:val="000000" w:themeColor="text1"/>
    </w:rPr>
  </w:style>
  <w:style w:type="character" w:customStyle="1" w:styleId="QuoteChar">
    <w:name w:val="Quote Char"/>
    <w:basedOn w:val="DefaultParagraphFont"/>
    <w:link w:val="Quote"/>
    <w:uiPriority w:val="29"/>
    <w:rsid w:val="00A649F9"/>
    <w:rPr>
      <w:i/>
      <w:iCs/>
      <w:color w:val="000000" w:themeColor="text1"/>
    </w:rPr>
  </w:style>
  <w:style w:type="paragraph" w:styleId="IntenseQuote">
    <w:name w:val="Intense Quote"/>
    <w:basedOn w:val="Normal"/>
    <w:next w:val="Normal"/>
    <w:link w:val="IntenseQuoteChar"/>
    <w:uiPriority w:val="30"/>
    <w:qFormat/>
    <w:rsid w:val="00A649F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49F9"/>
    <w:rPr>
      <w:color w:val="000000" w:themeColor="text1"/>
      <w:shd w:val="clear" w:color="auto" w:fill="F2F2F2" w:themeFill="background1" w:themeFillShade="F2"/>
    </w:rPr>
  </w:style>
  <w:style w:type="character" w:styleId="SubtleEmphasis">
    <w:name w:val="Subtle Emphasis"/>
    <w:basedOn w:val="DefaultParagraphFont"/>
    <w:uiPriority w:val="19"/>
    <w:qFormat/>
    <w:rsid w:val="00A649F9"/>
    <w:rPr>
      <w:i/>
      <w:iCs/>
      <w:color w:val="404040" w:themeColor="text1" w:themeTint="BF"/>
    </w:rPr>
  </w:style>
  <w:style w:type="character" w:styleId="IntenseEmphasis">
    <w:name w:val="Intense Emphasis"/>
    <w:basedOn w:val="DefaultParagraphFont"/>
    <w:uiPriority w:val="21"/>
    <w:qFormat/>
    <w:rsid w:val="00A649F9"/>
    <w:rPr>
      <w:b/>
      <w:bCs/>
      <w:i/>
      <w:iCs/>
      <w:caps/>
    </w:rPr>
  </w:style>
  <w:style w:type="character" w:styleId="SubtleReference">
    <w:name w:val="Subtle Reference"/>
    <w:basedOn w:val="DefaultParagraphFont"/>
    <w:uiPriority w:val="31"/>
    <w:qFormat/>
    <w:rsid w:val="00A649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49F9"/>
    <w:rPr>
      <w:b/>
      <w:bCs/>
      <w:smallCaps/>
      <w:u w:val="single"/>
    </w:rPr>
  </w:style>
  <w:style w:type="character" w:styleId="BookTitle">
    <w:name w:val="Book Title"/>
    <w:basedOn w:val="DefaultParagraphFont"/>
    <w:uiPriority w:val="33"/>
    <w:qFormat/>
    <w:rsid w:val="00A649F9"/>
    <w:rPr>
      <w:b w:val="0"/>
      <w:bCs w:val="0"/>
      <w:smallCaps/>
      <w:spacing w:val="5"/>
    </w:rPr>
  </w:style>
  <w:style w:type="paragraph" w:styleId="TOCHeading">
    <w:name w:val="TOC Heading"/>
    <w:basedOn w:val="Heading1"/>
    <w:next w:val="Normal"/>
    <w:uiPriority w:val="39"/>
    <w:semiHidden/>
    <w:unhideWhenUsed/>
    <w:qFormat/>
    <w:rsid w:val="00A649F9"/>
    <w:pPr>
      <w:outlineLvl w:val="9"/>
    </w:pPr>
  </w:style>
  <w:style w:type="paragraph" w:styleId="ListParagraph">
    <w:name w:val="List Paragraph"/>
    <w:basedOn w:val="Normal"/>
    <w:uiPriority w:val="34"/>
    <w:qFormat/>
    <w:rsid w:val="005439BD"/>
    <w:pPr>
      <w:ind w:left="720"/>
      <w:contextualSpacing/>
    </w:pPr>
  </w:style>
  <w:style w:type="character" w:styleId="Hyperlink">
    <w:name w:val="Hyperlink"/>
    <w:basedOn w:val="DefaultParagraphFont"/>
    <w:uiPriority w:val="99"/>
    <w:unhideWhenUsed/>
    <w:rsid w:val="00F42309"/>
    <w:rPr>
      <w:color w:val="0563C1" w:themeColor="hyperlink"/>
      <w:u w:val="single"/>
    </w:rPr>
  </w:style>
  <w:style w:type="character" w:styleId="UnresolvedMention">
    <w:name w:val="Unresolved Mention"/>
    <w:basedOn w:val="DefaultParagraphFont"/>
    <w:uiPriority w:val="99"/>
    <w:semiHidden/>
    <w:unhideWhenUsed/>
    <w:rsid w:val="00F42309"/>
    <w:rPr>
      <w:color w:val="605E5C"/>
      <w:shd w:val="clear" w:color="auto" w:fill="E1DFDD"/>
    </w:rPr>
  </w:style>
  <w:style w:type="paragraph" w:styleId="BalloonText">
    <w:name w:val="Balloon Text"/>
    <w:basedOn w:val="Normal"/>
    <w:link w:val="BalloonTextChar"/>
    <w:uiPriority w:val="99"/>
    <w:semiHidden/>
    <w:unhideWhenUsed/>
    <w:rsid w:val="00621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8C8"/>
    <w:rPr>
      <w:rFonts w:ascii="Segoe UI" w:hAnsi="Segoe UI" w:cs="Segoe UI"/>
      <w:sz w:val="18"/>
      <w:szCs w:val="18"/>
    </w:rPr>
  </w:style>
  <w:style w:type="paragraph" w:styleId="Bibliography">
    <w:name w:val="Bibliography"/>
    <w:basedOn w:val="Normal"/>
    <w:next w:val="Normal"/>
    <w:uiPriority w:val="37"/>
    <w:unhideWhenUsed/>
    <w:rsid w:val="009C0AA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83130">
      <w:bodyDiv w:val="1"/>
      <w:marLeft w:val="0"/>
      <w:marRight w:val="0"/>
      <w:marTop w:val="0"/>
      <w:marBottom w:val="0"/>
      <w:divBdr>
        <w:top w:val="none" w:sz="0" w:space="0" w:color="auto"/>
        <w:left w:val="none" w:sz="0" w:space="0" w:color="auto"/>
        <w:bottom w:val="none" w:sz="0" w:space="0" w:color="auto"/>
        <w:right w:val="none" w:sz="0" w:space="0" w:color="auto"/>
      </w:divBdr>
    </w:div>
    <w:div w:id="183534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tijalab.org/howmanycell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chen-lab.github.io/sensei/table_beta.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4C751-7B92-4F0F-8F15-80CC65EC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7</Pages>
  <Words>5655</Words>
  <Characters>32238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M.D. Anderson Cancer Center</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Liang,Shaoheng</dc:creator>
  <cp:keywords/>
  <dc:description/>
  <cp:lastModifiedBy>Liang,Shaoheng</cp:lastModifiedBy>
  <cp:revision>11</cp:revision>
  <cp:lastPrinted>2020-03-12T07:55:00Z</cp:lastPrinted>
  <dcterms:created xsi:type="dcterms:W3CDTF">2020-03-12T07:55:00Z</dcterms:created>
  <dcterms:modified xsi:type="dcterms:W3CDTF">2020-03-14T05:49:00Z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id="GfGYqmpC"/&gt;&lt;style id="http://www.zotero.org/styles/bmc-bioinformatics"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