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D85A30"/>
          <w:sz w:val="22"/>
        </w:rPr>
        <w:t>BEYOND INDUSTRY KNOWLEDGE</w:t>
      </w:r>
    </w:p>
    <w:p/>
    <w:p>
      <w:pPr>
        <w:jc w:val="center"/>
      </w:pPr>
      <w:r>
        <w:rPr>
          <w:b/>
          <w:color w:val="252320"/>
          <w:sz w:val="92"/>
        </w:rPr>
        <w:t>BIK SOLUTIONS</w:t>
      </w:r>
    </w:p>
    <w:p>
      <w:pPr>
        <w:jc w:val="center"/>
      </w:pPr>
      <w:r>
        <w:rPr>
          <w:i/>
          <w:color w:val="3A3835"/>
          <w:sz w:val="36"/>
        </w:rPr>
        <w:t>The AI Operating System for Australian Construction</w:t>
      </w:r>
    </w:p>
    <w:p/>
    <w:p>
      <w:pPr>
        <w:jc w:val="center"/>
      </w:pPr>
      <w:r>
        <w:rPr>
          <w:b/>
          <w:color w:val="D85A30"/>
          <w:sz w:val="28"/>
        </w:rPr>
        <w:t>STRATEGIC BLUEPRINT &amp; INVESTMENT MEMORANDUM</w:t>
      </w:r>
    </w:p>
    <w:p>
      <w:pPr>
        <w:jc w:val="center"/>
      </w:pPr>
      <w:r>
        <w:rPr>
          <w:color w:val="888780"/>
          <w:sz w:val="21"/>
        </w:rPr>
        <w:t>Executive Memorandum · Business Case · Strategic &amp; Product Plan · Go-To-Market ·</w:t>
        <w:br/>
        <w:t>Commercial &amp; Financial Model · Competitor Analysis · Enterprise &amp; Acquisition Strategy ·</w:t>
        <w:br/>
        <w:t>Five-Year Roadmap · Risk Register · Board Papers · Appendices</w:t>
      </w:r>
    </w:p>
    <w:p/>
    <w:p/>
    <w:p/>
    <w:tbl>
      <w:tblPr>
        <w:tblStyle w:val="TableGrid"/>
        <w:tblW w:type="auto" w:w="0"/>
        <w:jc w:val="center"/>
        <w:tblLook w:firstColumn="1" w:firstRow="1" w:lastColumn="0" w:lastRow="0" w:noHBand="0" w:noVBand="1" w:val="04A0"/>
      </w:tblPr>
      <w:tblGrid>
        <w:gridCol w:w="4479"/>
        <w:gridCol w:w="4479"/>
      </w:tblGrid>
      <w:tr>
        <w:trPr>
          <w:cantSplit/>
        </w:trPr>
        <w:tc>
          <w:tcPr>
            <w:tcW w:type="dxa" w:w="2304"/>
            <w:shd w:val="clear" w:color="auto" w:fill="FFFFFF"/>
            <w:tcBorders>
              <w:top w:val="none"/>
              <w:left w:val="none"/>
              <w:bottom w:val="none"/>
              <w:right w:val="none"/>
            </w:tcBorders>
          </w:tcPr>
          <w:p>
            <w:pPr>
              <w:spacing w:after="40"/>
            </w:pPr>
            <w:r/>
            <w:r>
              <w:rPr>
                <w:b/>
                <w:color w:val="252320"/>
                <w:sz w:val="19"/>
              </w:rPr>
              <w:t>Prepared for</w:t>
            </w:r>
          </w:p>
        </w:tc>
        <w:tc>
          <w:tcPr>
            <w:tcW w:type="dxa" w:w="4896"/>
            <w:shd w:val="clear" w:color="auto" w:fill="FFFFFF"/>
            <w:tcBorders>
              <w:top w:val="none"/>
              <w:left w:val="none"/>
              <w:bottom w:val="none"/>
              <w:right w:val="none"/>
            </w:tcBorders>
          </w:tcPr>
          <w:p>
            <w:r/>
            <w:r>
              <w:rPr>
                <w:color w:val="3A3835"/>
                <w:sz w:val="19"/>
              </w:rPr>
              <w:t>Board of Directors, Prospective Investors, Strategic &amp; Banking Partners</w:t>
            </w:r>
          </w:p>
        </w:tc>
      </w:tr>
      <w:tr>
        <w:trPr>
          <w:cantSplit/>
        </w:trPr>
        <w:tc>
          <w:tcPr>
            <w:tcW w:type="dxa" w:w="2304"/>
            <w:shd w:val="clear" w:color="auto" w:fill="FFFFFF"/>
            <w:tcBorders>
              <w:top w:val="none"/>
              <w:left w:val="none"/>
              <w:bottom w:val="none"/>
              <w:right w:val="none"/>
            </w:tcBorders>
          </w:tcPr>
          <w:p>
            <w:pPr>
              <w:spacing w:after="40"/>
            </w:pPr>
            <w:r/>
            <w:r>
              <w:rPr>
                <w:b/>
                <w:color w:val="252320"/>
                <w:sz w:val="19"/>
              </w:rPr>
              <w:t>Prepared by</w:t>
            </w:r>
          </w:p>
        </w:tc>
        <w:tc>
          <w:tcPr>
            <w:tcW w:type="dxa" w:w="4896"/>
            <w:shd w:val="clear" w:color="auto" w:fill="FFFFFF"/>
            <w:tcBorders>
              <w:top w:val="none"/>
              <w:left w:val="none"/>
              <w:bottom w:val="none"/>
              <w:right w:val="none"/>
            </w:tcBorders>
          </w:tcPr>
          <w:p>
            <w:r/>
            <w:r>
              <w:rPr>
                <w:color w:val="3A3835"/>
                <w:sz w:val="19"/>
              </w:rPr>
              <w:t>BIK Solutions Pty Ltd</w:t>
            </w:r>
          </w:p>
        </w:tc>
      </w:tr>
      <w:tr>
        <w:trPr>
          <w:cantSplit/>
        </w:trPr>
        <w:tc>
          <w:tcPr>
            <w:tcW w:type="dxa" w:w="2304"/>
            <w:shd w:val="clear" w:color="auto" w:fill="FFFFFF"/>
            <w:tcBorders>
              <w:top w:val="none"/>
              <w:left w:val="none"/>
              <w:bottom w:val="none"/>
              <w:right w:val="none"/>
            </w:tcBorders>
          </w:tcPr>
          <w:p>
            <w:pPr>
              <w:spacing w:after="40"/>
            </w:pPr>
            <w:r/>
            <w:r>
              <w:rPr>
                <w:b/>
                <w:color w:val="252320"/>
                <w:sz w:val="19"/>
              </w:rPr>
              <w:t>Classification</w:t>
            </w:r>
          </w:p>
        </w:tc>
        <w:tc>
          <w:tcPr>
            <w:tcW w:type="dxa" w:w="4896"/>
            <w:shd w:val="clear" w:color="auto" w:fill="FFFFFF"/>
            <w:tcBorders>
              <w:top w:val="none"/>
              <w:left w:val="none"/>
              <w:bottom w:val="none"/>
              <w:right w:val="none"/>
            </w:tcBorders>
          </w:tcPr>
          <w:p>
            <w:r/>
            <w:r>
              <w:rPr>
                <w:color w:val="3A3835"/>
                <w:sz w:val="19"/>
              </w:rPr>
              <w:t>Confidential — Not for Distribution</w:t>
            </w:r>
          </w:p>
        </w:tc>
      </w:tr>
      <w:tr>
        <w:trPr>
          <w:cantSplit/>
        </w:trPr>
        <w:tc>
          <w:tcPr>
            <w:tcW w:type="dxa" w:w="2304"/>
            <w:shd w:val="clear" w:color="auto" w:fill="FFFFFF"/>
            <w:tcBorders>
              <w:top w:val="none"/>
              <w:left w:val="none"/>
              <w:bottom w:val="none"/>
              <w:right w:val="none"/>
            </w:tcBorders>
          </w:tcPr>
          <w:p>
            <w:pPr>
              <w:spacing w:after="40"/>
            </w:pPr>
            <w:r/>
            <w:r>
              <w:rPr>
                <w:b/>
                <w:color w:val="252320"/>
                <w:sz w:val="19"/>
              </w:rPr>
              <w:t>Version</w:t>
            </w:r>
          </w:p>
        </w:tc>
        <w:tc>
          <w:tcPr>
            <w:tcW w:type="dxa" w:w="4896"/>
            <w:shd w:val="clear" w:color="auto" w:fill="FFFFFF"/>
            <w:tcBorders>
              <w:top w:val="none"/>
              <w:left w:val="none"/>
              <w:bottom w:val="none"/>
              <w:right w:val="none"/>
            </w:tcBorders>
          </w:tcPr>
          <w:p>
            <w:r/>
            <w:r>
              <w:rPr>
                <w:color w:val="3A3835"/>
                <w:sz w:val="19"/>
              </w:rPr>
              <w:t>1.0 — Board Draft</w:t>
            </w:r>
          </w:p>
        </w:tc>
      </w:tr>
      <w:tr>
        <w:trPr>
          <w:cantSplit/>
        </w:trPr>
        <w:tc>
          <w:tcPr>
            <w:tcW w:type="dxa" w:w="2304"/>
            <w:shd w:val="clear" w:color="auto" w:fill="FFFFFF"/>
            <w:tcBorders>
              <w:top w:val="none"/>
              <w:left w:val="none"/>
              <w:bottom w:val="none"/>
              <w:right w:val="none"/>
            </w:tcBorders>
          </w:tcPr>
          <w:p>
            <w:pPr>
              <w:spacing w:after="40"/>
            </w:pPr>
            <w:r/>
            <w:r>
              <w:rPr>
                <w:b/>
                <w:color w:val="252320"/>
                <w:sz w:val="19"/>
              </w:rPr>
              <w:t>Date</w:t>
            </w:r>
          </w:p>
        </w:tc>
        <w:tc>
          <w:tcPr>
            <w:tcW w:type="dxa" w:w="4896"/>
            <w:shd w:val="clear" w:color="auto" w:fill="FFFFFF"/>
            <w:tcBorders>
              <w:top w:val="none"/>
              <w:left w:val="none"/>
              <w:bottom w:val="none"/>
              <w:right w:val="none"/>
            </w:tcBorders>
          </w:tcPr>
          <w:p>
            <w:r/>
            <w:r>
              <w:rPr>
                <w:color w:val="3A3835"/>
                <w:sz w:val="19"/>
              </w:rPr>
              <w:t>16 July 2026</w:t>
            </w:r>
          </w:p>
        </w:tc>
      </w:tr>
    </w:tbl>
    <w:p>
      <w:r>
        <w:br w:type="page"/>
      </w:r>
    </w:p>
    <w:p>
      <w:pPr>
        <w:pStyle w:val="BIKH1"/>
      </w:pPr>
      <w:r>
        <w:t>Confidentiality &amp; Disclaimer</w:t>
      </w:r>
    </w:p>
    <w:p>
      <w:pPr>
        <w:pStyle w:val="BIKBody"/>
        <w:jc w:val="both"/>
      </w:pPr>
      <w:r>
        <w:t>This document has been prepared by BIK Solutions Pty Ltd (“BIK”, “the Company”) solely for the confidential use of the addressee. It is intended to support Board decision-making, prospective venture and strategic investment discussions, government grant assessment, and banking partner due diligence. It is not, and must not be construed as, an offer to sell or a solicitation of an offer to buy any security, and it does not constitute financial product advice.</w:t>
      </w:r>
    </w:p>
    <w:p>
      <w:pPr>
        <w:pStyle w:val="BIKBody"/>
        <w:jc w:val="both"/>
      </w:pPr>
      <w:r>
        <w:t>Forward-looking statements in this document — including market sizing, financial projections, growth scenarios, valuation ranges and acquisition scenarios — are illustrative and based on assumptions disclosed throughout the document. Actual results may differ materially. Recipients should conduct their own independent due diligence and obtain professional financial, legal and tax advice before making any investment, credit, or transactional decision in reliance on this document.</w:t>
      </w:r>
    </w:p>
    <w:p>
      <w:pPr>
        <w:pStyle w:val="BIKBody"/>
        <w:jc w:val="both"/>
      </w:pPr>
      <w:r>
        <w:t>This document contains proprietary and commercially sensitive information about BIK Solutions Pty Ltd. It must not be reproduced, distributed, or disclosed, in whole or in part, to any third party without the prior written consent of BIK Solutions Pty Ltd.</w:t>
      </w:r>
    </w:p>
    <w:p>
      <w:pPr>
        <w:pStyle w:val="BIKH2"/>
      </w:pPr>
      <w:r>
        <w:t>DOCUMENT CONTROL</w:t>
      </w:r>
    </w:p>
    <w:tbl>
      <w:tblPr>
        <w:tblStyle w:val="TableGrid"/>
        <w:tblW w:type="auto" w:w="0"/>
        <w:tblLayout w:type="fixed"/>
        <w:tblLook w:firstColumn="1" w:firstRow="1" w:lastColumn="0" w:lastRow="0" w:noHBand="0" w:noVBand="1" w:val="04A0"/>
      </w:tblPr>
      <w:tblGrid>
        <w:gridCol w:w="4479"/>
        <w:gridCol w:w="4479"/>
      </w:tblGrid>
      <w:tr>
        <w:tc>
          <w:tcPr>
            <w:tcW w:type="dxa" w:w="5184"/>
            <w:shd w:val="clear" w:color="auto" w:fill="252320"/>
            <w:tcMar>
              <w:top w:w="60" w:type="dxa"/>
              <w:bottom w:w="60" w:type="dxa"/>
              <w:left w:w="100" w:type="dxa"/>
              <w:right w:w="100" w:type="dxa"/>
            </w:tcMar>
            <w:vAlign w:val="center"/>
          </w:tcPr>
          <w:p>
            <w:r/>
            <w:r>
              <w:rPr>
                <w:b/>
                <w:color w:val="FFFFFF"/>
                <w:sz w:val="18"/>
              </w:rPr>
              <w:t>Field</w:t>
            </w:r>
          </w:p>
        </w:tc>
        <w:tc>
          <w:tcPr>
            <w:tcW w:type="dxa" w:w="14256"/>
            <w:shd w:val="clear" w:color="auto" w:fill="252320"/>
            <w:tcMar>
              <w:top w:w="60" w:type="dxa"/>
              <w:bottom w:w="60" w:type="dxa"/>
              <w:left w:w="100" w:type="dxa"/>
              <w:right w:w="100" w:type="dxa"/>
            </w:tcMar>
            <w:vAlign w:val="center"/>
          </w:tcPr>
          <w:p>
            <w:r/>
            <w:r>
              <w:rPr>
                <w:b/>
                <w:color w:val="FFFFFF"/>
                <w:sz w:val="18"/>
              </w:rPr>
              <w:t>Detail</w:t>
            </w:r>
          </w:p>
        </w:tc>
      </w:tr>
      <w:tr>
        <w:tc>
          <w:tcPr>
            <w:tcW w:type="dxa" w:w="5184"/>
            <w:tcMar>
              <w:top w:w="60" w:type="dxa"/>
              <w:bottom w:w="60" w:type="dxa"/>
              <w:left w:w="100" w:type="dxa"/>
              <w:right w:w="100" w:type="dxa"/>
            </w:tcMar>
            <w:vAlign w:val="center"/>
          </w:tcPr>
          <w:p>
            <w:r/>
            <w:r>
              <w:rPr>
                <w:color w:val="3A3835"/>
                <w:sz w:val="18"/>
              </w:rPr>
              <w:t>Document title</w:t>
            </w:r>
          </w:p>
        </w:tc>
        <w:tc>
          <w:tcPr>
            <w:tcW w:type="dxa" w:w="14256"/>
            <w:tcMar>
              <w:top w:w="60" w:type="dxa"/>
              <w:bottom w:w="60" w:type="dxa"/>
              <w:left w:w="100" w:type="dxa"/>
              <w:right w:w="100" w:type="dxa"/>
            </w:tcMar>
            <w:vAlign w:val="center"/>
          </w:tcPr>
          <w:p>
            <w:r/>
            <w:r>
              <w:rPr>
                <w:color w:val="3A3835"/>
                <w:sz w:val="18"/>
              </w:rPr>
              <w:t>BIK Solutions — Strategic Blueprint &amp; Investment Memorandum</w:t>
            </w:r>
          </w:p>
        </w:tc>
      </w:tr>
      <w:tr>
        <w:tc>
          <w:tcPr>
            <w:tcW w:type="dxa" w:w="5184"/>
            <w:tcMar>
              <w:top w:w="60" w:type="dxa"/>
              <w:bottom w:w="60" w:type="dxa"/>
              <w:left w:w="100" w:type="dxa"/>
              <w:right w:w="100" w:type="dxa"/>
            </w:tcMar>
            <w:vAlign w:val="center"/>
            <w:shd w:val="clear" w:color="auto" w:fill="F2EFEA"/>
          </w:tcPr>
          <w:p>
            <w:r/>
            <w:r>
              <w:rPr>
                <w:color w:val="3A3835"/>
                <w:sz w:val="18"/>
              </w:rPr>
              <w:t>Version</w:t>
            </w:r>
          </w:p>
        </w:tc>
        <w:tc>
          <w:tcPr>
            <w:tcW w:type="dxa" w:w="14256"/>
            <w:tcMar>
              <w:top w:w="60" w:type="dxa"/>
              <w:bottom w:w="60" w:type="dxa"/>
              <w:left w:w="100" w:type="dxa"/>
              <w:right w:w="100" w:type="dxa"/>
            </w:tcMar>
            <w:vAlign w:val="center"/>
            <w:shd w:val="clear" w:color="auto" w:fill="F2EFEA"/>
          </w:tcPr>
          <w:p>
            <w:r/>
            <w:r>
              <w:rPr>
                <w:color w:val="3A3835"/>
                <w:sz w:val="18"/>
              </w:rPr>
              <w:t>1.0 — Board Draft</w:t>
            </w:r>
          </w:p>
        </w:tc>
      </w:tr>
      <w:tr>
        <w:tc>
          <w:tcPr>
            <w:tcW w:type="dxa" w:w="5184"/>
            <w:tcMar>
              <w:top w:w="60" w:type="dxa"/>
              <w:bottom w:w="60" w:type="dxa"/>
              <w:left w:w="100" w:type="dxa"/>
              <w:right w:w="100" w:type="dxa"/>
            </w:tcMar>
            <w:vAlign w:val="center"/>
          </w:tcPr>
          <w:p>
            <w:r/>
            <w:r>
              <w:rPr>
                <w:color w:val="3A3835"/>
                <w:sz w:val="18"/>
              </w:rPr>
              <w:t>Status</w:t>
            </w:r>
          </w:p>
        </w:tc>
        <w:tc>
          <w:tcPr>
            <w:tcW w:type="dxa" w:w="14256"/>
            <w:tcMar>
              <w:top w:w="60" w:type="dxa"/>
              <w:bottom w:w="60" w:type="dxa"/>
              <w:left w:w="100" w:type="dxa"/>
              <w:right w:w="100" w:type="dxa"/>
            </w:tcMar>
            <w:vAlign w:val="center"/>
          </w:tcPr>
          <w:p>
            <w:r/>
            <w:r>
              <w:rPr>
                <w:color w:val="3A3835"/>
                <w:sz w:val="18"/>
              </w:rPr>
              <w:t>Final for Board circulation</w:t>
            </w:r>
          </w:p>
        </w:tc>
      </w:tr>
      <w:tr>
        <w:tc>
          <w:tcPr>
            <w:tcW w:type="dxa" w:w="5184"/>
            <w:tcMar>
              <w:top w:w="60" w:type="dxa"/>
              <w:bottom w:w="60" w:type="dxa"/>
              <w:left w:w="100" w:type="dxa"/>
              <w:right w:w="100" w:type="dxa"/>
            </w:tcMar>
            <w:vAlign w:val="center"/>
            <w:shd w:val="clear" w:color="auto" w:fill="F2EFEA"/>
          </w:tcPr>
          <w:p>
            <w:r/>
            <w:r>
              <w:rPr>
                <w:color w:val="3A3835"/>
                <w:sz w:val="18"/>
              </w:rPr>
              <w:t>Classification</w:t>
            </w:r>
          </w:p>
        </w:tc>
        <w:tc>
          <w:tcPr>
            <w:tcW w:type="dxa" w:w="14256"/>
            <w:tcMar>
              <w:top w:w="60" w:type="dxa"/>
              <w:bottom w:w="60" w:type="dxa"/>
              <w:left w:w="100" w:type="dxa"/>
              <w:right w:w="100" w:type="dxa"/>
            </w:tcMar>
            <w:vAlign w:val="center"/>
            <w:shd w:val="clear" w:color="auto" w:fill="F2EFEA"/>
          </w:tcPr>
          <w:p>
            <w:r/>
            <w:r>
              <w:rPr>
                <w:color w:val="3A3835"/>
                <w:sz w:val="18"/>
              </w:rPr>
              <w:t>Confidential</w:t>
            </w:r>
          </w:p>
        </w:tc>
      </w:tr>
      <w:tr>
        <w:tc>
          <w:tcPr>
            <w:tcW w:type="dxa" w:w="5184"/>
            <w:tcMar>
              <w:top w:w="60" w:type="dxa"/>
              <w:bottom w:w="60" w:type="dxa"/>
              <w:left w:w="100" w:type="dxa"/>
              <w:right w:w="100" w:type="dxa"/>
            </w:tcMar>
            <w:vAlign w:val="center"/>
          </w:tcPr>
          <w:p>
            <w:r/>
            <w:r>
              <w:rPr>
                <w:color w:val="3A3835"/>
                <w:sz w:val="18"/>
              </w:rPr>
              <w:t>Date prepared</w:t>
            </w:r>
          </w:p>
        </w:tc>
        <w:tc>
          <w:tcPr>
            <w:tcW w:type="dxa" w:w="14256"/>
            <w:tcMar>
              <w:top w:w="60" w:type="dxa"/>
              <w:bottom w:w="60" w:type="dxa"/>
              <w:left w:w="100" w:type="dxa"/>
              <w:right w:w="100" w:type="dxa"/>
            </w:tcMar>
            <w:vAlign w:val="center"/>
          </w:tcPr>
          <w:p>
            <w:r/>
            <w:r>
              <w:rPr>
                <w:color w:val="3A3835"/>
                <w:sz w:val="18"/>
              </w:rPr>
              <w:t>16 July 2026</w:t>
            </w:r>
          </w:p>
        </w:tc>
      </w:tr>
      <w:tr>
        <w:tc>
          <w:tcPr>
            <w:tcW w:type="dxa" w:w="5184"/>
            <w:tcMar>
              <w:top w:w="60" w:type="dxa"/>
              <w:bottom w:w="60" w:type="dxa"/>
              <w:left w:w="100" w:type="dxa"/>
              <w:right w:w="100" w:type="dxa"/>
            </w:tcMar>
            <w:vAlign w:val="center"/>
            <w:shd w:val="clear" w:color="auto" w:fill="F2EFEA"/>
          </w:tcPr>
          <w:p>
            <w:r/>
            <w:r>
              <w:rPr>
                <w:color w:val="3A3835"/>
                <w:sz w:val="18"/>
              </w:rPr>
              <w:t>Prepared by</w:t>
            </w:r>
          </w:p>
        </w:tc>
        <w:tc>
          <w:tcPr>
            <w:tcW w:type="dxa" w:w="14256"/>
            <w:tcMar>
              <w:top w:w="60" w:type="dxa"/>
              <w:bottom w:w="60" w:type="dxa"/>
              <w:left w:w="100" w:type="dxa"/>
              <w:right w:w="100" w:type="dxa"/>
            </w:tcMar>
            <w:vAlign w:val="center"/>
            <w:shd w:val="clear" w:color="auto" w:fill="F2EFEA"/>
          </w:tcPr>
          <w:p>
            <w:r/>
            <w:r>
              <w:rPr>
                <w:color w:val="3A3835"/>
                <w:sz w:val="18"/>
              </w:rPr>
              <w:t>BIK Solutions Pty Ltd — Office of the Founder</w:t>
            </w:r>
          </w:p>
        </w:tc>
      </w:tr>
      <w:tr>
        <w:tc>
          <w:tcPr>
            <w:tcW w:type="dxa" w:w="5184"/>
            <w:tcMar>
              <w:top w:w="60" w:type="dxa"/>
              <w:bottom w:w="60" w:type="dxa"/>
              <w:left w:w="100" w:type="dxa"/>
              <w:right w:w="100" w:type="dxa"/>
            </w:tcMar>
            <w:vAlign w:val="center"/>
          </w:tcPr>
          <w:p>
            <w:r/>
            <w:r>
              <w:rPr>
                <w:color w:val="3A3835"/>
                <w:sz w:val="18"/>
              </w:rPr>
              <w:t>Review cycle</w:t>
            </w:r>
          </w:p>
        </w:tc>
        <w:tc>
          <w:tcPr>
            <w:tcW w:type="dxa" w:w="14256"/>
            <w:tcMar>
              <w:top w:w="60" w:type="dxa"/>
              <w:bottom w:w="60" w:type="dxa"/>
              <w:left w:w="100" w:type="dxa"/>
              <w:right w:w="100" w:type="dxa"/>
            </w:tcMar>
            <w:vAlign w:val="center"/>
          </w:tcPr>
          <w:p>
            <w:r/>
            <w:r>
              <w:rPr>
                <w:color w:val="3A3835"/>
                <w:sz w:val="18"/>
              </w:rPr>
              <w:t>Reviewed quarterly; refreshed at each institutional raise or acquisition process</w:t>
            </w:r>
          </w:p>
        </w:tc>
      </w:tr>
      <w:tr>
        <w:tc>
          <w:tcPr>
            <w:tcW w:type="dxa" w:w="5184"/>
            <w:tcMar>
              <w:top w:w="60" w:type="dxa"/>
              <w:bottom w:w="60" w:type="dxa"/>
              <w:left w:w="100" w:type="dxa"/>
              <w:right w:w="100" w:type="dxa"/>
            </w:tcMar>
            <w:vAlign w:val="center"/>
            <w:shd w:val="clear" w:color="auto" w:fill="F2EFEA"/>
          </w:tcPr>
          <w:p>
            <w:r/>
            <w:r>
              <w:rPr>
                <w:color w:val="3A3835"/>
                <w:sz w:val="18"/>
              </w:rPr>
              <w:t>Related documents</w:t>
            </w:r>
          </w:p>
        </w:tc>
        <w:tc>
          <w:tcPr>
            <w:tcW w:type="dxa" w:w="14256"/>
            <w:tcMar>
              <w:top w:w="60" w:type="dxa"/>
              <w:bottom w:w="60" w:type="dxa"/>
              <w:left w:w="100" w:type="dxa"/>
              <w:right w:w="100" w:type="dxa"/>
            </w:tcMar>
            <w:vAlign w:val="center"/>
            <w:shd w:val="clear" w:color="auto" w:fill="F2EFEA"/>
          </w:tcPr>
          <w:p>
            <w:r/>
            <w:r>
              <w:rPr>
                <w:color w:val="3A3835"/>
                <w:sz w:val="18"/>
              </w:rPr>
              <w:t>docs/business-strategy.md · docs/product-roadmap.md · docs/pricing-strategy.md · docs/ai-tool-catalogue.md · docs/technical-architecture.md · docs/legal-and-safety-tool-register.md (BIK Solutions internal repository)</w:t>
            </w:r>
          </w:p>
        </w:tc>
      </w:tr>
    </w:tbl>
    <w:p>
      <w:pPr>
        <w:spacing w:after="120"/>
      </w:pPr>
    </w:p>
    <w:p>
      <w:r>
        <w:br w:type="page"/>
      </w:r>
    </w:p>
    <w:p>
      <w:pPr>
        <w:pStyle w:val="BIKH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
    <w:p/>
    <w:p/>
    <w:p/>
    <w:p/>
    <w:p>
      <w:pPr>
        <w:jc w:val="center"/>
      </w:pPr>
      <w:r>
        <w:rPr>
          <w:b/>
          <w:color w:val="D85A30"/>
          <w:sz w:val="26"/>
        </w:rPr>
        <w:t>PART A — THE OPPORTUNITY</w:t>
      </w:r>
    </w:p>
    <w:p>
      <w:pPr>
        <w:jc w:val="center"/>
      </w:pPr>
      <w:r>
        <w:rPr>
          <w:b/>
          <w:color w:val="252320"/>
          <w:sz w:val="60"/>
        </w:rPr>
        <w:t>Executive Investment Memorandum &amp; Business Case</w:t>
      </w:r>
    </w:p>
    <w:p>
      <w:pPr>
        <w:jc w:val="center"/>
      </w:pPr>
      <w:r>
        <w:rPr>
          <w:i/>
          <w:color w:val="888780"/>
          <w:sz w:val="23"/>
        </w:rPr>
        <w:t>What BIK Solutions is, why it exists, and why now is the moment to back it</w:t>
      </w:r>
    </w:p>
    <w:p>
      <w:r>
        <w:br w:type="page"/>
      </w:r>
    </w:p>
    <w:p>
      <w:pPr>
        <w:pStyle w:val="BIKChapterLabel"/>
      </w:pPr>
      <w:r>
        <w:t>PART A — THE OPPORTUNITY</w:t>
      </w:r>
    </w:p>
    <w:p>
      <w:pPr>
        <w:pStyle w:val="BIKChapterTitle"/>
        <w:pBdr>
          <w:bottom w:val="single" w:sz="18" w:space="8" w:color="D85A30"/>
        </w:pBdr>
      </w:pPr>
      <w:r>
        <w:t>01   Executive Investment Memorandum</w:t>
      </w:r>
    </w:p>
    <w:p>
      <w:pPr>
        <w:pStyle w:val="BIKH1"/>
      </w:pPr>
      <w:r>
        <w:t>The One-Paragraph Version</w:t>
      </w:r>
    </w:p>
    <w:p>
      <w:pPr>
        <w:pStyle w:val="BIKBody"/>
        <w:jc w:val="both"/>
      </w:pPr>
      <w:r>
        <w:t>BIK Solutions is building the AI operating system for Australian construction administration — the layer of quotes, scopes, variations, safety documents, progress claims and compliance records that every trade business must produce but almost none produce well. The company began as a premium trades services business operating across South East Queensland and is evolving into a two-unit structure: a cash-generative services business and a venture-scale AI SaaS platform, the BIK Business Toolkit. The platform is live in beta, grounded in a 62-tool catalogue mapped across four delivery phases, and governed from day one by a strict rule that has no equivalent at any incumbent competitor: the AI may edit, restructure and strengthen a builder's own words, but it may never invent a fact, figure, date or claim. That rule is not a compliance afterthought — it is the foundation of the trust the category needs before it can scale.</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INVESTMENT THESIS IN ONE LINE</w:t>
            </w:r>
          </w:p>
          <w:p>
            <w:r>
              <w:rPr>
                <w:color w:val="FFFFFF"/>
                <w:sz w:val="20"/>
              </w:rPr>
              <w:t>Australian construction is a $360B+ GDP contributor that runs on paper, Word documents and text threads. BIK is the first AI-native, Australian-specific operating system built for it — founded by operators who have lived the problem, not outsiders reverse-engineering it from a demo.</w:t>
            </w:r>
          </w:p>
        </w:tc>
      </w:tr>
    </w:tbl>
    <w:p>
      <w:pPr>
        <w:spacing w:after="80"/>
      </w:pPr>
    </w:p>
    <w:p>
      <w:pPr>
        <w:pStyle w:val="BIKH1"/>
      </w:pPr>
      <w:r>
        <w:t>What We Are Asking For</w:t>
      </w:r>
    </w:p>
    <w:p>
      <w:pPr>
        <w:pStyle w:val="BIKBody"/>
        <w:jc w:val="both"/>
      </w:pPr>
      <w:r>
        <w:t>This memorandum is written for four audiences simultaneously — the BIK Solutions Board, prospective venture and strategic investors, a government grant assessor, and a banking or finance partner — because the underlying facts and strategy are identical for all four. What differs is the ask:</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Audience</w:t>
            </w:r>
          </w:p>
        </w:tc>
        <w:tc>
          <w:tcPr>
            <w:tcW w:type="dxa" w:w="2986"/>
            <w:shd w:val="clear" w:color="auto" w:fill="252320"/>
            <w:tcMar>
              <w:top w:w="60" w:type="dxa"/>
              <w:bottom w:w="60" w:type="dxa"/>
              <w:left w:w="100" w:type="dxa"/>
              <w:right w:w="100" w:type="dxa"/>
            </w:tcMar>
            <w:vAlign w:val="center"/>
          </w:tcPr>
          <w:p>
            <w:r/>
            <w:r>
              <w:rPr>
                <w:b/>
                <w:color w:val="FFFFFF"/>
                <w:sz w:val="18"/>
              </w:rPr>
              <w:t>What this document asks of you</w:t>
            </w:r>
          </w:p>
        </w:tc>
        <w:tc>
          <w:tcPr>
            <w:tcW w:type="dxa" w:w="2986"/>
            <w:shd w:val="clear" w:color="auto" w:fill="252320"/>
            <w:tcMar>
              <w:top w:w="60" w:type="dxa"/>
              <w:bottom w:w="60" w:type="dxa"/>
              <w:left w:w="100" w:type="dxa"/>
              <w:right w:w="100" w:type="dxa"/>
            </w:tcMar>
            <w:vAlign w:val="center"/>
          </w:tcPr>
          <w:p>
            <w:r/>
            <w:r>
              <w:rPr>
                <w:b/>
                <w:color w:val="FFFFFF"/>
                <w:sz w:val="18"/>
              </w:rPr>
              <w:t>Primary sections</w:t>
            </w:r>
          </w:p>
        </w:tc>
      </w:tr>
      <w:tr>
        <w:tc>
          <w:tcPr>
            <w:tcW w:type="dxa" w:w="2986"/>
            <w:tcMar>
              <w:top w:w="60" w:type="dxa"/>
              <w:bottom w:w="60" w:type="dxa"/>
              <w:left w:w="100" w:type="dxa"/>
              <w:right w:w="100" w:type="dxa"/>
            </w:tcMar>
            <w:vAlign w:val="center"/>
          </w:tcPr>
          <w:p>
            <w:r/>
            <w:r>
              <w:rPr>
                <w:color w:val="3A3835"/>
                <w:sz w:val="18"/>
              </w:rPr>
              <w:t>Board of Directors</w:t>
            </w:r>
          </w:p>
        </w:tc>
        <w:tc>
          <w:tcPr>
            <w:tcW w:type="dxa" w:w="2986"/>
            <w:tcMar>
              <w:top w:w="60" w:type="dxa"/>
              <w:bottom w:w="60" w:type="dxa"/>
              <w:left w:w="100" w:type="dxa"/>
              <w:right w:w="100" w:type="dxa"/>
            </w:tcMar>
            <w:vAlign w:val="center"/>
          </w:tcPr>
          <w:p>
            <w:r/>
            <w:r>
              <w:rPr>
                <w:color w:val="3A3835"/>
                <w:sz w:val="18"/>
              </w:rPr>
              <w:t>Approve the Phase 2 platform investment, the funding pathway (bootstrap vs raise), and the governance framework in Chapters 26–28.</w:t>
            </w:r>
          </w:p>
        </w:tc>
        <w:tc>
          <w:tcPr>
            <w:tcW w:type="dxa" w:w="2986"/>
            <w:tcMar>
              <w:top w:w="60" w:type="dxa"/>
              <w:bottom w:w="60" w:type="dxa"/>
              <w:left w:w="100" w:type="dxa"/>
              <w:right w:w="100" w:type="dxa"/>
            </w:tcMar>
            <w:vAlign w:val="center"/>
          </w:tcPr>
          <w:p>
            <w:r/>
            <w:r>
              <w:rPr>
                <w:color w:val="3A3835"/>
                <w:sz w:val="18"/>
              </w:rPr>
              <w:t>Ch. 8, 19–21, 26–29</w:t>
            </w:r>
          </w:p>
        </w:tc>
      </w:tr>
      <w:tr>
        <w:tc>
          <w:tcPr>
            <w:tcW w:type="dxa" w:w="2986"/>
            <w:tcMar>
              <w:top w:w="60" w:type="dxa"/>
              <w:bottom w:w="60" w:type="dxa"/>
              <w:left w:w="100" w:type="dxa"/>
              <w:right w:w="100" w:type="dxa"/>
            </w:tcMar>
            <w:vAlign w:val="center"/>
            <w:shd w:val="clear" w:color="auto" w:fill="F2EFEA"/>
          </w:tcPr>
          <w:p>
            <w:r/>
            <w:r>
              <w:rPr>
                <w:color w:val="3A3835"/>
                <w:sz w:val="18"/>
              </w:rPr>
              <w:t>Venture investor</w:t>
            </w:r>
          </w:p>
        </w:tc>
        <w:tc>
          <w:tcPr>
            <w:tcW w:type="dxa" w:w="2986"/>
            <w:tcMar>
              <w:top w:w="60" w:type="dxa"/>
              <w:bottom w:w="60" w:type="dxa"/>
              <w:left w:w="100" w:type="dxa"/>
              <w:right w:w="100" w:type="dxa"/>
            </w:tcMar>
            <w:vAlign w:val="center"/>
            <w:shd w:val="clear" w:color="auto" w:fill="F2EFEA"/>
          </w:tcPr>
          <w:p>
            <w:r/>
            <w:r>
              <w:rPr>
                <w:color w:val="3A3835"/>
                <w:sz w:val="18"/>
              </w:rPr>
              <w:t>Evaluate BIK as a seed / Series A vertical AI SaaS opportunity with a credible path to $50K–$200K+ MRR and multiple acquisition pathways.</w:t>
            </w:r>
          </w:p>
        </w:tc>
        <w:tc>
          <w:tcPr>
            <w:tcW w:type="dxa" w:w="2986"/>
            <w:tcMar>
              <w:top w:w="60" w:type="dxa"/>
              <w:bottom w:w="60" w:type="dxa"/>
              <w:left w:w="100" w:type="dxa"/>
              <w:right w:w="100" w:type="dxa"/>
            </w:tcMar>
            <w:vAlign w:val="center"/>
            <w:shd w:val="clear" w:color="auto" w:fill="F2EFEA"/>
          </w:tcPr>
          <w:p>
            <w:r/>
            <w:r>
              <w:rPr>
                <w:color w:val="3A3835"/>
                <w:sz w:val="18"/>
              </w:rPr>
              <w:t>Ch. 1–3, 16–21, 24–25</w:t>
            </w:r>
          </w:p>
        </w:tc>
      </w:tr>
      <w:tr>
        <w:tc>
          <w:tcPr>
            <w:tcW w:type="dxa" w:w="2986"/>
            <w:tcMar>
              <w:top w:w="60" w:type="dxa"/>
              <w:bottom w:w="60" w:type="dxa"/>
              <w:left w:w="100" w:type="dxa"/>
              <w:right w:w="100" w:type="dxa"/>
            </w:tcMar>
            <w:vAlign w:val="center"/>
          </w:tcPr>
          <w:p>
            <w:r/>
            <w:r>
              <w:rPr>
                <w:color w:val="3A3835"/>
                <w:sz w:val="18"/>
              </w:rPr>
              <w:t>Strategic buyer</w:t>
            </w:r>
          </w:p>
        </w:tc>
        <w:tc>
          <w:tcPr>
            <w:tcW w:type="dxa" w:w="2986"/>
            <w:tcMar>
              <w:top w:w="60" w:type="dxa"/>
              <w:bottom w:w="60" w:type="dxa"/>
              <w:left w:w="100" w:type="dxa"/>
              <w:right w:w="100" w:type="dxa"/>
            </w:tcMar>
            <w:vAlign w:val="center"/>
          </w:tcPr>
          <w:p>
            <w:r/>
            <w:r>
              <w:rPr>
                <w:color w:val="3A3835"/>
                <w:sz w:val="18"/>
              </w:rPr>
              <w:t>Understand where BIK fits in the AU construction software stack, and the milestones that would trigger a partnership or acquisition conversation.</w:t>
            </w:r>
          </w:p>
        </w:tc>
        <w:tc>
          <w:tcPr>
            <w:tcW w:type="dxa" w:w="2986"/>
            <w:tcMar>
              <w:top w:w="60" w:type="dxa"/>
              <w:bottom w:w="60" w:type="dxa"/>
              <w:left w:w="100" w:type="dxa"/>
              <w:right w:w="100" w:type="dxa"/>
            </w:tcMar>
            <w:vAlign w:val="center"/>
          </w:tcPr>
          <w:p>
            <w:r/>
            <w:r>
              <w:rPr>
                <w:color w:val="3A3835"/>
                <w:sz w:val="18"/>
              </w:rPr>
              <w:t>Ch. 17, 22, 24–25</w:t>
            </w:r>
          </w:p>
        </w:tc>
      </w:tr>
      <w:tr>
        <w:tc>
          <w:tcPr>
            <w:tcW w:type="dxa" w:w="2986"/>
            <w:tcMar>
              <w:top w:w="60" w:type="dxa"/>
              <w:bottom w:w="60" w:type="dxa"/>
              <w:left w:w="100" w:type="dxa"/>
              <w:right w:w="100" w:type="dxa"/>
            </w:tcMar>
            <w:vAlign w:val="center"/>
            <w:shd w:val="clear" w:color="auto" w:fill="F2EFEA"/>
          </w:tcPr>
          <w:p>
            <w:r/>
            <w:r>
              <w:rPr>
                <w:color w:val="3A3835"/>
                <w:sz w:val="18"/>
              </w:rPr>
              <w:t>Government grant assessor</w:t>
            </w:r>
          </w:p>
        </w:tc>
        <w:tc>
          <w:tcPr>
            <w:tcW w:type="dxa" w:w="2986"/>
            <w:tcMar>
              <w:top w:w="60" w:type="dxa"/>
              <w:bottom w:w="60" w:type="dxa"/>
              <w:left w:w="100" w:type="dxa"/>
              <w:right w:w="100" w:type="dxa"/>
            </w:tcMar>
            <w:vAlign w:val="center"/>
            <w:shd w:val="clear" w:color="auto" w:fill="F2EFEA"/>
          </w:tcPr>
          <w:p>
            <w:r/>
            <w:r>
              <w:rPr>
                <w:color w:val="3A3835"/>
                <w:sz w:val="18"/>
              </w:rPr>
              <w:t>Assess eligibility against innovation, digitisation and export-readiness criteria for AU construction-sector productivity programmes.</w:t>
            </w:r>
          </w:p>
        </w:tc>
        <w:tc>
          <w:tcPr>
            <w:tcW w:type="dxa" w:w="2986"/>
            <w:tcMar>
              <w:top w:w="60" w:type="dxa"/>
              <w:bottom w:w="60" w:type="dxa"/>
              <w:left w:w="100" w:type="dxa"/>
              <w:right w:w="100" w:type="dxa"/>
            </w:tcMar>
            <w:vAlign w:val="center"/>
            <w:shd w:val="clear" w:color="auto" w:fill="F2EFEA"/>
          </w:tcPr>
          <w:p>
            <w:r/>
            <w:r>
              <w:rPr>
                <w:color w:val="3A3835"/>
                <w:sz w:val="18"/>
              </w:rPr>
              <w:t>Ch. 4–7, 12–14, 26–27</w:t>
            </w:r>
          </w:p>
        </w:tc>
      </w:tr>
      <w:tr>
        <w:tc>
          <w:tcPr>
            <w:tcW w:type="dxa" w:w="2986"/>
            <w:tcMar>
              <w:top w:w="60" w:type="dxa"/>
              <w:bottom w:w="60" w:type="dxa"/>
              <w:left w:w="100" w:type="dxa"/>
              <w:right w:w="100" w:type="dxa"/>
            </w:tcMar>
            <w:vAlign w:val="center"/>
          </w:tcPr>
          <w:p>
            <w:r/>
            <w:r>
              <w:rPr>
                <w:color w:val="3A3835"/>
                <w:sz w:val="18"/>
              </w:rPr>
              <w:t>Banking / finance partner</w:t>
            </w:r>
          </w:p>
        </w:tc>
        <w:tc>
          <w:tcPr>
            <w:tcW w:type="dxa" w:w="2986"/>
            <w:tcMar>
              <w:top w:w="60" w:type="dxa"/>
              <w:bottom w:w="60" w:type="dxa"/>
              <w:left w:w="100" w:type="dxa"/>
              <w:right w:w="100" w:type="dxa"/>
            </w:tcMar>
            <w:vAlign w:val="center"/>
          </w:tcPr>
          <w:p>
            <w:r/>
            <w:r>
              <w:rPr>
                <w:color w:val="3A3835"/>
                <w:sz w:val="18"/>
              </w:rPr>
              <w:t>Assess cash flow discipline, the two-unit structure (services funding platform R&amp;D), and facility requirements through scale-up.</w:t>
            </w:r>
          </w:p>
        </w:tc>
        <w:tc>
          <w:tcPr>
            <w:tcW w:type="dxa" w:w="2986"/>
            <w:tcMar>
              <w:top w:w="60" w:type="dxa"/>
              <w:bottom w:w="60" w:type="dxa"/>
              <w:left w:w="100" w:type="dxa"/>
              <w:right w:w="100" w:type="dxa"/>
            </w:tcMar>
            <w:vAlign w:val="center"/>
          </w:tcPr>
          <w:p>
            <w:r/>
            <w:r>
              <w:rPr>
                <w:color w:val="3A3835"/>
                <w:sz w:val="18"/>
              </w:rPr>
              <w:t>Ch. 19–21</w:t>
            </w:r>
          </w:p>
        </w:tc>
      </w:tr>
    </w:tbl>
    <w:p>
      <w:pPr>
        <w:spacing w:after="120"/>
      </w:pPr>
    </w:p>
    <w:p>
      <w:pPr>
        <w:pStyle w:val="BIKH1"/>
      </w:pPr>
      <w:r>
        <w:t>The Business Today</w:t>
      </w:r>
    </w:p>
    <w:p>
      <w:pPr>
        <w:pStyle w:val="ListBullet"/>
      </w:pPr>
      <w:r>
        <w:rPr>
          <w:b/>
          <w:color w:val="252320"/>
        </w:rPr>
        <w:t xml:space="preserve">Structure. </w:t>
      </w:r>
      <w:r>
        <w:t>Two units under one brand: Trades Services (operating, cash-generative, SEQ-based make-good, strip and prep, site protection and handyman finishing) and the SaaS Platform (BIK Business Toolkit, in beta).</w:t>
      </w:r>
    </w:p>
    <w:p>
      <w:pPr>
        <w:pStyle w:val="ListBullet"/>
      </w:pPr>
      <w:r>
        <w:rPr>
          <w:b/>
          <w:color w:val="252320"/>
        </w:rPr>
        <w:t xml:space="preserve">Product status. </w:t>
      </w:r>
      <w:r>
        <w:t>5 tools live in production (Variation Notice, Quote Builder, Scope of Works, Site Diary, Defect Report); a further 13 tools drafted and in legal/safety review; 62 tools catalogued across four phases.</w:t>
      </w:r>
    </w:p>
    <w:p>
      <w:pPr>
        <w:pStyle w:val="ListBullet"/>
      </w:pPr>
      <w:r>
        <w:rPr>
          <w:b/>
          <w:color w:val="252320"/>
        </w:rPr>
        <w:t xml:space="preserve">Technology. </w:t>
      </w:r>
      <w:r>
        <w:t>A deliberately minimal, zero-infrastructure-cost Phase 1 stack — static HTML/CSS/vanilla JS on GitHub Pages, all data client-side — engineered to convert cleanly to a Supabase/Stripe-backed Phase 2 platform without a rewrite.</w:t>
      </w:r>
    </w:p>
    <w:p>
      <w:pPr>
        <w:pStyle w:val="ListBullet"/>
      </w:pPr>
      <w:r>
        <w:rPr>
          <w:b/>
          <w:color w:val="252320"/>
        </w:rPr>
        <w:t xml:space="preserve">Governance. </w:t>
      </w:r>
      <w:r>
        <w:t>Decision 001 ("AI never invents facts") is enforced in every AI system prompt. A living Legal and Safety Tool Register grades every document type by regulatory risk before it is allowed into beta.</w:t>
      </w:r>
    </w:p>
    <w:p>
      <w:pPr>
        <w:pStyle w:val="ListBullet"/>
      </w:pPr>
      <w:r>
        <w:rPr>
          <w:b/>
          <w:color w:val="252320"/>
        </w:rPr>
        <w:t xml:space="preserve">Go-to-market. </w:t>
      </w:r>
      <w:r>
        <w:t>Organic-first: free tools, SEO, email capture, and founder-led trust-building in trade communities, funded by services revenue rather than paid acquisition spend.</w:t>
      </w:r>
    </w:p>
    <w:p>
      <w:pPr>
        <w:pStyle w:val="BIKH1"/>
      </w:pPr>
      <w:r>
        <w:t>Why This Document Exists Now</w:t>
      </w:r>
    </w:p>
    <w:p>
      <w:pPr>
        <w:pStyle w:val="BIKBody"/>
        <w:jc w:val="both"/>
      </w:pPr>
      <w:r>
        <w:t>BIK completed its Sprint 3 beta readiness review on 15 July 2026 with a verdict of GO WITH MINOR ISSUES: the Variation Notice tool is rated ready for production use, four critical bugs were resolved in the same sprint, and trust documentation (Privacy Policy, Terms of Use, AI Usage Notice) is live. This is the point at which a company's internal roadmap becomes a strategic document that can be shown outside the building — to a Board formalising its mandate, to the first outside capital, or to a partner assessing whether BIK is a credible long-term counterparty. Every figure in this document is sourced from BIK's own product, pricing, and roadmap documentation, or is explicitly and separately labelled as an illustrative planning assumption.</w:t>
      </w:r>
    </w:p>
    <w:p>
      <w:pPr>
        <w:jc w:val="center"/>
      </w:pPr>
      <w:r>
        <w:drawing>
          <wp:inline xmlns:a="http://schemas.openxmlformats.org/drawingml/2006/main" xmlns:pic="http://schemas.openxmlformats.org/drawingml/2006/picture">
            <wp:extent cx="4572000" cy="4481601"/>
            <wp:docPr id="1" name="Picture 1"/>
            <wp:cNvGraphicFramePr>
              <a:graphicFrameLocks noChangeAspect="1"/>
            </wp:cNvGraphicFramePr>
            <a:graphic>
              <a:graphicData uri="http://schemas.openxmlformats.org/drawingml/2006/picture">
                <pic:pic>
                  <pic:nvPicPr>
                    <pic:cNvPr id="0" name="tam_sam_som.png"/>
                    <pic:cNvPicPr/>
                  </pic:nvPicPr>
                  <pic:blipFill>
                    <a:blip r:embed="rId11"/>
                    <a:stretch>
                      <a:fillRect/>
                    </a:stretch>
                  </pic:blipFill>
                  <pic:spPr>
                    <a:xfrm>
                      <a:off x="0" y="0"/>
                      <a:ext cx="4572000" cy="4481601"/>
                    </a:xfrm>
                    <a:prstGeom prst="rect"/>
                  </pic:spPr>
                </pic:pic>
              </a:graphicData>
            </a:graphic>
          </wp:inline>
        </w:drawing>
      </w:r>
    </w:p>
    <w:p>
      <w:pPr>
        <w:pStyle w:val="BIKCaption"/>
        <w:jc w:val="center"/>
      </w:pPr>
      <w:r>
        <w:t>Figure 1.1 — TAM / SAM / SOM for the BIK Business Toolkit</w:t>
      </w:r>
    </w:p>
    <w:p>
      <w:pPr>
        <w:pStyle w:val="BIKH1"/>
      </w:pPr>
      <w:r>
        <w:t>Key Metrics at a Glance</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8"/>
              </w:rPr>
              <w:t>Metric</w:t>
            </w:r>
          </w:p>
        </w:tc>
        <w:tc>
          <w:tcPr>
            <w:tcW w:type="dxa" w:w="1792"/>
            <w:shd w:val="clear" w:color="auto" w:fill="252320"/>
            <w:tcMar>
              <w:top w:w="60" w:type="dxa"/>
              <w:bottom w:w="60" w:type="dxa"/>
              <w:left w:w="100" w:type="dxa"/>
              <w:right w:w="100" w:type="dxa"/>
            </w:tcMar>
            <w:vAlign w:val="center"/>
          </w:tcPr>
          <w:p>
            <w:r/>
            <w:r>
              <w:rPr>
                <w:b/>
                <w:color w:val="FFFFFF"/>
                <w:sz w:val="18"/>
              </w:rPr>
              <w:t>Today (Beta)</w:t>
            </w:r>
          </w:p>
        </w:tc>
        <w:tc>
          <w:tcPr>
            <w:tcW w:type="dxa" w:w="1792"/>
            <w:shd w:val="clear" w:color="auto" w:fill="252320"/>
            <w:tcMar>
              <w:top w:w="60" w:type="dxa"/>
              <w:bottom w:w="60" w:type="dxa"/>
              <w:left w:w="100" w:type="dxa"/>
              <w:right w:w="100" w:type="dxa"/>
            </w:tcMar>
            <w:vAlign w:val="center"/>
          </w:tcPr>
          <w:p>
            <w:r/>
            <w:r>
              <w:rPr>
                <w:b/>
                <w:color w:val="FFFFFF"/>
                <w:sz w:val="18"/>
              </w:rPr>
              <w:t>12 Months</w:t>
            </w:r>
          </w:p>
        </w:tc>
        <w:tc>
          <w:tcPr>
            <w:tcW w:type="dxa" w:w="1792"/>
            <w:shd w:val="clear" w:color="auto" w:fill="252320"/>
            <w:tcMar>
              <w:top w:w="60" w:type="dxa"/>
              <w:bottom w:w="60" w:type="dxa"/>
              <w:left w:w="100" w:type="dxa"/>
              <w:right w:w="100" w:type="dxa"/>
            </w:tcMar>
            <w:vAlign w:val="center"/>
          </w:tcPr>
          <w:p>
            <w:r/>
            <w:r>
              <w:rPr>
                <w:b/>
                <w:color w:val="FFFFFF"/>
                <w:sz w:val="18"/>
              </w:rPr>
              <w:t>36 Months</w:t>
            </w:r>
          </w:p>
        </w:tc>
        <w:tc>
          <w:tcPr>
            <w:tcW w:type="dxa" w:w="1792"/>
            <w:shd w:val="clear" w:color="auto" w:fill="252320"/>
            <w:tcMar>
              <w:top w:w="60" w:type="dxa"/>
              <w:bottom w:w="60" w:type="dxa"/>
              <w:left w:w="100" w:type="dxa"/>
              <w:right w:w="100" w:type="dxa"/>
            </w:tcMar>
            <w:vAlign w:val="center"/>
          </w:tcPr>
          <w:p>
            <w:r/>
            <w:r>
              <w:rPr>
                <w:b/>
                <w:color w:val="FFFFFF"/>
                <w:sz w:val="18"/>
              </w:rPr>
              <w:t>60 Months</w:t>
            </w:r>
          </w:p>
        </w:tc>
      </w:tr>
      <w:tr>
        <w:tc>
          <w:tcPr>
            <w:tcW w:type="dxa" w:w="1792"/>
            <w:tcMar>
              <w:top w:w="60" w:type="dxa"/>
              <w:bottom w:w="60" w:type="dxa"/>
              <w:left w:w="100" w:type="dxa"/>
              <w:right w:w="100" w:type="dxa"/>
            </w:tcMar>
            <w:vAlign w:val="center"/>
          </w:tcPr>
          <w:p>
            <w:r/>
            <w:r>
              <w:rPr>
                <w:color w:val="3A3835"/>
                <w:sz w:val="18"/>
              </w:rPr>
              <w:t>Tools live</w:t>
            </w:r>
          </w:p>
        </w:tc>
        <w:tc>
          <w:tcPr>
            <w:tcW w:type="dxa" w:w="1792"/>
            <w:tcMar>
              <w:top w:w="60" w:type="dxa"/>
              <w:bottom w:w="60" w:type="dxa"/>
              <w:left w:w="100" w:type="dxa"/>
              <w:right w:w="100" w:type="dxa"/>
            </w:tcMar>
            <w:vAlign w:val="center"/>
          </w:tcPr>
          <w:p>
            <w:r/>
            <w:r>
              <w:rPr>
                <w:color w:val="3A3835"/>
                <w:sz w:val="18"/>
              </w:rPr>
              <w:t>5 (10 catalogued Phase 1)</w:t>
            </w:r>
          </w:p>
        </w:tc>
        <w:tc>
          <w:tcPr>
            <w:tcW w:type="dxa" w:w="1792"/>
            <w:tcMar>
              <w:top w:w="60" w:type="dxa"/>
              <w:bottom w:w="60" w:type="dxa"/>
              <w:left w:w="100" w:type="dxa"/>
              <w:right w:w="100" w:type="dxa"/>
            </w:tcMar>
            <w:vAlign w:val="center"/>
          </w:tcPr>
          <w:p>
            <w:r/>
            <w:r>
              <w:rPr>
                <w:color w:val="3A3835"/>
                <w:sz w:val="18"/>
              </w:rPr>
              <w:t>10</w:t>
            </w:r>
          </w:p>
        </w:tc>
        <w:tc>
          <w:tcPr>
            <w:tcW w:type="dxa" w:w="1792"/>
            <w:tcMar>
              <w:top w:w="60" w:type="dxa"/>
              <w:bottom w:w="60" w:type="dxa"/>
              <w:left w:w="100" w:type="dxa"/>
              <w:right w:w="100" w:type="dxa"/>
            </w:tcMar>
            <w:vAlign w:val="center"/>
          </w:tcPr>
          <w:p>
            <w:r/>
            <w:r>
              <w:rPr>
                <w:color w:val="3A3835"/>
                <w:sz w:val="18"/>
              </w:rPr>
              <w:t>50</w:t>
            </w:r>
          </w:p>
        </w:tc>
        <w:tc>
          <w:tcPr>
            <w:tcW w:type="dxa" w:w="1792"/>
            <w:tcMar>
              <w:top w:w="60" w:type="dxa"/>
              <w:bottom w:w="60" w:type="dxa"/>
              <w:left w:w="100" w:type="dxa"/>
              <w:right w:w="100" w:type="dxa"/>
            </w:tcMar>
            <w:vAlign w:val="center"/>
          </w:tcPr>
          <w:p>
            <w:r/>
            <w:r>
              <w:rPr>
                <w:color w:val="3A3835"/>
                <w:sz w:val="18"/>
              </w:rPr>
              <w:t>105+</w:t>
            </w:r>
          </w:p>
        </w:tc>
      </w:tr>
      <w:tr>
        <w:tc>
          <w:tcPr>
            <w:tcW w:type="dxa" w:w="1792"/>
            <w:tcMar>
              <w:top w:w="60" w:type="dxa"/>
              <w:bottom w:w="60" w:type="dxa"/>
              <w:left w:w="100" w:type="dxa"/>
              <w:right w:w="100" w:type="dxa"/>
            </w:tcMar>
            <w:vAlign w:val="center"/>
            <w:shd w:val="clear" w:color="auto" w:fill="F2EFEA"/>
          </w:tcPr>
          <w:p>
            <w:r/>
            <w:r>
              <w:rPr>
                <w:color w:val="3A3835"/>
                <w:sz w:val="18"/>
              </w:rPr>
              <w:t>Paying subscribers</w:t>
            </w:r>
          </w:p>
        </w:tc>
        <w:tc>
          <w:tcPr>
            <w:tcW w:type="dxa" w:w="1792"/>
            <w:tcMar>
              <w:top w:w="60" w:type="dxa"/>
              <w:bottom w:w="60" w:type="dxa"/>
              <w:left w:w="100" w:type="dxa"/>
              <w:right w:w="100" w:type="dxa"/>
            </w:tcMar>
            <w:vAlign w:val="center"/>
            <w:shd w:val="clear" w:color="auto" w:fill="F2EFEA"/>
          </w:tcPr>
          <w:p>
            <w:r/>
            <w:r>
              <w:rPr>
                <w:color w:val="3A3835"/>
                <w:sz w:val="18"/>
              </w:rPr>
              <w:t>0 (pre-monetisation beta)</w:t>
            </w:r>
          </w:p>
        </w:tc>
        <w:tc>
          <w:tcPr>
            <w:tcW w:type="dxa" w:w="1792"/>
            <w:tcMar>
              <w:top w:w="60" w:type="dxa"/>
              <w:bottom w:w="60" w:type="dxa"/>
              <w:left w:w="100" w:type="dxa"/>
              <w:right w:w="100" w:type="dxa"/>
            </w:tcMar>
            <w:vAlign w:val="center"/>
            <w:shd w:val="clear" w:color="auto" w:fill="F2EFEA"/>
          </w:tcPr>
          <w:p>
            <w:r/>
            <w:r>
              <w:rPr>
                <w:color w:val="3A3835"/>
                <w:sz w:val="18"/>
              </w:rPr>
              <w:t>100</w:t>
            </w:r>
          </w:p>
        </w:tc>
        <w:tc>
          <w:tcPr>
            <w:tcW w:type="dxa" w:w="1792"/>
            <w:tcMar>
              <w:top w:w="60" w:type="dxa"/>
              <w:bottom w:w="60" w:type="dxa"/>
              <w:left w:w="100" w:type="dxa"/>
              <w:right w:w="100" w:type="dxa"/>
            </w:tcMar>
            <w:vAlign w:val="center"/>
            <w:shd w:val="clear" w:color="auto" w:fill="F2EFEA"/>
          </w:tcPr>
          <w:p>
            <w:r/>
            <w:r>
              <w:rPr>
                <w:color w:val="3A3835"/>
                <w:sz w:val="18"/>
              </w:rPr>
              <w:t>1,500</w:t>
            </w:r>
          </w:p>
        </w:tc>
        <w:tc>
          <w:tcPr>
            <w:tcW w:type="dxa" w:w="1792"/>
            <w:tcMar>
              <w:top w:w="60" w:type="dxa"/>
              <w:bottom w:w="60" w:type="dxa"/>
              <w:left w:w="100" w:type="dxa"/>
              <w:right w:w="100" w:type="dxa"/>
            </w:tcMar>
            <w:vAlign w:val="center"/>
            <w:shd w:val="clear" w:color="auto" w:fill="F2EFEA"/>
          </w:tcPr>
          <w:p>
            <w:r/>
            <w:r>
              <w:rPr>
                <w:color w:val="3A3835"/>
                <w:sz w:val="18"/>
              </w:rPr>
              <w:t>5,000+</w:t>
            </w:r>
          </w:p>
        </w:tc>
      </w:tr>
      <w:tr>
        <w:tc>
          <w:tcPr>
            <w:tcW w:type="dxa" w:w="1792"/>
            <w:tcMar>
              <w:top w:w="60" w:type="dxa"/>
              <w:bottom w:w="60" w:type="dxa"/>
              <w:left w:w="100" w:type="dxa"/>
              <w:right w:w="100" w:type="dxa"/>
            </w:tcMar>
            <w:vAlign w:val="center"/>
          </w:tcPr>
          <w:p>
            <w:r/>
            <w:r>
              <w:rPr>
                <w:color w:val="3A3835"/>
                <w:sz w:val="18"/>
              </w:rPr>
              <w:t>MRR (base case)</w:t>
            </w:r>
          </w:p>
        </w:tc>
        <w:tc>
          <w:tcPr>
            <w:tcW w:type="dxa" w:w="1792"/>
            <w:tcMar>
              <w:top w:w="60" w:type="dxa"/>
              <w:bottom w:w="60" w:type="dxa"/>
              <w:left w:w="100" w:type="dxa"/>
              <w:right w:w="100" w:type="dxa"/>
            </w:tcMar>
            <w:vAlign w:val="center"/>
          </w:tcPr>
          <w:p>
            <w:r/>
            <w:r>
              <w:rPr>
                <w:color w:val="3A3835"/>
                <w:sz w:val="18"/>
              </w:rPr>
              <w:t>$0</w:t>
            </w:r>
          </w:p>
        </w:tc>
        <w:tc>
          <w:tcPr>
            <w:tcW w:type="dxa" w:w="1792"/>
            <w:tcMar>
              <w:top w:w="60" w:type="dxa"/>
              <w:bottom w:w="60" w:type="dxa"/>
              <w:left w:w="100" w:type="dxa"/>
              <w:right w:w="100" w:type="dxa"/>
            </w:tcMar>
            <w:vAlign w:val="center"/>
          </w:tcPr>
          <w:p>
            <w:r/>
            <w:r>
              <w:rPr>
                <w:color w:val="3A3835"/>
                <w:sz w:val="18"/>
              </w:rPr>
              <w:t>$2,000</w:t>
            </w:r>
          </w:p>
        </w:tc>
        <w:tc>
          <w:tcPr>
            <w:tcW w:type="dxa" w:w="1792"/>
            <w:tcMar>
              <w:top w:w="60" w:type="dxa"/>
              <w:bottom w:w="60" w:type="dxa"/>
              <w:left w:w="100" w:type="dxa"/>
              <w:right w:w="100" w:type="dxa"/>
            </w:tcMar>
            <w:vAlign w:val="center"/>
          </w:tcPr>
          <w:p>
            <w:r/>
            <w:r>
              <w:rPr>
                <w:color w:val="3A3835"/>
                <w:sz w:val="18"/>
              </w:rPr>
              <w:t>$50,000</w:t>
            </w:r>
          </w:p>
        </w:tc>
        <w:tc>
          <w:tcPr>
            <w:tcW w:type="dxa" w:w="1792"/>
            <w:tcMar>
              <w:top w:w="60" w:type="dxa"/>
              <w:bottom w:w="60" w:type="dxa"/>
              <w:left w:w="100" w:type="dxa"/>
              <w:right w:w="100" w:type="dxa"/>
            </w:tcMar>
            <w:vAlign w:val="center"/>
          </w:tcPr>
          <w:p>
            <w:r/>
            <w:r>
              <w:rPr>
                <w:color w:val="3A3835"/>
                <w:sz w:val="18"/>
              </w:rPr>
              <w:t>$200,000+</w:t>
            </w:r>
          </w:p>
        </w:tc>
      </w:tr>
      <w:tr>
        <w:tc>
          <w:tcPr>
            <w:tcW w:type="dxa" w:w="1792"/>
            <w:tcMar>
              <w:top w:w="60" w:type="dxa"/>
              <w:bottom w:w="60" w:type="dxa"/>
              <w:left w:w="100" w:type="dxa"/>
              <w:right w:w="100" w:type="dxa"/>
            </w:tcMar>
            <w:vAlign w:val="center"/>
            <w:shd w:val="clear" w:color="auto" w:fill="F2EFEA"/>
          </w:tcPr>
          <w:p>
            <w:r/>
            <w:r>
              <w:rPr>
                <w:color w:val="3A3835"/>
                <w:sz w:val="18"/>
              </w:rPr>
              <w:t>Geography</w:t>
            </w:r>
          </w:p>
        </w:tc>
        <w:tc>
          <w:tcPr>
            <w:tcW w:type="dxa" w:w="1792"/>
            <w:tcMar>
              <w:top w:w="60" w:type="dxa"/>
              <w:bottom w:w="60" w:type="dxa"/>
              <w:left w:w="100" w:type="dxa"/>
              <w:right w:w="100" w:type="dxa"/>
            </w:tcMar>
            <w:vAlign w:val="center"/>
            <w:shd w:val="clear" w:color="auto" w:fill="F2EFEA"/>
          </w:tcPr>
          <w:p>
            <w:r/>
            <w:r>
              <w:rPr>
                <w:color w:val="3A3835"/>
                <w:sz w:val="18"/>
              </w:rPr>
              <w:t>South East Queensland</w:t>
            </w:r>
          </w:p>
        </w:tc>
        <w:tc>
          <w:tcPr>
            <w:tcW w:type="dxa" w:w="1792"/>
            <w:tcMar>
              <w:top w:w="60" w:type="dxa"/>
              <w:bottom w:w="60" w:type="dxa"/>
              <w:left w:w="100" w:type="dxa"/>
              <w:right w:w="100" w:type="dxa"/>
            </w:tcMar>
            <w:vAlign w:val="center"/>
            <w:shd w:val="clear" w:color="auto" w:fill="F2EFEA"/>
          </w:tcPr>
          <w:p>
            <w:r/>
            <w:r>
              <w:rPr>
                <w:color w:val="3A3835"/>
                <w:sz w:val="18"/>
              </w:rPr>
              <w:t>Australia-wide (digital)</w:t>
            </w:r>
          </w:p>
        </w:tc>
        <w:tc>
          <w:tcPr>
            <w:tcW w:type="dxa" w:w="1792"/>
            <w:tcMar>
              <w:top w:w="60" w:type="dxa"/>
              <w:bottom w:w="60" w:type="dxa"/>
              <w:left w:w="100" w:type="dxa"/>
              <w:right w:w="100" w:type="dxa"/>
            </w:tcMar>
            <w:vAlign w:val="center"/>
            <w:shd w:val="clear" w:color="auto" w:fill="F2EFEA"/>
          </w:tcPr>
          <w:p>
            <w:r/>
            <w:r>
              <w:rPr>
                <w:color w:val="3A3835"/>
                <w:sz w:val="18"/>
              </w:rPr>
              <w:t>Australia + NZ</w:t>
            </w:r>
          </w:p>
        </w:tc>
        <w:tc>
          <w:tcPr>
            <w:tcW w:type="dxa" w:w="1792"/>
            <w:tcMar>
              <w:top w:w="60" w:type="dxa"/>
              <w:bottom w:w="60" w:type="dxa"/>
              <w:left w:w="100" w:type="dxa"/>
              <w:right w:w="100" w:type="dxa"/>
            </w:tcMar>
            <w:vAlign w:val="center"/>
            <w:shd w:val="clear" w:color="auto" w:fill="F2EFEA"/>
          </w:tcPr>
          <w:p>
            <w:r/>
            <w:r>
              <w:rPr>
                <w:color w:val="3A3835"/>
                <w:sz w:val="18"/>
              </w:rPr>
              <w:t>AU + NZ + selective export</w:t>
            </w:r>
          </w:p>
        </w:tc>
      </w:tr>
      <w:tr>
        <w:tc>
          <w:tcPr>
            <w:tcW w:type="dxa" w:w="1792"/>
            <w:tcMar>
              <w:top w:w="60" w:type="dxa"/>
              <w:bottom w:w="60" w:type="dxa"/>
              <w:left w:w="100" w:type="dxa"/>
              <w:right w:w="100" w:type="dxa"/>
            </w:tcMar>
            <w:vAlign w:val="center"/>
          </w:tcPr>
          <w:p>
            <w:r/>
            <w:r>
              <w:rPr>
                <w:color w:val="3A3835"/>
                <w:sz w:val="18"/>
              </w:rPr>
              <w:t>Team</w:t>
            </w:r>
          </w:p>
        </w:tc>
        <w:tc>
          <w:tcPr>
            <w:tcW w:type="dxa" w:w="1792"/>
            <w:tcMar>
              <w:top w:w="60" w:type="dxa"/>
              <w:bottom w:w="60" w:type="dxa"/>
              <w:left w:w="100" w:type="dxa"/>
              <w:right w:w="100" w:type="dxa"/>
            </w:tcMar>
            <w:vAlign w:val="center"/>
          </w:tcPr>
          <w:p>
            <w:r/>
            <w:r>
              <w:rPr>
                <w:color w:val="3A3835"/>
                <w:sz w:val="18"/>
              </w:rPr>
              <w:t>Founder-led, lean</w:t>
            </w:r>
          </w:p>
        </w:tc>
        <w:tc>
          <w:tcPr>
            <w:tcW w:type="dxa" w:w="1792"/>
            <w:tcMar>
              <w:top w:w="60" w:type="dxa"/>
              <w:bottom w:w="60" w:type="dxa"/>
              <w:left w:w="100" w:type="dxa"/>
              <w:right w:w="100" w:type="dxa"/>
            </w:tcMar>
            <w:vAlign w:val="center"/>
          </w:tcPr>
          <w:p>
            <w:r/>
            <w:r>
              <w:rPr>
                <w:color w:val="3A3835"/>
                <w:sz w:val="18"/>
              </w:rPr>
              <w:t>Founder + core hires</w:t>
            </w:r>
          </w:p>
        </w:tc>
        <w:tc>
          <w:tcPr>
            <w:tcW w:type="dxa" w:w="1792"/>
            <w:tcMar>
              <w:top w:w="60" w:type="dxa"/>
              <w:bottom w:w="60" w:type="dxa"/>
              <w:left w:w="100" w:type="dxa"/>
              <w:right w:w="100" w:type="dxa"/>
            </w:tcMar>
            <w:vAlign w:val="center"/>
          </w:tcPr>
          <w:p>
            <w:r/>
            <w:r>
              <w:rPr>
                <w:color w:val="3A3835"/>
                <w:sz w:val="18"/>
              </w:rPr>
              <w:t>Product, eng, CS functions</w:t>
            </w:r>
          </w:p>
        </w:tc>
        <w:tc>
          <w:tcPr>
            <w:tcW w:type="dxa" w:w="1792"/>
            <w:tcMar>
              <w:top w:w="60" w:type="dxa"/>
              <w:bottom w:w="60" w:type="dxa"/>
              <w:left w:w="100" w:type="dxa"/>
              <w:right w:w="100" w:type="dxa"/>
            </w:tcMar>
            <w:vAlign w:val="center"/>
          </w:tcPr>
          <w:p>
            <w:r/>
            <w:r>
              <w:rPr>
                <w:color w:val="3A3835"/>
                <w:sz w:val="18"/>
              </w:rPr>
              <w:t>Full leadership team</w:t>
            </w:r>
          </w:p>
        </w:tc>
      </w:tr>
    </w:tbl>
    <w:p>
      <w:pPr>
        <w:spacing w:after="120"/>
      </w:pPr>
    </w:p>
    <w:p>
      <w:pPr>
        <w:pStyle w:val="BIKH1"/>
      </w:pPr>
      <w:r>
        <w:t>How To Read This Document</w:t>
      </w:r>
    </w:p>
    <w:p>
      <w:pPr>
        <w:pStyle w:val="BIKBody"/>
        <w:jc w:val="both"/>
      </w:pPr>
      <w:r>
        <w:t>Part A sets out the opportunity and the business case. Part B makes the strategic argument for why AI changes construction administration now, and why BIK's approach is structurally different from a "ChatGPT wrapper." Part C sets out strategy, product philosophy, the operating model and the AI governance framework that makes the whole thing trustworthy. Part D is the product, go-to-market and commercial engine. Part E is market and competition. Part F is the financial model. Part G addresses the single most important strategic question for any investor or acquirer — is BIK a standalone business or an acquisition target, and under what circumstances does that answer change? Part H is risk and compliance. Part I is board governance and the next twelve months. Appendices carry the full 62-tool catalogue, technical architecture summary, assumptions register and glossary.</w:t>
      </w:r>
    </w:p>
    <w:p>
      <w:pPr>
        <w:pStyle w:val="BIKH1"/>
      </w:pPr>
      <w:r>
        <w:t>Illustrative Use of Funds (If an Institutional Raise Is Pursued)</w:t>
      </w:r>
    </w:p>
    <w:p>
      <w:pPr>
        <w:pStyle w:val="BIKBody"/>
        <w:jc w:val="both"/>
      </w:pPr>
      <w:r>
        <w:t>BIK does not require external capital to reach Phase 2 (Chapter 19). The table below is provided for a prospective investor evaluating what a raise would actually fund, should the Board elect to accelerate beyond the bootstrap pace rather than because a raise is assumed or required.</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Use of funds</w:t>
            </w:r>
          </w:p>
        </w:tc>
        <w:tc>
          <w:tcPr>
            <w:tcW w:type="dxa" w:w="2986"/>
            <w:shd w:val="clear" w:color="auto" w:fill="252320"/>
            <w:tcMar>
              <w:top w:w="60" w:type="dxa"/>
              <w:bottom w:w="60" w:type="dxa"/>
              <w:left w:w="100" w:type="dxa"/>
              <w:right w:w="100" w:type="dxa"/>
            </w:tcMar>
            <w:vAlign w:val="center"/>
          </w:tcPr>
          <w:p>
            <w:r/>
            <w:r>
              <w:rPr>
                <w:b/>
                <w:color w:val="FFFFFF"/>
                <w:sz w:val="18"/>
              </w:rPr>
              <w:t>Illustrative allocation</w:t>
            </w:r>
          </w:p>
        </w:tc>
        <w:tc>
          <w:tcPr>
            <w:tcW w:type="dxa" w:w="2986"/>
            <w:shd w:val="clear" w:color="auto" w:fill="252320"/>
            <w:tcMar>
              <w:top w:w="60" w:type="dxa"/>
              <w:bottom w:w="60" w:type="dxa"/>
              <w:left w:w="100" w:type="dxa"/>
              <w:right w:w="100" w:type="dxa"/>
            </w:tcMar>
            <w:vAlign w:val="center"/>
          </w:tcPr>
          <w:p>
            <w:r/>
            <w:r>
              <w:rPr>
                <w:b/>
                <w:color w:val="FFFFFF"/>
                <w:sz w:val="18"/>
              </w:rPr>
              <w:t>Purpose</w:t>
            </w:r>
          </w:p>
        </w:tc>
      </w:tr>
      <w:tr>
        <w:tc>
          <w:tcPr>
            <w:tcW w:type="dxa" w:w="2986"/>
            <w:tcMar>
              <w:top w:w="60" w:type="dxa"/>
              <w:bottom w:w="60" w:type="dxa"/>
              <w:left w:w="100" w:type="dxa"/>
              <w:right w:w="100" w:type="dxa"/>
            </w:tcMar>
            <w:vAlign w:val="center"/>
          </w:tcPr>
          <w:p>
            <w:r/>
            <w:r>
              <w:rPr>
                <w:color w:val="3A3835"/>
                <w:sz w:val="18"/>
              </w:rPr>
              <w:t>Engineering &amp; product</w:t>
            </w:r>
          </w:p>
        </w:tc>
        <w:tc>
          <w:tcPr>
            <w:tcW w:type="dxa" w:w="2986"/>
            <w:tcMar>
              <w:top w:w="60" w:type="dxa"/>
              <w:bottom w:w="60" w:type="dxa"/>
              <w:left w:w="100" w:type="dxa"/>
              <w:right w:w="100" w:type="dxa"/>
            </w:tcMar>
            <w:vAlign w:val="center"/>
          </w:tcPr>
          <w:p>
            <w:r/>
            <w:r>
              <w:rPr>
                <w:color w:val="3A3835"/>
                <w:sz w:val="18"/>
              </w:rPr>
              <w:t>45%</w:t>
            </w:r>
          </w:p>
        </w:tc>
        <w:tc>
          <w:tcPr>
            <w:tcW w:type="dxa" w:w="2986"/>
            <w:tcMar>
              <w:top w:w="60" w:type="dxa"/>
              <w:bottom w:w="60" w:type="dxa"/>
              <w:left w:w="100" w:type="dxa"/>
              <w:right w:w="100" w:type="dxa"/>
            </w:tcMar>
            <w:vAlign w:val="center"/>
          </w:tcPr>
          <w:p>
            <w:r/>
            <w:r>
              <w:rPr>
                <w:color w:val="3A3835"/>
                <w:sz w:val="18"/>
              </w:rPr>
              <w:t>Accelerate Phase 2–3 build: accounts, billing, integrations, mobile PWA</w:t>
            </w:r>
          </w:p>
        </w:tc>
      </w:tr>
      <w:tr>
        <w:tc>
          <w:tcPr>
            <w:tcW w:type="dxa" w:w="2986"/>
            <w:tcMar>
              <w:top w:w="60" w:type="dxa"/>
              <w:bottom w:w="60" w:type="dxa"/>
              <w:left w:w="100" w:type="dxa"/>
              <w:right w:w="100" w:type="dxa"/>
            </w:tcMar>
            <w:vAlign w:val="center"/>
            <w:shd w:val="clear" w:color="auto" w:fill="F2EFEA"/>
          </w:tcPr>
          <w:p>
            <w:r/>
            <w:r>
              <w:rPr>
                <w:color w:val="3A3835"/>
                <w:sz w:val="18"/>
              </w:rPr>
              <w:t>Sales &amp; marketing</w:t>
            </w:r>
          </w:p>
        </w:tc>
        <w:tc>
          <w:tcPr>
            <w:tcW w:type="dxa" w:w="2986"/>
            <w:tcMar>
              <w:top w:w="60" w:type="dxa"/>
              <w:bottom w:w="60" w:type="dxa"/>
              <w:left w:w="100" w:type="dxa"/>
              <w:right w:w="100" w:type="dxa"/>
            </w:tcMar>
            <w:vAlign w:val="center"/>
            <w:shd w:val="clear" w:color="auto" w:fill="F2EFEA"/>
          </w:tcPr>
          <w:p>
            <w:r/>
            <w:r>
              <w:rPr>
                <w:color w:val="3A3835"/>
                <w:sz w:val="18"/>
              </w:rPr>
              <w:t>25%</w:t>
            </w:r>
          </w:p>
        </w:tc>
        <w:tc>
          <w:tcPr>
            <w:tcW w:type="dxa" w:w="2986"/>
            <w:tcMar>
              <w:top w:w="60" w:type="dxa"/>
              <w:bottom w:w="60" w:type="dxa"/>
              <w:left w:w="100" w:type="dxa"/>
              <w:right w:w="100" w:type="dxa"/>
            </w:tcMar>
            <w:vAlign w:val="center"/>
            <w:shd w:val="clear" w:color="auto" w:fill="F2EFEA"/>
          </w:tcPr>
          <w:p>
            <w:r/>
            <w:r>
              <w:rPr>
                <w:color w:val="3A3835"/>
                <w:sz w:val="18"/>
              </w:rPr>
              <w:t>Paid acquisition layered on top of the organic engine (Chapter 14), content production, partnership development</w:t>
            </w:r>
          </w:p>
        </w:tc>
      </w:tr>
      <w:tr>
        <w:tc>
          <w:tcPr>
            <w:tcW w:type="dxa" w:w="2986"/>
            <w:tcMar>
              <w:top w:w="60" w:type="dxa"/>
              <w:bottom w:w="60" w:type="dxa"/>
              <w:left w:w="100" w:type="dxa"/>
              <w:right w:w="100" w:type="dxa"/>
            </w:tcMar>
            <w:vAlign w:val="center"/>
          </w:tcPr>
          <w:p>
            <w:r/>
            <w:r>
              <w:rPr>
                <w:color w:val="3A3835"/>
                <w:sz w:val="18"/>
              </w:rPr>
              <w:t>Compliance &amp; legal review</w:t>
            </w:r>
          </w:p>
        </w:tc>
        <w:tc>
          <w:tcPr>
            <w:tcW w:type="dxa" w:w="2986"/>
            <w:tcMar>
              <w:top w:w="60" w:type="dxa"/>
              <w:bottom w:w="60" w:type="dxa"/>
              <w:left w:w="100" w:type="dxa"/>
              <w:right w:w="100" w:type="dxa"/>
            </w:tcMar>
            <w:vAlign w:val="center"/>
          </w:tcPr>
          <w:p>
            <w:r/>
            <w:r>
              <w:rPr>
                <w:color w:val="3A3835"/>
                <w:sz w:val="18"/>
              </w:rPr>
              <w:t>10%</w:t>
            </w:r>
          </w:p>
        </w:tc>
        <w:tc>
          <w:tcPr>
            <w:tcW w:type="dxa" w:w="2986"/>
            <w:tcMar>
              <w:top w:w="60" w:type="dxa"/>
              <w:bottom w:w="60" w:type="dxa"/>
              <w:left w:w="100" w:type="dxa"/>
              <w:right w:w="100" w:type="dxa"/>
            </w:tcMar>
            <w:vAlign w:val="center"/>
          </w:tcPr>
          <w:p>
            <w:r/>
            <w:r>
              <w:rPr>
                <w:color w:val="3A3835"/>
                <w:sz w:val="18"/>
              </w:rPr>
              <w:t>Clear the Legal and Safety Tool Register HOLD items (Chapter 27) faster than founder-only review allows</w:t>
            </w:r>
          </w:p>
        </w:tc>
      </w:tr>
      <w:tr>
        <w:tc>
          <w:tcPr>
            <w:tcW w:type="dxa" w:w="2986"/>
            <w:tcMar>
              <w:top w:w="60" w:type="dxa"/>
              <w:bottom w:w="60" w:type="dxa"/>
              <w:left w:w="100" w:type="dxa"/>
              <w:right w:w="100" w:type="dxa"/>
            </w:tcMar>
            <w:vAlign w:val="center"/>
            <w:shd w:val="clear" w:color="auto" w:fill="F2EFEA"/>
          </w:tcPr>
          <w:p>
            <w:r/>
            <w:r>
              <w:rPr>
                <w:color w:val="3A3835"/>
                <w:sz w:val="18"/>
              </w:rPr>
              <w:t>Key hires</w:t>
            </w:r>
          </w:p>
        </w:tc>
        <w:tc>
          <w:tcPr>
            <w:tcW w:type="dxa" w:w="2986"/>
            <w:tcMar>
              <w:top w:w="60" w:type="dxa"/>
              <w:bottom w:w="60" w:type="dxa"/>
              <w:left w:w="100" w:type="dxa"/>
              <w:right w:w="100" w:type="dxa"/>
            </w:tcMar>
            <w:vAlign w:val="center"/>
            <w:shd w:val="clear" w:color="auto" w:fill="F2EFEA"/>
          </w:tcPr>
          <w:p>
            <w:r/>
            <w:r>
              <w:rPr>
                <w:color w:val="3A3835"/>
                <w:sz w:val="18"/>
              </w:rPr>
              <w:t>15%</w:t>
            </w:r>
          </w:p>
        </w:tc>
        <w:tc>
          <w:tcPr>
            <w:tcW w:type="dxa" w:w="2986"/>
            <w:tcMar>
              <w:top w:w="60" w:type="dxa"/>
              <w:bottom w:w="60" w:type="dxa"/>
              <w:left w:w="100" w:type="dxa"/>
              <w:right w:w="100" w:type="dxa"/>
            </w:tcMar>
            <w:vAlign w:val="center"/>
            <w:shd w:val="clear" w:color="auto" w:fill="F2EFEA"/>
          </w:tcPr>
          <w:p>
            <w:r/>
            <w:r>
              <w:rPr>
                <w:color w:val="3A3835"/>
                <w:sz w:val="18"/>
              </w:rPr>
              <w:t>Bring forward the Phase 2–3 organisational design (Chapter 10) rather than waiting on revenue-funded hiring</w:t>
            </w:r>
          </w:p>
        </w:tc>
      </w:tr>
      <w:tr>
        <w:tc>
          <w:tcPr>
            <w:tcW w:type="dxa" w:w="2986"/>
            <w:tcMar>
              <w:top w:w="60" w:type="dxa"/>
              <w:bottom w:w="60" w:type="dxa"/>
              <w:left w:w="100" w:type="dxa"/>
              <w:right w:w="100" w:type="dxa"/>
            </w:tcMar>
            <w:vAlign w:val="center"/>
          </w:tcPr>
          <w:p>
            <w:r/>
            <w:r>
              <w:rPr>
                <w:color w:val="3A3835"/>
                <w:sz w:val="18"/>
              </w:rPr>
              <w:t>Working capital / contingency</w:t>
            </w:r>
          </w:p>
        </w:tc>
        <w:tc>
          <w:tcPr>
            <w:tcW w:type="dxa" w:w="2986"/>
            <w:tcMar>
              <w:top w:w="60" w:type="dxa"/>
              <w:bottom w:w="60" w:type="dxa"/>
              <w:left w:w="100" w:type="dxa"/>
              <w:right w:w="100" w:type="dxa"/>
            </w:tcMar>
            <w:vAlign w:val="center"/>
          </w:tcPr>
          <w:p>
            <w:r/>
            <w:r>
              <w:rPr>
                <w:color w:val="3A3835"/>
                <w:sz w:val="18"/>
              </w:rPr>
              <w:t>5%</w:t>
            </w:r>
          </w:p>
        </w:tc>
        <w:tc>
          <w:tcPr>
            <w:tcW w:type="dxa" w:w="2986"/>
            <w:tcMar>
              <w:top w:w="60" w:type="dxa"/>
              <w:bottom w:w="60" w:type="dxa"/>
              <w:left w:w="100" w:type="dxa"/>
              <w:right w:w="100" w:type="dxa"/>
            </w:tcMar>
            <w:vAlign w:val="center"/>
          </w:tcPr>
          <w:p>
            <w:r/>
            <w:r>
              <w:rPr>
                <w:color w:val="3A3835"/>
                <w:sz w:val="18"/>
              </w:rPr>
              <w:t>Buffer against the churn and adoption-speed risks named in Chapter 26</w:t>
            </w:r>
          </w:p>
        </w:tc>
      </w:tr>
    </w:tbl>
    <w:p>
      <w:pPr>
        <w:spacing w:after="120"/>
      </w:pPr>
    </w:p>
    <w:p>
      <w:pPr>
        <w:pStyle w:val="BIKH1"/>
      </w:pPr>
      <w:r>
        <w:t>Key Risks to the Investment Thesis</w:t>
      </w:r>
    </w:p>
    <w:p>
      <w:pPr>
        <w:pStyle w:val="BIKBody"/>
        <w:jc w:val="both"/>
      </w:pPr>
      <w:r>
        <w:t>A credible investment memorandum names its own weak points. The three risks below are the ones most likely to change an investor's or acquirer's view of BIK, and each is cross-referenced to where this document addresses it in full.</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Risk to the thesis</w:t>
            </w:r>
          </w:p>
        </w:tc>
        <w:tc>
          <w:tcPr>
            <w:tcW w:type="dxa" w:w="2986"/>
            <w:shd w:val="clear" w:color="auto" w:fill="252320"/>
            <w:tcMar>
              <w:top w:w="60" w:type="dxa"/>
              <w:bottom w:w="60" w:type="dxa"/>
              <w:left w:w="100" w:type="dxa"/>
              <w:right w:w="100" w:type="dxa"/>
            </w:tcMar>
            <w:vAlign w:val="center"/>
          </w:tcPr>
          <w:p>
            <w:r/>
            <w:r>
              <w:rPr>
                <w:b/>
                <w:color w:val="FFFFFF"/>
                <w:sz w:val="18"/>
              </w:rPr>
              <w:t>Why it matters</w:t>
            </w:r>
          </w:p>
        </w:tc>
        <w:tc>
          <w:tcPr>
            <w:tcW w:type="dxa" w:w="2986"/>
            <w:shd w:val="clear" w:color="auto" w:fill="252320"/>
            <w:tcMar>
              <w:top w:w="60" w:type="dxa"/>
              <w:bottom w:w="60" w:type="dxa"/>
              <w:left w:w="100" w:type="dxa"/>
              <w:right w:w="100" w:type="dxa"/>
            </w:tcMar>
            <w:vAlign w:val="center"/>
          </w:tcPr>
          <w:p>
            <w:r/>
            <w:r>
              <w:rPr>
                <w:b/>
                <w:color w:val="FFFFFF"/>
                <w:sz w:val="18"/>
              </w:rPr>
              <w:t>Where it is addressed</w:t>
            </w:r>
          </w:p>
        </w:tc>
      </w:tr>
      <w:tr>
        <w:tc>
          <w:tcPr>
            <w:tcW w:type="dxa" w:w="2986"/>
            <w:tcMar>
              <w:top w:w="60" w:type="dxa"/>
              <w:bottom w:w="60" w:type="dxa"/>
              <w:left w:w="100" w:type="dxa"/>
              <w:right w:w="100" w:type="dxa"/>
            </w:tcMar>
            <w:vAlign w:val="center"/>
          </w:tcPr>
          <w:p>
            <w:r/>
            <w:r>
              <w:rPr>
                <w:color w:val="3A3835"/>
                <w:sz w:val="18"/>
              </w:rPr>
              <w:t>The category itself moves slower than modelled</w:t>
            </w:r>
          </w:p>
        </w:tc>
        <w:tc>
          <w:tcPr>
            <w:tcW w:type="dxa" w:w="2986"/>
            <w:tcMar>
              <w:top w:w="60" w:type="dxa"/>
              <w:bottom w:w="60" w:type="dxa"/>
              <w:left w:w="100" w:type="dxa"/>
              <w:right w:w="100" w:type="dxa"/>
            </w:tcMar>
            <w:vAlign w:val="center"/>
          </w:tcPr>
          <w:p>
            <w:r/>
            <w:r>
              <w:rPr>
                <w:color w:val="3A3835"/>
                <w:sz w:val="18"/>
              </w:rPr>
              <w:t>Vertical AI SaaS valuation premiums (Chapter 5) are a directional pattern, not a guarantee for any specific company or category</w:t>
            </w:r>
          </w:p>
        </w:tc>
        <w:tc>
          <w:tcPr>
            <w:tcW w:type="dxa" w:w="2986"/>
            <w:tcMar>
              <w:top w:w="60" w:type="dxa"/>
              <w:bottom w:w="60" w:type="dxa"/>
              <w:left w:w="100" w:type="dxa"/>
              <w:right w:w="100" w:type="dxa"/>
            </w:tcMar>
            <w:vAlign w:val="center"/>
          </w:tcPr>
          <w:p>
            <w:r/>
            <w:r>
              <w:rPr>
                <w:color w:val="3A3835"/>
                <w:sz w:val="18"/>
              </w:rPr>
              <w:t>Chapter 20 sensitivity analysis; Chapter 26 Risk 1</w:t>
            </w:r>
          </w:p>
        </w:tc>
      </w:tr>
      <w:tr>
        <w:tc>
          <w:tcPr>
            <w:tcW w:type="dxa" w:w="2986"/>
            <w:tcMar>
              <w:top w:w="60" w:type="dxa"/>
              <w:bottom w:w="60" w:type="dxa"/>
              <w:left w:w="100" w:type="dxa"/>
              <w:right w:w="100" w:type="dxa"/>
            </w:tcMar>
            <w:vAlign w:val="center"/>
            <w:shd w:val="clear" w:color="auto" w:fill="F2EFEA"/>
          </w:tcPr>
          <w:p>
            <w:r/>
            <w:r>
              <w:rPr>
                <w:color w:val="3A3835"/>
                <w:sz w:val="18"/>
              </w:rPr>
              <w:t>An incumbent moves first with credible AI features</w:t>
            </w:r>
          </w:p>
        </w:tc>
        <w:tc>
          <w:tcPr>
            <w:tcW w:type="dxa" w:w="2986"/>
            <w:tcMar>
              <w:top w:w="60" w:type="dxa"/>
              <w:bottom w:w="60" w:type="dxa"/>
              <w:left w:w="100" w:type="dxa"/>
              <w:right w:w="100" w:type="dxa"/>
            </w:tcMar>
            <w:vAlign w:val="center"/>
            <w:shd w:val="clear" w:color="auto" w:fill="F2EFEA"/>
          </w:tcPr>
          <w:p>
            <w:r/>
            <w:r>
              <w:rPr>
                <w:color w:val="3A3835"/>
                <w:sz w:val="18"/>
              </w:rPr>
              <w:t>BIK's sequencing advantage (Chapter 7) is real but time-limited</w:t>
            </w:r>
          </w:p>
        </w:tc>
        <w:tc>
          <w:tcPr>
            <w:tcW w:type="dxa" w:w="2986"/>
            <w:tcMar>
              <w:top w:w="60" w:type="dxa"/>
              <w:bottom w:w="60" w:type="dxa"/>
              <w:left w:w="100" w:type="dxa"/>
              <w:right w:w="100" w:type="dxa"/>
            </w:tcMar>
            <w:vAlign w:val="center"/>
            <w:shd w:val="clear" w:color="auto" w:fill="F2EFEA"/>
          </w:tcPr>
          <w:p>
            <w:r/>
            <w:r>
              <w:rPr>
                <w:color w:val="3A3835"/>
                <w:sz w:val="18"/>
              </w:rPr>
              <w:t>Chapter 17 competitive analysis; Chapter 26 Risk 5</w:t>
            </w:r>
          </w:p>
        </w:tc>
      </w:tr>
      <w:tr>
        <w:tc>
          <w:tcPr>
            <w:tcW w:type="dxa" w:w="2986"/>
            <w:tcMar>
              <w:top w:w="60" w:type="dxa"/>
              <w:bottom w:w="60" w:type="dxa"/>
              <w:left w:w="100" w:type="dxa"/>
              <w:right w:w="100" w:type="dxa"/>
            </w:tcMar>
            <w:vAlign w:val="center"/>
          </w:tcPr>
          <w:p>
            <w:r/>
            <w:r>
              <w:rPr>
                <w:color w:val="3A3835"/>
                <w:sz w:val="18"/>
              </w:rPr>
              <w:t>Key-person concentration</w:t>
            </w:r>
          </w:p>
        </w:tc>
        <w:tc>
          <w:tcPr>
            <w:tcW w:type="dxa" w:w="2986"/>
            <w:tcMar>
              <w:top w:w="60" w:type="dxa"/>
              <w:bottom w:w="60" w:type="dxa"/>
              <w:left w:w="100" w:type="dxa"/>
              <w:right w:w="100" w:type="dxa"/>
            </w:tcMar>
            <w:vAlign w:val="center"/>
          </w:tcPr>
          <w:p>
            <w:r/>
            <w:r>
              <w:rPr>
                <w:color w:val="3A3835"/>
                <w:sz w:val="18"/>
              </w:rPr>
              <w:t>The founder-market-fit advantage that makes BIK credible today is also a single point of failure until the Phase 2–3 team is built out</w:t>
            </w:r>
          </w:p>
        </w:tc>
        <w:tc>
          <w:tcPr>
            <w:tcW w:type="dxa" w:w="2986"/>
            <w:tcMar>
              <w:top w:w="60" w:type="dxa"/>
              <w:bottom w:w="60" w:type="dxa"/>
              <w:left w:w="100" w:type="dxa"/>
              <w:right w:w="100" w:type="dxa"/>
            </w:tcMar>
            <w:vAlign w:val="center"/>
          </w:tcPr>
          <w:p>
            <w:r/>
            <w:r>
              <w:rPr>
                <w:color w:val="3A3835"/>
                <w:sz w:val="18"/>
              </w:rPr>
              <w:t>Chapter 10 organisational design; Chapter 26 Risk 3; Chapter 25 exit-readiness</w:t>
            </w:r>
          </w:p>
        </w:tc>
      </w:tr>
    </w:tbl>
    <w:p>
      <w:pPr>
        <w:spacing w:after="120"/>
      </w:pPr>
    </w:p>
    <w:p>
      <w:pPr>
        <w:pStyle w:val="BIKH1"/>
      </w:pPr>
      <w:r>
        <w:t>Illustrative Comparable Context</w:t>
      </w:r>
    </w:p>
    <w:p>
      <w:pPr>
        <w:pStyle w:val="BIKBody"/>
        <w:jc w:val="both"/>
      </w:pPr>
      <w:r>
        <w:t>BIK does not claim direct comparability to any single named transaction — the Australian vertical trade-software category has produced a range of outcomes from strong independent growth to strategic acquisition by accounting and field-service platforms, consistent with the acquirer categories in Chapter 24. The relevant comparison for this document's purposes is structural, not transactional: AU/NZ vertical SaaS businesses serving the trade and construction sector have historically been valued as a function of recurring revenue quality (retention, gross margin) more than absolute scale, which is precisely the basis of the valuation framework in Chapter 21.</w:t>
      </w:r>
    </w:p>
    <w:p>
      <w:pPr>
        <w:pStyle w:val="BIKChapterLabel"/>
      </w:pPr>
      <w:r>
        <w:t>PART A — THE OPPORTUNITY</w:t>
      </w:r>
    </w:p>
    <w:p>
      <w:pPr>
        <w:pStyle w:val="BIKChapterTitle"/>
        <w:pBdr>
          <w:bottom w:val="single" w:sz="18" w:space="8" w:color="D85A30"/>
        </w:pBdr>
      </w:pPr>
      <w:r>
        <w:t>02   Executive Summary Dashboard</w:t>
      </w:r>
    </w:p>
    <w:p>
      <w:pPr>
        <w:pStyle w:val="BIKH1"/>
      </w:pPr>
      <w:r>
        <w:t>The Business in One Page</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Dimension</w:t>
            </w:r>
          </w:p>
        </w:tc>
        <w:tc>
          <w:tcPr>
            <w:tcW w:type="dxa" w:w="4479"/>
            <w:shd w:val="clear" w:color="auto" w:fill="252320"/>
            <w:tcMar>
              <w:top w:w="60" w:type="dxa"/>
              <w:bottom w:w="60" w:type="dxa"/>
              <w:left w:w="100" w:type="dxa"/>
              <w:right w:w="100" w:type="dxa"/>
            </w:tcMar>
            <w:vAlign w:val="center"/>
          </w:tcPr>
          <w:p>
            <w:r/>
            <w:r>
              <w:rPr>
                <w:b/>
                <w:color w:val="FFFFFF"/>
                <w:sz w:val="18"/>
              </w:rPr>
              <w:t>Summary</w:t>
            </w:r>
          </w:p>
        </w:tc>
      </w:tr>
      <w:tr>
        <w:tc>
          <w:tcPr>
            <w:tcW w:type="dxa" w:w="4479"/>
            <w:tcMar>
              <w:top w:w="60" w:type="dxa"/>
              <w:bottom w:w="60" w:type="dxa"/>
              <w:left w:w="100" w:type="dxa"/>
              <w:right w:w="100" w:type="dxa"/>
            </w:tcMar>
            <w:vAlign w:val="center"/>
          </w:tcPr>
          <w:p>
            <w:r/>
            <w:r>
              <w:rPr>
                <w:color w:val="3A3835"/>
                <w:sz w:val="18"/>
              </w:rPr>
              <w:t>Company</w:t>
            </w:r>
          </w:p>
        </w:tc>
        <w:tc>
          <w:tcPr>
            <w:tcW w:type="dxa" w:w="4479"/>
            <w:tcMar>
              <w:top w:w="60" w:type="dxa"/>
              <w:bottom w:w="60" w:type="dxa"/>
              <w:left w:w="100" w:type="dxa"/>
              <w:right w:w="100" w:type="dxa"/>
            </w:tcMar>
            <w:vAlign w:val="center"/>
          </w:tcPr>
          <w:p>
            <w:r/>
            <w:r>
              <w:rPr>
                <w:color w:val="3A3835"/>
                <w:sz w:val="18"/>
              </w:rPr>
              <w:t>BIK Solutions Pty Ltd — trading as BIK Solutions — "Beyond Industry Knowledge"</w:t>
            </w:r>
          </w:p>
        </w:tc>
      </w:tr>
      <w:tr>
        <w:tc>
          <w:tcPr>
            <w:tcW w:type="dxa" w:w="4479"/>
            <w:tcMar>
              <w:top w:w="60" w:type="dxa"/>
              <w:bottom w:w="60" w:type="dxa"/>
              <w:left w:w="100" w:type="dxa"/>
              <w:right w:w="100" w:type="dxa"/>
            </w:tcMar>
            <w:vAlign w:val="center"/>
            <w:shd w:val="clear" w:color="auto" w:fill="F2EFEA"/>
          </w:tcPr>
          <w:p>
            <w:r/>
            <w:r>
              <w:rPr>
                <w:color w:val="3A3835"/>
                <w:sz w:val="18"/>
              </w:rPr>
              <w:t>Sector</w:t>
            </w:r>
          </w:p>
        </w:tc>
        <w:tc>
          <w:tcPr>
            <w:tcW w:type="dxa" w:w="4479"/>
            <w:tcMar>
              <w:top w:w="60" w:type="dxa"/>
              <w:bottom w:w="60" w:type="dxa"/>
              <w:left w:w="100" w:type="dxa"/>
              <w:right w:w="100" w:type="dxa"/>
            </w:tcMar>
            <w:vAlign w:val="center"/>
            <w:shd w:val="clear" w:color="auto" w:fill="F2EFEA"/>
          </w:tcPr>
          <w:p>
            <w:r/>
            <w:r>
              <w:rPr>
                <w:color w:val="3A3835"/>
                <w:sz w:val="18"/>
              </w:rPr>
              <w:t>Construction technology / vertical AI SaaS, Australian trades and building sector</w:t>
            </w:r>
          </w:p>
        </w:tc>
      </w:tr>
      <w:tr>
        <w:tc>
          <w:tcPr>
            <w:tcW w:type="dxa" w:w="4479"/>
            <w:tcMar>
              <w:top w:w="60" w:type="dxa"/>
              <w:bottom w:w="60" w:type="dxa"/>
              <w:left w:w="100" w:type="dxa"/>
              <w:right w:w="100" w:type="dxa"/>
            </w:tcMar>
            <w:vAlign w:val="center"/>
          </w:tcPr>
          <w:p>
            <w:r/>
            <w:r>
              <w:rPr>
                <w:color w:val="3A3835"/>
                <w:sz w:val="18"/>
              </w:rPr>
              <w:t>Product</w:t>
            </w:r>
          </w:p>
        </w:tc>
        <w:tc>
          <w:tcPr>
            <w:tcW w:type="dxa" w:w="4479"/>
            <w:tcMar>
              <w:top w:w="60" w:type="dxa"/>
              <w:bottom w:w="60" w:type="dxa"/>
              <w:left w:w="100" w:type="dxa"/>
              <w:right w:w="100" w:type="dxa"/>
            </w:tcMar>
            <w:vAlign w:val="center"/>
          </w:tcPr>
          <w:p>
            <w:r/>
            <w:r>
              <w:rPr>
                <w:color w:val="3A3835"/>
                <w:sz w:val="18"/>
              </w:rPr>
              <w:t>BIK Business Toolkit — AI-generated construction documents, safety and compliance tools, and (from Phase 4) autonomous AI agents</w:t>
            </w:r>
          </w:p>
        </w:tc>
      </w:tr>
      <w:tr>
        <w:tc>
          <w:tcPr>
            <w:tcW w:type="dxa" w:w="4479"/>
            <w:tcMar>
              <w:top w:w="60" w:type="dxa"/>
              <w:bottom w:w="60" w:type="dxa"/>
              <w:left w:w="100" w:type="dxa"/>
              <w:right w:w="100" w:type="dxa"/>
            </w:tcMar>
            <w:vAlign w:val="center"/>
            <w:shd w:val="clear" w:color="auto" w:fill="F2EFEA"/>
          </w:tcPr>
          <w:p>
            <w:r/>
            <w:r>
              <w:rPr>
                <w:color w:val="3A3835"/>
                <w:sz w:val="18"/>
              </w:rPr>
              <w:t>Stage</w:t>
            </w:r>
          </w:p>
        </w:tc>
        <w:tc>
          <w:tcPr>
            <w:tcW w:type="dxa" w:w="4479"/>
            <w:tcMar>
              <w:top w:w="60" w:type="dxa"/>
              <w:bottom w:w="60" w:type="dxa"/>
              <w:left w:w="100" w:type="dxa"/>
              <w:right w:w="100" w:type="dxa"/>
            </w:tcMar>
            <w:vAlign w:val="center"/>
            <w:shd w:val="clear" w:color="auto" w:fill="F2EFEA"/>
          </w:tcPr>
          <w:p>
            <w:r/>
            <w:r>
              <w:rPr>
                <w:color w:val="3A3835"/>
                <w:sz w:val="18"/>
              </w:rPr>
              <w:t>Beta (Sprint 3 complete, 15 July 2026); pre-monetisation on the SaaS unit; revenue-generating on the Trades Services unit</w:t>
            </w:r>
          </w:p>
        </w:tc>
      </w:tr>
      <w:tr>
        <w:tc>
          <w:tcPr>
            <w:tcW w:type="dxa" w:w="4479"/>
            <w:tcMar>
              <w:top w:w="60" w:type="dxa"/>
              <w:bottom w:w="60" w:type="dxa"/>
              <w:left w:w="100" w:type="dxa"/>
              <w:right w:w="100" w:type="dxa"/>
            </w:tcMar>
            <w:vAlign w:val="center"/>
          </w:tcPr>
          <w:p>
            <w:r/>
            <w:r>
              <w:rPr>
                <w:color w:val="3A3835"/>
                <w:sz w:val="18"/>
              </w:rPr>
              <w:t>Business model</w:t>
            </w:r>
          </w:p>
        </w:tc>
        <w:tc>
          <w:tcPr>
            <w:tcW w:type="dxa" w:w="4479"/>
            <w:tcMar>
              <w:top w:w="60" w:type="dxa"/>
              <w:bottom w:w="60" w:type="dxa"/>
              <w:left w:w="100" w:type="dxa"/>
              <w:right w:w="100" w:type="dxa"/>
            </w:tcMar>
            <w:vAlign w:val="center"/>
          </w:tcPr>
          <w:p>
            <w:r/>
            <w:r>
              <w:rPr>
                <w:color w:val="3A3835"/>
                <w:sz w:val="18"/>
              </w:rPr>
              <w:t>Freemium SaaS: $0 / $19 / $29 / $49 / $99+ monthly tiers, annual discount, plus digital template sales and (Phase 4+) enterprise/API licensing</w:t>
            </w:r>
          </w:p>
        </w:tc>
      </w:tr>
      <w:tr>
        <w:tc>
          <w:tcPr>
            <w:tcW w:type="dxa" w:w="4479"/>
            <w:tcMar>
              <w:top w:w="60" w:type="dxa"/>
              <w:bottom w:w="60" w:type="dxa"/>
              <w:left w:w="100" w:type="dxa"/>
              <w:right w:w="100" w:type="dxa"/>
            </w:tcMar>
            <w:vAlign w:val="center"/>
            <w:shd w:val="clear" w:color="auto" w:fill="F2EFEA"/>
          </w:tcPr>
          <w:p>
            <w:r/>
            <w:r>
              <w:rPr>
                <w:color w:val="3A3835"/>
                <w:sz w:val="18"/>
              </w:rPr>
              <w:t>Market</w:t>
            </w:r>
          </w:p>
        </w:tc>
        <w:tc>
          <w:tcPr>
            <w:tcW w:type="dxa" w:w="4479"/>
            <w:tcMar>
              <w:top w:w="60" w:type="dxa"/>
              <w:bottom w:w="60" w:type="dxa"/>
              <w:left w:w="100" w:type="dxa"/>
              <w:right w:w="100" w:type="dxa"/>
            </w:tcMar>
            <w:vAlign w:val="center"/>
            <w:shd w:val="clear" w:color="auto" w:fill="F2EFEA"/>
          </w:tcPr>
          <w:p>
            <w:r/>
            <w:r>
              <w:rPr>
                <w:color w:val="3A3835"/>
                <w:sz w:val="18"/>
              </w:rPr>
              <w:t>TAM $360B+ (AU construction GDP contribution); SAM ~$1.8B (AU/NZ 1–50 staff trade business software spend); SOM ~$91M (5-year serviceable share)</w:t>
            </w:r>
          </w:p>
        </w:tc>
      </w:tr>
      <w:tr>
        <w:tc>
          <w:tcPr>
            <w:tcW w:type="dxa" w:w="4479"/>
            <w:tcMar>
              <w:top w:w="60" w:type="dxa"/>
              <w:bottom w:w="60" w:type="dxa"/>
              <w:left w:w="100" w:type="dxa"/>
              <w:right w:w="100" w:type="dxa"/>
            </w:tcMar>
            <w:vAlign w:val="center"/>
          </w:tcPr>
          <w:p>
            <w:r/>
            <w:r>
              <w:rPr>
                <w:color w:val="3A3835"/>
                <w:sz w:val="18"/>
              </w:rPr>
              <w:t>Traction</w:t>
            </w:r>
          </w:p>
        </w:tc>
        <w:tc>
          <w:tcPr>
            <w:tcW w:type="dxa" w:w="4479"/>
            <w:tcMar>
              <w:top w:w="60" w:type="dxa"/>
              <w:bottom w:w="60" w:type="dxa"/>
              <w:left w:w="100" w:type="dxa"/>
              <w:right w:w="100" w:type="dxa"/>
            </w:tcMar>
            <w:vAlign w:val="center"/>
          </w:tcPr>
          <w:p>
            <w:r/>
            <w:r>
              <w:rPr>
                <w:color w:val="3A3835"/>
                <w:sz w:val="18"/>
              </w:rPr>
              <w:t>5 tools live; beta feedback loop operating; trust and legal documentation published; zero paid customer acquisition to date</w:t>
            </w:r>
          </w:p>
        </w:tc>
      </w:tr>
      <w:tr>
        <w:tc>
          <w:tcPr>
            <w:tcW w:type="dxa" w:w="4479"/>
            <w:tcMar>
              <w:top w:w="60" w:type="dxa"/>
              <w:bottom w:w="60" w:type="dxa"/>
              <w:left w:w="100" w:type="dxa"/>
              <w:right w:w="100" w:type="dxa"/>
            </w:tcMar>
            <w:vAlign w:val="center"/>
            <w:shd w:val="clear" w:color="auto" w:fill="F2EFEA"/>
          </w:tcPr>
          <w:p>
            <w:r/>
            <w:r>
              <w:rPr>
                <w:color w:val="3A3835"/>
                <w:sz w:val="18"/>
              </w:rPr>
              <w:t>Team</w:t>
            </w:r>
          </w:p>
        </w:tc>
        <w:tc>
          <w:tcPr>
            <w:tcW w:type="dxa" w:w="4479"/>
            <w:tcMar>
              <w:top w:w="60" w:type="dxa"/>
              <w:bottom w:w="60" w:type="dxa"/>
              <w:left w:w="100" w:type="dxa"/>
              <w:right w:w="100" w:type="dxa"/>
            </w:tcMar>
            <w:vAlign w:val="center"/>
            <w:shd w:val="clear" w:color="auto" w:fill="F2EFEA"/>
          </w:tcPr>
          <w:p>
            <w:r/>
            <w:r>
              <w:rPr>
                <w:color w:val="3A3835"/>
                <w:sz w:val="18"/>
              </w:rPr>
              <w:t>Founder-led; operating trades business provides direct, continuous access to the exact customer BIK is building for</w:t>
            </w:r>
          </w:p>
        </w:tc>
      </w:tr>
      <w:tr>
        <w:tc>
          <w:tcPr>
            <w:tcW w:type="dxa" w:w="4479"/>
            <w:tcMar>
              <w:top w:w="60" w:type="dxa"/>
              <w:bottom w:w="60" w:type="dxa"/>
              <w:left w:w="100" w:type="dxa"/>
              <w:right w:w="100" w:type="dxa"/>
            </w:tcMar>
            <w:vAlign w:val="center"/>
          </w:tcPr>
          <w:p>
            <w:r/>
            <w:r>
              <w:rPr>
                <w:color w:val="3A3835"/>
                <w:sz w:val="18"/>
              </w:rPr>
              <w:t>Ask</w:t>
            </w:r>
          </w:p>
        </w:tc>
        <w:tc>
          <w:tcPr>
            <w:tcW w:type="dxa" w:w="4479"/>
            <w:tcMar>
              <w:top w:w="60" w:type="dxa"/>
              <w:bottom w:w="60" w:type="dxa"/>
              <w:left w:w="100" w:type="dxa"/>
              <w:right w:w="100" w:type="dxa"/>
            </w:tcMar>
            <w:vAlign w:val="center"/>
          </w:tcPr>
          <w:p>
            <w:r/>
            <w:r>
              <w:rPr>
                <w:color w:val="3A3835"/>
                <w:sz w:val="18"/>
              </w:rPr>
              <w:t>Board approval of Phase 2 investment case (Ch. 8); evaluation as a seed/Series A vertical AI SaaS opportunity (Ch. 19–21); or as a strategic partnership / acquisition conversation (Ch. 22–25)</w:t>
            </w:r>
          </w:p>
        </w:tc>
      </w:tr>
    </w:tbl>
    <w:p>
      <w:pPr>
        <w:spacing w:after="120"/>
      </w:pPr>
    </w:p>
    <w:p>
      <w:pPr>
        <w:pStyle w:val="BIKH1"/>
      </w:pPr>
      <w:r>
        <w:t>The Investment Case in Five Points</w:t>
      </w:r>
    </w:p>
    <w:p>
      <w:pPr>
        <w:pStyle w:val="ListBullet"/>
      </w:pPr>
      <w:r>
        <w:rPr>
          <w:b/>
          <w:color w:val="252320"/>
        </w:rPr>
        <w:t xml:space="preserve">1. Enormous, underserved market. </w:t>
      </w:r>
      <w:r>
        <w:t>AU construction is one of the least digitised trillion-dollar-adjacent sectors in the country; most incumbents are either generic (Word, Excel, ChatGPT) or enterprise-grade and irrelevant to the 1–20 person business that is the backbone of the industry.</w:t>
      </w:r>
    </w:p>
    <w:p>
      <w:pPr>
        <w:pStyle w:val="ListBullet"/>
      </w:pPr>
      <w:r>
        <w:rPr>
          <w:b/>
          <w:color w:val="252320"/>
        </w:rPr>
        <w:t xml:space="preserve">2. Real product, not a deck. </w:t>
      </w:r>
      <w:r>
        <w:t>Five tools are live and in beta with real builders, not a prototype. The architecture was built to scale from day one.</w:t>
      </w:r>
    </w:p>
    <w:p>
      <w:pPr>
        <w:pStyle w:val="ListBullet"/>
      </w:pPr>
      <w:r>
        <w:rPr>
          <w:b/>
          <w:color w:val="252320"/>
        </w:rPr>
        <w:t xml:space="preserve">3. Trust as the moat. </w:t>
      </w:r>
      <w:r>
        <w:t>Decision 001 and the Legal and Safety Tool Register are structural commitments that are expensive for a fast-follower to copy credibly, because copying them requires giving up the temptation to over-promise.</w:t>
      </w:r>
    </w:p>
    <w:p>
      <w:pPr>
        <w:pStyle w:val="ListBullet"/>
      </w:pPr>
      <w:r>
        <w:rPr>
          <w:b/>
          <w:color w:val="252320"/>
        </w:rPr>
        <w:t xml:space="preserve">4. Founder-market fit. </w:t>
      </w:r>
      <w:r>
        <w:t>BIK is an operating construction business first. It is not software people imagining a trades problem — it is tradespeople who also build software.</w:t>
      </w:r>
    </w:p>
    <w:p>
      <w:pPr>
        <w:pStyle w:val="ListBullet"/>
      </w:pPr>
      <w:r>
        <w:rPr>
          <w:b/>
          <w:color w:val="252320"/>
        </w:rPr>
        <w:t xml:space="preserve">5. Multiple paths to value creation. </w:t>
      </w:r>
      <w:r>
        <w:t>BIK can compound as a standalone SaaS business toward a $200K+ MRR, category-leadership outcome, or become a highly strategic acquisition target for an accounting platform, field-service platform, or enterprise construction software incumbent well before that point (Ch. 22–25).</w:t>
      </w:r>
    </w:p>
    <w:p>
      <w:pPr>
        <w:jc w:val="center"/>
      </w:pPr>
      <w:r>
        <w:drawing>
          <wp:inline xmlns:a="http://schemas.openxmlformats.org/drawingml/2006/main" xmlns:pic="http://schemas.openxmlformats.org/drawingml/2006/picture">
            <wp:extent cx="5760720" cy="2648402"/>
            <wp:docPr id="2" name="Picture 2"/>
            <wp:cNvGraphicFramePr>
              <a:graphicFrameLocks noChangeAspect="1"/>
            </wp:cNvGraphicFramePr>
            <a:graphic>
              <a:graphicData uri="http://schemas.openxmlformats.org/drawingml/2006/picture">
                <pic:pic>
                  <pic:nvPicPr>
                    <pic:cNvPr id="0" name="roadmap_timeline.png"/>
                    <pic:cNvPicPr/>
                  </pic:nvPicPr>
                  <pic:blipFill>
                    <a:blip r:embed="rId12"/>
                    <a:stretch>
                      <a:fillRect/>
                    </a:stretch>
                  </pic:blipFill>
                  <pic:spPr>
                    <a:xfrm>
                      <a:off x="0" y="0"/>
                      <a:ext cx="5760720" cy="2648402"/>
                    </a:xfrm>
                    <a:prstGeom prst="rect"/>
                  </pic:spPr>
                </pic:pic>
              </a:graphicData>
            </a:graphic>
          </wp:inline>
        </w:drawing>
      </w:r>
    </w:p>
    <w:p>
      <w:pPr>
        <w:pStyle w:val="BIKCaption"/>
        <w:jc w:val="center"/>
      </w:pPr>
      <w:r>
        <w:t>Figure 2.1 — Five-year roadmap at a glance (see Chapter 13 for full detail)</w:t>
      </w:r>
    </w:p>
    <w:p>
      <w:pPr>
        <w:pStyle w:val="BIKChapterLabel"/>
      </w:pPr>
      <w:r>
        <w:t>PART A — THE OPPORTUNITY</w:t>
      </w:r>
    </w:p>
    <w:p>
      <w:pPr>
        <w:pStyle w:val="BIKChapterTitle"/>
        <w:pBdr>
          <w:bottom w:val="single" w:sz="18" w:space="8" w:color="D85A30"/>
        </w:pBdr>
      </w:pPr>
      <w:r>
        <w:t>03   Business Case</w:t>
      </w:r>
    </w:p>
    <w:p>
      <w:pPr>
        <w:pStyle w:val="BIKH1"/>
      </w:pPr>
      <w:r>
        <w:t>The Problem</w:t>
      </w:r>
    </w:p>
    <w:p>
      <w:pPr>
        <w:pStyle w:val="BIKBody"/>
        <w:jc w:val="both"/>
      </w:pPr>
      <w:r>
        <w:t>Australian construction businesses — from sole traders to mid-size builders — run on a broken stack of paper forms, email threads, group chat messages and generic office software that does not understand construction. The consequences are consistent across every business BIK has spoken to in the course of running its own trades operation:</w:t>
      </w:r>
    </w:p>
    <w:p>
      <w:pPr>
        <w:pStyle w:val="ListBullet"/>
      </w:pPr>
      <w:r>
        <w:t>Hours lost every week writing quotes, scopes of works, and variation notices from scratch</w:t>
      </w:r>
    </w:p>
    <w:p>
      <w:pPr>
        <w:pStyle w:val="ListBullet"/>
      </w:pPr>
      <w:r>
        <w:t>Safety documents — SWMS, toolbox talks — copied and pasted without real review</w:t>
      </w:r>
    </w:p>
    <w:p>
      <w:pPr>
        <w:pStyle w:val="ListBullet"/>
      </w:pPr>
      <w:r>
        <w:t>Payment chasing done manually, invoices sent late, cash flow damaged as a direct result</w:t>
      </w:r>
    </w:p>
    <w:p>
      <w:pPr>
        <w:pStyle w:val="ListBullet"/>
      </w:pPr>
      <w:r>
        <w:t>Site diaries forgotten, defect lists mismanaged, handovers delayed</w:t>
      </w:r>
    </w:p>
    <w:p>
      <w:pPr>
        <w:pStyle w:val="ListBullet"/>
      </w:pPr>
      <w:r>
        <w:t>No consistent documentation trail — which becomes expensive and sometimes ruinous during disputes</w:t>
      </w:r>
    </w:p>
    <w:p>
      <w:pPr>
        <w:pStyle w:val="BIKQuote"/>
        <w:ind w:left="567" w:right="567"/>
        <w:pBdr>
          <w:left w:val="single" w:sz="18" w:space="10" w:color="D85A30"/>
        </w:pBdr>
      </w:pPr>
      <w:r>
        <w:t>“The gap between what gets built and what gets documented properly is where most problems live.”</w:t>
      </w:r>
    </w:p>
    <w:p>
      <w:pPr>
        <w:pStyle w:val="BIKSmall"/>
        <w:ind w:left="567"/>
      </w:pPr>
      <w:r>
        <w:t>— BIK Product Vision, internal strategy documentation</w:t>
      </w:r>
    </w:p>
    <w:p>
      <w:pPr>
        <w:pStyle w:val="BIKH1"/>
      </w:pPr>
      <w:r>
        <w:t>Why Existing Options Fail</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Alternative</w:t>
            </w:r>
          </w:p>
        </w:tc>
        <w:tc>
          <w:tcPr>
            <w:tcW w:type="dxa" w:w="2986"/>
            <w:shd w:val="clear" w:color="auto" w:fill="252320"/>
            <w:tcMar>
              <w:top w:w="60" w:type="dxa"/>
              <w:bottom w:w="60" w:type="dxa"/>
              <w:left w:w="100" w:type="dxa"/>
              <w:right w:w="100" w:type="dxa"/>
            </w:tcMar>
            <w:vAlign w:val="center"/>
          </w:tcPr>
          <w:p>
            <w:r/>
            <w:r>
              <w:rPr>
                <w:b/>
                <w:color w:val="FFFFFF"/>
                <w:sz w:val="18"/>
              </w:rPr>
              <w:t>Why builders use it today</w:t>
            </w:r>
          </w:p>
        </w:tc>
        <w:tc>
          <w:tcPr>
            <w:tcW w:type="dxa" w:w="2986"/>
            <w:shd w:val="clear" w:color="auto" w:fill="252320"/>
            <w:tcMar>
              <w:top w:w="60" w:type="dxa"/>
              <w:bottom w:w="60" w:type="dxa"/>
              <w:left w:w="100" w:type="dxa"/>
              <w:right w:w="100" w:type="dxa"/>
            </w:tcMar>
            <w:vAlign w:val="center"/>
          </w:tcPr>
          <w:p>
            <w:r/>
            <w:r>
              <w:rPr>
                <w:b/>
                <w:color w:val="FFFFFF"/>
                <w:sz w:val="18"/>
              </w:rPr>
              <w:t>Why it fails them</w:t>
            </w:r>
          </w:p>
        </w:tc>
      </w:tr>
      <w:tr>
        <w:tc>
          <w:tcPr>
            <w:tcW w:type="dxa" w:w="2986"/>
            <w:tcMar>
              <w:top w:w="60" w:type="dxa"/>
              <w:bottom w:w="60" w:type="dxa"/>
              <w:left w:w="100" w:type="dxa"/>
              <w:right w:w="100" w:type="dxa"/>
            </w:tcMar>
            <w:vAlign w:val="center"/>
          </w:tcPr>
          <w:p>
            <w:r/>
            <w:r>
              <w:rPr>
                <w:color w:val="3A3835"/>
                <w:sz w:val="18"/>
              </w:rPr>
              <w:t>Microsoft Word / Excel</w:t>
            </w:r>
          </w:p>
        </w:tc>
        <w:tc>
          <w:tcPr>
            <w:tcW w:type="dxa" w:w="2986"/>
            <w:tcMar>
              <w:top w:w="60" w:type="dxa"/>
              <w:bottom w:w="60" w:type="dxa"/>
              <w:left w:w="100" w:type="dxa"/>
              <w:right w:w="100" w:type="dxa"/>
            </w:tcMar>
            <w:vAlign w:val="center"/>
          </w:tcPr>
          <w:p>
            <w:r/>
            <w:r>
              <w:rPr>
                <w:color w:val="3A3835"/>
                <w:sz w:val="18"/>
              </w:rPr>
              <w:t>Familiar, already licensed, flexible</w:t>
            </w:r>
          </w:p>
        </w:tc>
        <w:tc>
          <w:tcPr>
            <w:tcW w:type="dxa" w:w="2986"/>
            <w:tcMar>
              <w:top w:w="60" w:type="dxa"/>
              <w:bottom w:w="60" w:type="dxa"/>
              <w:left w:w="100" w:type="dxa"/>
              <w:right w:w="100" w:type="dxa"/>
            </w:tcMar>
            <w:vAlign w:val="center"/>
          </w:tcPr>
          <w:p>
            <w:r/>
            <w:r>
              <w:rPr>
                <w:color w:val="3A3835"/>
                <w:sz w:val="18"/>
              </w:rPr>
              <w:t>Zero automation or intelligence; every document is built from nothing, every time</w:t>
            </w:r>
          </w:p>
        </w:tc>
      </w:tr>
      <w:tr>
        <w:tc>
          <w:tcPr>
            <w:tcW w:type="dxa" w:w="2986"/>
            <w:tcMar>
              <w:top w:w="60" w:type="dxa"/>
              <w:bottom w:w="60" w:type="dxa"/>
              <w:left w:w="100" w:type="dxa"/>
              <w:right w:w="100" w:type="dxa"/>
            </w:tcMar>
            <w:vAlign w:val="center"/>
            <w:shd w:val="clear" w:color="auto" w:fill="F2EFEA"/>
          </w:tcPr>
          <w:p>
            <w:r/>
            <w:r>
              <w:rPr>
                <w:color w:val="3A3835"/>
                <w:sz w:val="18"/>
              </w:rPr>
              <w:t>Generic AI (ChatGPT)</w:t>
            </w:r>
          </w:p>
        </w:tc>
        <w:tc>
          <w:tcPr>
            <w:tcW w:type="dxa" w:w="2986"/>
            <w:tcMar>
              <w:top w:w="60" w:type="dxa"/>
              <w:bottom w:w="60" w:type="dxa"/>
              <w:left w:w="100" w:type="dxa"/>
              <w:right w:w="100" w:type="dxa"/>
            </w:tcMar>
            <w:vAlign w:val="center"/>
            <w:shd w:val="clear" w:color="auto" w:fill="F2EFEA"/>
          </w:tcPr>
          <w:p>
            <w:r/>
            <w:r>
              <w:rPr>
                <w:color w:val="3A3835"/>
                <w:sz w:val="18"/>
              </w:rPr>
              <w:t>Fast, flexible, cheap</w:t>
            </w:r>
          </w:p>
        </w:tc>
        <w:tc>
          <w:tcPr>
            <w:tcW w:type="dxa" w:w="2986"/>
            <w:tcMar>
              <w:top w:w="60" w:type="dxa"/>
              <w:bottom w:w="60" w:type="dxa"/>
              <w:left w:w="100" w:type="dxa"/>
              <w:right w:w="100" w:type="dxa"/>
            </w:tcMar>
            <w:vAlign w:val="center"/>
            <w:shd w:val="clear" w:color="auto" w:fill="F2EFEA"/>
          </w:tcPr>
          <w:p>
            <w:r/>
            <w:r>
              <w:rPr>
                <w:color w:val="3A3835"/>
                <w:sz w:val="18"/>
              </w:rPr>
              <w:t>Not construction-specific, no Australian compliance awareness, no templates, no audit trail, and prone to confidently inventing facts</w:t>
            </w:r>
          </w:p>
        </w:tc>
      </w:tr>
      <w:tr>
        <w:tc>
          <w:tcPr>
            <w:tcW w:type="dxa" w:w="2986"/>
            <w:tcMar>
              <w:top w:w="60" w:type="dxa"/>
              <w:bottom w:w="60" w:type="dxa"/>
              <w:left w:w="100" w:type="dxa"/>
              <w:right w:w="100" w:type="dxa"/>
            </w:tcMar>
            <w:vAlign w:val="center"/>
          </w:tcPr>
          <w:p>
            <w:r/>
            <w:r>
              <w:rPr>
                <w:color w:val="3A3835"/>
                <w:sz w:val="18"/>
              </w:rPr>
              <w:t>Enterprise platforms (Procore, Aconex)</w:t>
            </w:r>
          </w:p>
        </w:tc>
        <w:tc>
          <w:tcPr>
            <w:tcW w:type="dxa" w:w="2986"/>
            <w:tcMar>
              <w:top w:w="60" w:type="dxa"/>
              <w:bottom w:w="60" w:type="dxa"/>
              <w:left w:w="100" w:type="dxa"/>
              <w:right w:w="100" w:type="dxa"/>
            </w:tcMar>
            <w:vAlign w:val="center"/>
          </w:tcPr>
          <w:p>
            <w:r/>
            <w:r>
              <w:rPr>
                <w:color w:val="3A3835"/>
                <w:sz w:val="18"/>
              </w:rPr>
              <w:t>Comprehensive, credible for large projects</w:t>
            </w:r>
          </w:p>
        </w:tc>
        <w:tc>
          <w:tcPr>
            <w:tcW w:type="dxa" w:w="2986"/>
            <w:tcMar>
              <w:top w:w="60" w:type="dxa"/>
              <w:bottom w:w="60" w:type="dxa"/>
              <w:left w:w="100" w:type="dxa"/>
              <w:right w:w="100" w:type="dxa"/>
            </w:tcMar>
            <w:vAlign w:val="center"/>
          </w:tcPr>
          <w:p>
            <w:r/>
            <w:r>
              <w:rPr>
                <w:color w:val="3A3835"/>
                <w:sz w:val="18"/>
              </w:rPr>
              <w:t>Priced and designed for head contractors and tier-1 builders; wildly overkill and unaffordable for a 1–20 person business</w:t>
            </w:r>
          </w:p>
        </w:tc>
      </w:tr>
      <w:tr>
        <w:tc>
          <w:tcPr>
            <w:tcW w:type="dxa" w:w="2986"/>
            <w:tcMar>
              <w:top w:w="60" w:type="dxa"/>
              <w:bottom w:w="60" w:type="dxa"/>
              <w:left w:w="100" w:type="dxa"/>
              <w:right w:w="100" w:type="dxa"/>
            </w:tcMar>
            <w:vAlign w:val="center"/>
            <w:shd w:val="clear" w:color="auto" w:fill="F2EFEA"/>
          </w:tcPr>
          <w:p>
            <w:r/>
            <w:r>
              <w:rPr>
                <w:color w:val="3A3835"/>
                <w:sz w:val="18"/>
              </w:rPr>
              <w:t>Field service tools (ServiceM8, simPRO)</w:t>
            </w:r>
          </w:p>
        </w:tc>
        <w:tc>
          <w:tcPr>
            <w:tcW w:type="dxa" w:w="2986"/>
            <w:tcMar>
              <w:top w:w="60" w:type="dxa"/>
              <w:bottom w:w="60" w:type="dxa"/>
              <w:left w:w="100" w:type="dxa"/>
              <w:right w:w="100" w:type="dxa"/>
            </w:tcMar>
            <w:vAlign w:val="center"/>
            <w:shd w:val="clear" w:color="auto" w:fill="F2EFEA"/>
          </w:tcPr>
          <w:p>
            <w:r/>
            <w:r>
              <w:rPr>
                <w:color w:val="3A3835"/>
                <w:sz w:val="18"/>
              </w:rPr>
              <w:t>Good at scheduling and job management</w:t>
            </w:r>
          </w:p>
        </w:tc>
        <w:tc>
          <w:tcPr>
            <w:tcW w:type="dxa" w:w="2986"/>
            <w:tcMar>
              <w:top w:w="60" w:type="dxa"/>
              <w:bottom w:w="60" w:type="dxa"/>
              <w:left w:w="100" w:type="dxa"/>
              <w:right w:w="100" w:type="dxa"/>
            </w:tcMar>
            <w:vAlign w:val="center"/>
            <w:shd w:val="clear" w:color="auto" w:fill="F2EFEA"/>
          </w:tcPr>
          <w:p>
            <w:r/>
            <w:r>
              <w:rPr>
                <w:color w:val="3A3835"/>
                <w:sz w:val="18"/>
              </w:rPr>
              <w:t>Not built around document generation, compliance drafting, or construction-specific administrative language</w:t>
            </w:r>
          </w:p>
        </w:tc>
      </w:tr>
      <w:tr>
        <w:tc>
          <w:tcPr>
            <w:tcW w:type="dxa" w:w="2986"/>
            <w:tcMar>
              <w:top w:w="60" w:type="dxa"/>
              <w:bottom w:w="60" w:type="dxa"/>
              <w:left w:w="100" w:type="dxa"/>
              <w:right w:w="100" w:type="dxa"/>
            </w:tcMar>
            <w:vAlign w:val="center"/>
          </w:tcPr>
          <w:p>
            <w:r/>
            <w:r>
              <w:rPr>
                <w:color w:val="3A3835"/>
                <w:sz w:val="18"/>
              </w:rPr>
              <w:t>Doing nothing</w:t>
            </w:r>
          </w:p>
        </w:tc>
        <w:tc>
          <w:tcPr>
            <w:tcW w:type="dxa" w:w="2986"/>
            <w:tcMar>
              <w:top w:w="60" w:type="dxa"/>
              <w:bottom w:w="60" w:type="dxa"/>
              <w:left w:w="100" w:type="dxa"/>
              <w:right w:w="100" w:type="dxa"/>
            </w:tcMar>
            <w:vAlign w:val="center"/>
          </w:tcPr>
          <w:p>
            <w:r/>
            <w:r>
              <w:rPr>
                <w:color w:val="3A3835"/>
                <w:sz w:val="18"/>
              </w:rPr>
              <w:t>No cost, no learning curve</w:t>
            </w:r>
          </w:p>
        </w:tc>
        <w:tc>
          <w:tcPr>
            <w:tcW w:type="dxa" w:w="2986"/>
            <w:tcMar>
              <w:top w:w="60" w:type="dxa"/>
              <w:bottom w:w="60" w:type="dxa"/>
              <w:left w:w="100" w:type="dxa"/>
              <w:right w:w="100" w:type="dxa"/>
            </w:tcMar>
            <w:vAlign w:val="center"/>
          </w:tcPr>
          <w:p>
            <w:r/>
            <w:r>
              <w:rPr>
                <w:color w:val="3A3835"/>
                <w:sz w:val="18"/>
              </w:rPr>
              <w:t>The most common choice — and the most expensive one, in disputes, in cash flow, and in professional reputation</w:t>
            </w:r>
          </w:p>
        </w:tc>
      </w:tr>
    </w:tbl>
    <w:p>
      <w:pPr>
        <w:spacing w:after="120"/>
      </w:pPr>
    </w:p>
    <w:p>
      <w:pPr>
        <w:pStyle w:val="BIKH1"/>
      </w:pPr>
      <w:r>
        <w:t>The Opportunity</w:t>
      </w:r>
    </w:p>
    <w:p>
      <w:pPr>
        <w:pStyle w:val="BIKBody"/>
        <w:jc w:val="both"/>
      </w:pPr>
      <w:r>
        <w:t>The Australian construction industry contributes over $360 billion to GDP annually and is one of the least digitised industries in the country relative to its economic weight. Purpose-built, AI-powered tooling for this market is largely absent: the software that exists is either generic productivity software or complex enterprise systems that are irrelevant to the vast majority of businesses in the sector, which have between one and twenty staff. There is a clear, underserved market for:</w:t>
      </w:r>
    </w:p>
    <w:p>
      <w:pPr>
        <w:pStyle w:val="ListBullet"/>
      </w:pPr>
      <w:r>
        <w:t>Simple, fast, trade-specific AI document generation that a sole trader can use without training</w:t>
      </w:r>
    </w:p>
    <w:p>
      <w:pPr>
        <w:pStyle w:val="ListBullet"/>
      </w:pPr>
      <w:r>
        <w:t>Compliance tooling built around Australian regulation — WHS, the Building Industry Fairness (Security of Payment) Act, and state-based equivalents</w:t>
      </w:r>
    </w:p>
    <w:p>
      <w:pPr>
        <w:pStyle w:val="ListBullet"/>
      </w:pPr>
      <w:r>
        <w:t>A platform that grows with the business, from sole trader through to a 20-person outfit, without forcing a switch to enterprise software</w:t>
      </w:r>
    </w:p>
    <w:p>
      <w:pPr>
        <w:pStyle w:val="BIKH1"/>
      </w:pPr>
      <w:r>
        <w:t>The Solution</w:t>
      </w:r>
    </w:p>
    <w:p>
      <w:pPr>
        <w:pStyle w:val="BIKBody"/>
        <w:jc w:val="both"/>
      </w:pPr>
      <w:r>
        <w:t>The BIK Business Toolkit is a catalogue of AI-assisted document and workflow tools purpose-built for Australian trade and construction businesses, organised into eight categories — Sales &amp; Business Development, Project Administration, Safety &amp; Compliance, Finance &amp; Accounts, Client Communication, HR &amp; People, Subcontractor Management, and (from Phase 4) autonomous AI Agents. Sixty-two tools are catalogued today; ten are prioritised for Phase 1 and five of those are already live in beta.</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Phase 1 tool</w:t>
            </w:r>
          </w:p>
        </w:tc>
        <w:tc>
          <w:tcPr>
            <w:tcW w:type="dxa" w:w="2239"/>
            <w:shd w:val="clear" w:color="auto" w:fill="252320"/>
            <w:tcMar>
              <w:top w:w="60" w:type="dxa"/>
              <w:bottom w:w="60" w:type="dxa"/>
              <w:left w:w="100" w:type="dxa"/>
              <w:right w:w="100" w:type="dxa"/>
            </w:tcMar>
            <w:vAlign w:val="center"/>
          </w:tcPr>
          <w:p>
            <w:r/>
            <w:r>
              <w:rPr>
                <w:b/>
                <w:color w:val="FFFFFF"/>
                <w:sz w:val="18"/>
              </w:rPr>
              <w:t>Category</w:t>
            </w:r>
          </w:p>
        </w:tc>
        <w:tc>
          <w:tcPr>
            <w:tcW w:type="dxa" w:w="2239"/>
            <w:shd w:val="clear" w:color="auto" w:fill="252320"/>
            <w:tcMar>
              <w:top w:w="60" w:type="dxa"/>
              <w:bottom w:w="60" w:type="dxa"/>
              <w:left w:w="100" w:type="dxa"/>
              <w:right w:w="100" w:type="dxa"/>
            </w:tcMar>
            <w:vAlign w:val="center"/>
          </w:tcPr>
          <w:p>
            <w:r/>
            <w:r>
              <w:rPr>
                <w:b/>
                <w:color w:val="FFFFFF"/>
                <w:sz w:val="18"/>
              </w:rPr>
              <w:t>Status</w:t>
            </w:r>
          </w:p>
        </w:tc>
        <w:tc>
          <w:tcPr>
            <w:tcW w:type="dxa" w:w="2239"/>
            <w:shd w:val="clear" w:color="auto" w:fill="252320"/>
            <w:tcMar>
              <w:top w:w="60" w:type="dxa"/>
              <w:bottom w:w="60" w:type="dxa"/>
              <w:left w:w="100" w:type="dxa"/>
              <w:right w:w="100" w:type="dxa"/>
            </w:tcMar>
            <w:vAlign w:val="center"/>
          </w:tcPr>
          <w:p>
            <w:r/>
            <w:r>
              <w:rPr>
                <w:b/>
                <w:color w:val="FFFFFF"/>
                <w:sz w:val="18"/>
              </w:rPr>
              <w:t>Time saved per use</w:t>
            </w:r>
          </w:p>
        </w:tc>
      </w:tr>
      <w:tr>
        <w:tc>
          <w:tcPr>
            <w:tcW w:type="dxa" w:w="2239"/>
            <w:tcMar>
              <w:top w:w="60" w:type="dxa"/>
              <w:bottom w:w="60" w:type="dxa"/>
              <w:left w:w="100" w:type="dxa"/>
              <w:right w:w="100" w:type="dxa"/>
            </w:tcMar>
            <w:vAlign w:val="center"/>
          </w:tcPr>
          <w:p>
            <w:r/>
            <w:r>
              <w:rPr>
                <w:color w:val="3A3835"/>
                <w:sz w:val="18"/>
              </w:rPr>
              <w:t>Quote Builder</w:t>
            </w:r>
          </w:p>
        </w:tc>
        <w:tc>
          <w:tcPr>
            <w:tcW w:type="dxa" w:w="2239"/>
            <w:tcMar>
              <w:top w:w="60" w:type="dxa"/>
              <w:bottom w:w="60" w:type="dxa"/>
              <w:left w:w="100" w:type="dxa"/>
              <w:right w:w="100" w:type="dxa"/>
            </w:tcMar>
            <w:vAlign w:val="center"/>
          </w:tcPr>
          <w:p>
            <w:r/>
            <w:r>
              <w:rPr>
                <w:color w:val="3A3835"/>
                <w:sz w:val="18"/>
              </w:rPr>
              <w:t>Sales &amp; BD</w:t>
            </w:r>
          </w:p>
        </w:tc>
        <w:tc>
          <w:tcPr>
            <w:tcW w:type="dxa" w:w="2239"/>
            <w:tcMar>
              <w:top w:w="60" w:type="dxa"/>
              <w:bottom w:w="60" w:type="dxa"/>
              <w:left w:w="100" w:type="dxa"/>
              <w:right w:w="100" w:type="dxa"/>
            </w:tcMar>
            <w:vAlign w:val="center"/>
          </w:tcPr>
          <w:p>
            <w:r/>
            <w:r>
              <w:rPr>
                <w:color w:val="3A3835"/>
                <w:sz w:val="18"/>
              </w:rPr>
              <w:t>Live</w:t>
            </w:r>
          </w:p>
        </w:tc>
        <w:tc>
          <w:tcPr>
            <w:tcW w:type="dxa" w:w="2239"/>
            <w:tcMar>
              <w:top w:w="60" w:type="dxa"/>
              <w:bottom w:w="60" w:type="dxa"/>
              <w:left w:w="100" w:type="dxa"/>
              <w:right w:w="100" w:type="dxa"/>
            </w:tcMar>
            <w:vAlign w:val="center"/>
          </w:tcPr>
          <w:p>
            <w:r/>
            <w:r>
              <w:rPr>
                <w:color w:val="3A3835"/>
                <w:sz w:val="18"/>
              </w:rPr>
              <w:t>~90 minutes</w:t>
            </w:r>
          </w:p>
        </w:tc>
      </w:tr>
      <w:tr>
        <w:tc>
          <w:tcPr>
            <w:tcW w:type="dxa" w:w="2239"/>
            <w:tcMar>
              <w:top w:w="60" w:type="dxa"/>
              <w:bottom w:w="60" w:type="dxa"/>
              <w:left w:w="100" w:type="dxa"/>
              <w:right w:w="100" w:type="dxa"/>
            </w:tcMar>
            <w:vAlign w:val="center"/>
            <w:shd w:val="clear" w:color="auto" w:fill="F2EFEA"/>
          </w:tcPr>
          <w:p>
            <w:r/>
            <w:r>
              <w:rPr>
                <w:color w:val="3A3835"/>
                <w:sz w:val="18"/>
              </w:rPr>
              <w:t>Scope of Works Generator</w:t>
            </w:r>
          </w:p>
        </w:tc>
        <w:tc>
          <w:tcPr>
            <w:tcW w:type="dxa" w:w="2239"/>
            <w:tcMar>
              <w:top w:w="60" w:type="dxa"/>
              <w:bottom w:w="60" w:type="dxa"/>
              <w:left w:w="100" w:type="dxa"/>
              <w:right w:w="100" w:type="dxa"/>
            </w:tcMar>
            <w:vAlign w:val="center"/>
            <w:shd w:val="clear" w:color="auto" w:fill="F2EFEA"/>
          </w:tcPr>
          <w:p>
            <w:r/>
            <w:r>
              <w:rPr>
                <w:color w:val="3A3835"/>
                <w:sz w:val="18"/>
              </w:rPr>
              <w:t>Project Admin</w:t>
            </w:r>
          </w:p>
        </w:tc>
        <w:tc>
          <w:tcPr>
            <w:tcW w:type="dxa" w:w="2239"/>
            <w:tcMar>
              <w:top w:w="60" w:type="dxa"/>
              <w:bottom w:w="60" w:type="dxa"/>
              <w:left w:w="100" w:type="dxa"/>
              <w:right w:w="100" w:type="dxa"/>
            </w:tcMar>
            <w:vAlign w:val="center"/>
            <w:shd w:val="clear" w:color="auto" w:fill="F2EFEA"/>
          </w:tcPr>
          <w:p>
            <w:r/>
            <w:r>
              <w:rPr>
                <w:color w:val="3A3835"/>
                <w:sz w:val="18"/>
              </w:rPr>
              <w:t>Live</w:t>
            </w:r>
          </w:p>
        </w:tc>
        <w:tc>
          <w:tcPr>
            <w:tcW w:type="dxa" w:w="2239"/>
            <w:tcMar>
              <w:top w:w="60" w:type="dxa"/>
              <w:bottom w:w="60" w:type="dxa"/>
              <w:left w:w="100" w:type="dxa"/>
              <w:right w:w="100" w:type="dxa"/>
            </w:tcMar>
            <w:vAlign w:val="center"/>
            <w:shd w:val="clear" w:color="auto" w:fill="F2EFEA"/>
          </w:tcPr>
          <w:p>
            <w:r/>
            <w:r>
              <w:rPr>
                <w:color w:val="3A3835"/>
                <w:sz w:val="18"/>
              </w:rPr>
              <w:t>60–90 minutes</w:t>
            </w:r>
          </w:p>
        </w:tc>
      </w:tr>
      <w:tr>
        <w:tc>
          <w:tcPr>
            <w:tcW w:type="dxa" w:w="2239"/>
            <w:tcMar>
              <w:top w:w="60" w:type="dxa"/>
              <w:bottom w:w="60" w:type="dxa"/>
              <w:left w:w="100" w:type="dxa"/>
              <w:right w:w="100" w:type="dxa"/>
            </w:tcMar>
            <w:vAlign w:val="center"/>
          </w:tcPr>
          <w:p>
            <w:r/>
            <w:r>
              <w:rPr>
                <w:color w:val="3A3835"/>
                <w:sz w:val="18"/>
              </w:rPr>
              <w:t>Variation Notice</w:t>
            </w:r>
          </w:p>
        </w:tc>
        <w:tc>
          <w:tcPr>
            <w:tcW w:type="dxa" w:w="2239"/>
            <w:tcMar>
              <w:top w:w="60" w:type="dxa"/>
              <w:bottom w:w="60" w:type="dxa"/>
              <w:left w:w="100" w:type="dxa"/>
              <w:right w:w="100" w:type="dxa"/>
            </w:tcMar>
            <w:vAlign w:val="center"/>
          </w:tcPr>
          <w:p>
            <w:r/>
            <w:r>
              <w:rPr>
                <w:color w:val="3A3835"/>
                <w:sz w:val="18"/>
              </w:rPr>
              <w:t>Project Admin</w:t>
            </w:r>
          </w:p>
        </w:tc>
        <w:tc>
          <w:tcPr>
            <w:tcW w:type="dxa" w:w="2239"/>
            <w:tcMar>
              <w:top w:w="60" w:type="dxa"/>
              <w:bottom w:w="60" w:type="dxa"/>
              <w:left w:w="100" w:type="dxa"/>
              <w:right w:w="100" w:type="dxa"/>
            </w:tcMar>
            <w:vAlign w:val="center"/>
          </w:tcPr>
          <w:p>
            <w:r/>
            <w:r>
              <w:rPr>
                <w:color w:val="3A3835"/>
                <w:sz w:val="18"/>
              </w:rPr>
              <w:t>Live — production ready</w:t>
            </w:r>
          </w:p>
        </w:tc>
        <w:tc>
          <w:tcPr>
            <w:tcW w:type="dxa" w:w="2239"/>
            <w:tcMar>
              <w:top w:w="60" w:type="dxa"/>
              <w:bottom w:w="60" w:type="dxa"/>
              <w:left w:w="100" w:type="dxa"/>
              <w:right w:w="100" w:type="dxa"/>
            </w:tcMar>
            <w:vAlign w:val="center"/>
          </w:tcPr>
          <w:p>
            <w:r/>
            <w:r>
              <w:rPr>
                <w:color w:val="3A3835"/>
                <w:sz w:val="18"/>
              </w:rPr>
              <w:t>30 minutes</w:t>
            </w:r>
          </w:p>
        </w:tc>
      </w:tr>
      <w:tr>
        <w:tc>
          <w:tcPr>
            <w:tcW w:type="dxa" w:w="2239"/>
            <w:tcMar>
              <w:top w:w="60" w:type="dxa"/>
              <w:bottom w:w="60" w:type="dxa"/>
              <w:left w:w="100" w:type="dxa"/>
              <w:right w:w="100" w:type="dxa"/>
            </w:tcMar>
            <w:vAlign w:val="center"/>
            <w:shd w:val="clear" w:color="auto" w:fill="F2EFEA"/>
          </w:tcPr>
          <w:p>
            <w:r/>
            <w:r>
              <w:rPr>
                <w:color w:val="3A3835"/>
                <w:sz w:val="18"/>
              </w:rPr>
              <w:t>Site Diary Generator</w:t>
            </w:r>
          </w:p>
        </w:tc>
        <w:tc>
          <w:tcPr>
            <w:tcW w:type="dxa" w:w="2239"/>
            <w:tcMar>
              <w:top w:w="60" w:type="dxa"/>
              <w:bottom w:w="60" w:type="dxa"/>
              <w:left w:w="100" w:type="dxa"/>
              <w:right w:w="100" w:type="dxa"/>
            </w:tcMar>
            <w:vAlign w:val="center"/>
            <w:shd w:val="clear" w:color="auto" w:fill="F2EFEA"/>
          </w:tcPr>
          <w:p>
            <w:r/>
            <w:r>
              <w:rPr>
                <w:color w:val="3A3835"/>
                <w:sz w:val="18"/>
              </w:rPr>
              <w:t>Project Admin (Free)</w:t>
            </w:r>
          </w:p>
        </w:tc>
        <w:tc>
          <w:tcPr>
            <w:tcW w:type="dxa" w:w="2239"/>
            <w:tcMar>
              <w:top w:w="60" w:type="dxa"/>
              <w:bottom w:w="60" w:type="dxa"/>
              <w:left w:w="100" w:type="dxa"/>
              <w:right w:w="100" w:type="dxa"/>
            </w:tcMar>
            <w:vAlign w:val="center"/>
            <w:shd w:val="clear" w:color="auto" w:fill="F2EFEA"/>
          </w:tcPr>
          <w:p>
            <w:r/>
            <w:r>
              <w:rPr>
                <w:color w:val="3A3835"/>
                <w:sz w:val="18"/>
              </w:rPr>
              <w:t>Live</w:t>
            </w:r>
          </w:p>
        </w:tc>
        <w:tc>
          <w:tcPr>
            <w:tcW w:type="dxa" w:w="2239"/>
            <w:tcMar>
              <w:top w:w="60" w:type="dxa"/>
              <w:bottom w:w="60" w:type="dxa"/>
              <w:left w:w="100" w:type="dxa"/>
              <w:right w:w="100" w:type="dxa"/>
            </w:tcMar>
            <w:vAlign w:val="center"/>
            <w:shd w:val="clear" w:color="auto" w:fill="F2EFEA"/>
          </w:tcPr>
          <w:p>
            <w:r/>
            <w:r>
              <w:rPr>
                <w:color w:val="3A3835"/>
                <w:sz w:val="18"/>
              </w:rPr>
              <w:t>15–20 minutes / day</w:t>
            </w:r>
          </w:p>
        </w:tc>
      </w:tr>
      <w:tr>
        <w:tc>
          <w:tcPr>
            <w:tcW w:type="dxa" w:w="2239"/>
            <w:tcMar>
              <w:top w:w="60" w:type="dxa"/>
              <w:bottom w:w="60" w:type="dxa"/>
              <w:left w:w="100" w:type="dxa"/>
              <w:right w:w="100" w:type="dxa"/>
            </w:tcMar>
            <w:vAlign w:val="center"/>
          </w:tcPr>
          <w:p>
            <w:r/>
            <w:r>
              <w:rPr>
                <w:color w:val="3A3835"/>
                <w:sz w:val="18"/>
              </w:rPr>
              <w:t>Defect Report</w:t>
            </w:r>
          </w:p>
        </w:tc>
        <w:tc>
          <w:tcPr>
            <w:tcW w:type="dxa" w:w="2239"/>
            <w:tcMar>
              <w:top w:w="60" w:type="dxa"/>
              <w:bottom w:w="60" w:type="dxa"/>
              <w:left w:w="100" w:type="dxa"/>
              <w:right w:w="100" w:type="dxa"/>
            </w:tcMar>
            <w:vAlign w:val="center"/>
          </w:tcPr>
          <w:p>
            <w:r/>
            <w:r>
              <w:rPr>
                <w:color w:val="3A3835"/>
                <w:sz w:val="18"/>
              </w:rPr>
              <w:t>Project Admin</w:t>
            </w:r>
          </w:p>
        </w:tc>
        <w:tc>
          <w:tcPr>
            <w:tcW w:type="dxa" w:w="2239"/>
            <w:tcMar>
              <w:top w:w="60" w:type="dxa"/>
              <w:bottom w:w="60" w:type="dxa"/>
              <w:left w:w="100" w:type="dxa"/>
              <w:right w:w="100" w:type="dxa"/>
            </w:tcMar>
            <w:vAlign w:val="center"/>
          </w:tcPr>
          <w:p>
            <w:r/>
            <w:r>
              <w:rPr>
                <w:color w:val="3A3835"/>
                <w:sz w:val="18"/>
              </w:rPr>
              <w:t>Live</w:t>
            </w:r>
          </w:p>
        </w:tc>
        <w:tc>
          <w:tcPr>
            <w:tcW w:type="dxa" w:w="2239"/>
            <w:tcMar>
              <w:top w:w="60" w:type="dxa"/>
              <w:bottom w:w="60" w:type="dxa"/>
              <w:left w:w="100" w:type="dxa"/>
              <w:right w:w="100" w:type="dxa"/>
            </w:tcMar>
            <w:vAlign w:val="center"/>
          </w:tcPr>
          <w:p>
            <w:r/>
            <w:r>
              <w:rPr>
                <w:color w:val="3A3835"/>
                <w:sz w:val="18"/>
              </w:rPr>
              <w:t>45 minutes</w:t>
            </w:r>
          </w:p>
        </w:tc>
      </w:tr>
      <w:tr>
        <w:tc>
          <w:tcPr>
            <w:tcW w:type="dxa" w:w="2239"/>
            <w:tcMar>
              <w:top w:w="60" w:type="dxa"/>
              <w:bottom w:w="60" w:type="dxa"/>
              <w:left w:w="100" w:type="dxa"/>
              <w:right w:w="100" w:type="dxa"/>
            </w:tcMar>
            <w:vAlign w:val="center"/>
            <w:shd w:val="clear" w:color="auto" w:fill="F2EFEA"/>
          </w:tcPr>
          <w:p>
            <w:r/>
            <w:r>
              <w:rPr>
                <w:color w:val="3A3835"/>
                <w:sz w:val="18"/>
              </w:rPr>
              <w:t>Progress Claim</w:t>
            </w:r>
          </w:p>
        </w:tc>
        <w:tc>
          <w:tcPr>
            <w:tcW w:type="dxa" w:w="2239"/>
            <w:tcMar>
              <w:top w:w="60" w:type="dxa"/>
              <w:bottom w:w="60" w:type="dxa"/>
              <w:left w:w="100" w:type="dxa"/>
              <w:right w:w="100" w:type="dxa"/>
            </w:tcMar>
            <w:vAlign w:val="center"/>
            <w:shd w:val="clear" w:color="auto" w:fill="F2EFEA"/>
          </w:tcPr>
          <w:p>
            <w:r/>
            <w:r>
              <w:rPr>
                <w:color w:val="3A3835"/>
                <w:sz w:val="18"/>
              </w:rPr>
              <w:t>Finance</w:t>
            </w:r>
          </w:p>
        </w:tc>
        <w:tc>
          <w:tcPr>
            <w:tcW w:type="dxa" w:w="2239"/>
            <w:tcMar>
              <w:top w:w="60" w:type="dxa"/>
              <w:bottom w:w="60" w:type="dxa"/>
              <w:left w:w="100" w:type="dxa"/>
              <w:right w:w="100" w:type="dxa"/>
            </w:tcMar>
            <w:vAlign w:val="center"/>
            <w:shd w:val="clear" w:color="auto" w:fill="F2EFEA"/>
          </w:tcPr>
          <w:p>
            <w:r/>
            <w:r>
              <w:rPr>
                <w:color w:val="3A3835"/>
                <w:sz w:val="18"/>
              </w:rPr>
              <w:t>In development — highest commercial priority</w:t>
            </w:r>
          </w:p>
        </w:tc>
        <w:tc>
          <w:tcPr>
            <w:tcW w:type="dxa" w:w="2239"/>
            <w:tcMar>
              <w:top w:w="60" w:type="dxa"/>
              <w:bottom w:w="60" w:type="dxa"/>
              <w:left w:w="100" w:type="dxa"/>
              <w:right w:w="100" w:type="dxa"/>
            </w:tcMar>
            <w:vAlign w:val="center"/>
            <w:shd w:val="clear" w:color="auto" w:fill="F2EFEA"/>
          </w:tcPr>
          <w:p>
            <w:r/>
            <w:r>
              <w:rPr>
                <w:color w:val="3A3835"/>
                <w:sz w:val="18"/>
              </w:rPr>
              <w:t>60 minutes</w:t>
            </w:r>
          </w:p>
        </w:tc>
      </w:tr>
      <w:tr>
        <w:tc>
          <w:tcPr>
            <w:tcW w:type="dxa" w:w="2239"/>
            <w:tcMar>
              <w:top w:w="60" w:type="dxa"/>
              <w:bottom w:w="60" w:type="dxa"/>
              <w:left w:w="100" w:type="dxa"/>
              <w:right w:w="100" w:type="dxa"/>
            </w:tcMar>
            <w:vAlign w:val="center"/>
          </w:tcPr>
          <w:p>
            <w:r/>
            <w:r>
              <w:rPr>
                <w:color w:val="3A3835"/>
                <w:sz w:val="18"/>
              </w:rPr>
              <w:t>SWMS Generator</w:t>
            </w:r>
          </w:p>
        </w:tc>
        <w:tc>
          <w:tcPr>
            <w:tcW w:type="dxa" w:w="2239"/>
            <w:tcMar>
              <w:top w:w="60" w:type="dxa"/>
              <w:bottom w:w="60" w:type="dxa"/>
              <w:left w:w="100" w:type="dxa"/>
              <w:right w:w="100" w:type="dxa"/>
            </w:tcMar>
            <w:vAlign w:val="center"/>
          </w:tcPr>
          <w:p>
            <w:r/>
            <w:r>
              <w:rPr>
                <w:color w:val="3A3835"/>
                <w:sz w:val="18"/>
              </w:rPr>
              <w:t>Safety</w:t>
            </w:r>
          </w:p>
        </w:tc>
        <w:tc>
          <w:tcPr>
            <w:tcW w:type="dxa" w:w="2239"/>
            <w:tcMar>
              <w:top w:w="60" w:type="dxa"/>
              <w:bottom w:w="60" w:type="dxa"/>
              <w:left w:w="100" w:type="dxa"/>
              <w:right w:w="100" w:type="dxa"/>
            </w:tcMar>
            <w:vAlign w:val="center"/>
          </w:tcPr>
          <w:p>
            <w:r/>
            <w:r>
              <w:rPr>
                <w:color w:val="3A3835"/>
                <w:sz w:val="18"/>
              </w:rPr>
              <w:t>Drafted — legal review HOLD</w:t>
            </w:r>
          </w:p>
        </w:tc>
        <w:tc>
          <w:tcPr>
            <w:tcW w:type="dxa" w:w="2239"/>
            <w:tcMar>
              <w:top w:w="60" w:type="dxa"/>
              <w:bottom w:w="60" w:type="dxa"/>
              <w:left w:w="100" w:type="dxa"/>
              <w:right w:w="100" w:type="dxa"/>
            </w:tcMar>
            <w:vAlign w:val="center"/>
          </w:tcPr>
          <w:p>
            <w:r/>
            <w:r>
              <w:rPr>
                <w:color w:val="3A3835"/>
                <w:sz w:val="18"/>
              </w:rPr>
              <w:t>60–90 minutes</w:t>
            </w:r>
          </w:p>
        </w:tc>
      </w:tr>
      <w:tr>
        <w:tc>
          <w:tcPr>
            <w:tcW w:type="dxa" w:w="2239"/>
            <w:tcMar>
              <w:top w:w="60" w:type="dxa"/>
              <w:bottom w:w="60" w:type="dxa"/>
              <w:left w:w="100" w:type="dxa"/>
              <w:right w:w="100" w:type="dxa"/>
            </w:tcMar>
            <w:vAlign w:val="center"/>
            <w:shd w:val="clear" w:color="auto" w:fill="F2EFEA"/>
          </w:tcPr>
          <w:p>
            <w:r/>
            <w:r>
              <w:rPr>
                <w:color w:val="3A3835"/>
                <w:sz w:val="18"/>
              </w:rPr>
              <w:t>Toolbox Talk Generator</w:t>
            </w:r>
          </w:p>
        </w:tc>
        <w:tc>
          <w:tcPr>
            <w:tcW w:type="dxa" w:w="2239"/>
            <w:tcMar>
              <w:top w:w="60" w:type="dxa"/>
              <w:bottom w:w="60" w:type="dxa"/>
              <w:left w:w="100" w:type="dxa"/>
              <w:right w:w="100" w:type="dxa"/>
            </w:tcMar>
            <w:vAlign w:val="center"/>
            <w:shd w:val="clear" w:color="auto" w:fill="F2EFEA"/>
          </w:tcPr>
          <w:p>
            <w:r/>
            <w:r>
              <w:rPr>
                <w:color w:val="3A3835"/>
                <w:sz w:val="18"/>
              </w:rPr>
              <w:t>Safety (Free)</w:t>
            </w:r>
          </w:p>
        </w:tc>
        <w:tc>
          <w:tcPr>
            <w:tcW w:type="dxa" w:w="2239"/>
            <w:tcMar>
              <w:top w:w="60" w:type="dxa"/>
              <w:bottom w:w="60" w:type="dxa"/>
              <w:left w:w="100" w:type="dxa"/>
              <w:right w:w="100" w:type="dxa"/>
            </w:tcMar>
            <w:vAlign w:val="center"/>
            <w:shd w:val="clear" w:color="auto" w:fill="F2EFEA"/>
          </w:tcPr>
          <w:p>
            <w:r/>
            <w:r>
              <w:rPr>
                <w:color w:val="3A3835"/>
                <w:sz w:val="18"/>
              </w:rPr>
              <w:t>Live</w:t>
            </w:r>
          </w:p>
        </w:tc>
        <w:tc>
          <w:tcPr>
            <w:tcW w:type="dxa" w:w="2239"/>
            <w:tcMar>
              <w:top w:w="60" w:type="dxa"/>
              <w:bottom w:w="60" w:type="dxa"/>
              <w:left w:w="100" w:type="dxa"/>
              <w:right w:w="100" w:type="dxa"/>
            </w:tcMar>
            <w:vAlign w:val="center"/>
            <w:shd w:val="clear" w:color="auto" w:fill="F2EFEA"/>
          </w:tcPr>
          <w:p>
            <w:r/>
            <w:r>
              <w:rPr>
                <w:color w:val="3A3835"/>
                <w:sz w:val="18"/>
              </w:rPr>
              <w:t>45 minutes</w:t>
            </w:r>
          </w:p>
        </w:tc>
      </w:tr>
      <w:tr>
        <w:tc>
          <w:tcPr>
            <w:tcW w:type="dxa" w:w="2239"/>
            <w:tcMar>
              <w:top w:w="60" w:type="dxa"/>
              <w:bottom w:w="60" w:type="dxa"/>
              <w:left w:w="100" w:type="dxa"/>
              <w:right w:w="100" w:type="dxa"/>
            </w:tcMar>
            <w:vAlign w:val="center"/>
          </w:tcPr>
          <w:p>
            <w:r/>
            <w:r>
              <w:rPr>
                <w:color w:val="3A3835"/>
                <w:sz w:val="18"/>
              </w:rPr>
              <w:t>Payment Reminder</w:t>
            </w:r>
          </w:p>
        </w:tc>
        <w:tc>
          <w:tcPr>
            <w:tcW w:type="dxa" w:w="2239"/>
            <w:tcMar>
              <w:top w:w="60" w:type="dxa"/>
              <w:bottom w:w="60" w:type="dxa"/>
              <w:left w:w="100" w:type="dxa"/>
              <w:right w:w="100" w:type="dxa"/>
            </w:tcMar>
            <w:vAlign w:val="center"/>
          </w:tcPr>
          <w:p>
            <w:r/>
            <w:r>
              <w:rPr>
                <w:color w:val="3A3835"/>
                <w:sz w:val="18"/>
              </w:rPr>
              <w:t>Finance (Free)</w:t>
            </w:r>
          </w:p>
        </w:tc>
        <w:tc>
          <w:tcPr>
            <w:tcW w:type="dxa" w:w="2239"/>
            <w:tcMar>
              <w:top w:w="60" w:type="dxa"/>
              <w:bottom w:w="60" w:type="dxa"/>
              <w:left w:w="100" w:type="dxa"/>
              <w:right w:w="100" w:type="dxa"/>
            </w:tcMar>
            <w:vAlign w:val="center"/>
          </w:tcPr>
          <w:p>
            <w:r/>
            <w:r>
              <w:rPr>
                <w:color w:val="3A3835"/>
                <w:sz w:val="18"/>
              </w:rPr>
              <w:t>Live</w:t>
            </w:r>
          </w:p>
        </w:tc>
        <w:tc>
          <w:tcPr>
            <w:tcW w:type="dxa" w:w="2239"/>
            <w:tcMar>
              <w:top w:w="60" w:type="dxa"/>
              <w:bottom w:w="60" w:type="dxa"/>
              <w:left w:w="100" w:type="dxa"/>
              <w:right w:w="100" w:type="dxa"/>
            </w:tcMar>
            <w:vAlign w:val="center"/>
          </w:tcPr>
          <w:p>
            <w:r/>
            <w:r>
              <w:rPr>
                <w:color w:val="3A3835"/>
                <w:sz w:val="18"/>
              </w:rPr>
              <w:t>15 minutes</w:t>
            </w:r>
          </w:p>
        </w:tc>
      </w:tr>
      <w:tr>
        <w:tc>
          <w:tcPr>
            <w:tcW w:type="dxa" w:w="2239"/>
            <w:tcMar>
              <w:top w:w="60" w:type="dxa"/>
              <w:bottom w:w="60" w:type="dxa"/>
              <w:left w:w="100" w:type="dxa"/>
              <w:right w:w="100" w:type="dxa"/>
            </w:tcMar>
            <w:vAlign w:val="center"/>
            <w:shd w:val="clear" w:color="auto" w:fill="F2EFEA"/>
          </w:tcPr>
          <w:p>
            <w:r/>
            <w:r>
              <w:rPr>
                <w:color w:val="3A3835"/>
                <w:sz w:val="18"/>
              </w:rPr>
              <w:t>Site Inspection Report</w:t>
            </w:r>
          </w:p>
        </w:tc>
        <w:tc>
          <w:tcPr>
            <w:tcW w:type="dxa" w:w="2239"/>
            <w:tcMar>
              <w:top w:w="60" w:type="dxa"/>
              <w:bottom w:w="60" w:type="dxa"/>
              <w:left w:w="100" w:type="dxa"/>
              <w:right w:w="100" w:type="dxa"/>
            </w:tcMar>
            <w:vAlign w:val="center"/>
            <w:shd w:val="clear" w:color="auto" w:fill="F2EFEA"/>
          </w:tcPr>
          <w:p>
            <w:r/>
            <w:r>
              <w:rPr>
                <w:color w:val="3A3835"/>
                <w:sz w:val="18"/>
              </w:rPr>
              <w:t>Project Admin</w:t>
            </w:r>
          </w:p>
        </w:tc>
        <w:tc>
          <w:tcPr>
            <w:tcW w:type="dxa" w:w="2239"/>
            <w:tcMar>
              <w:top w:w="60" w:type="dxa"/>
              <w:bottom w:w="60" w:type="dxa"/>
              <w:left w:w="100" w:type="dxa"/>
              <w:right w:w="100" w:type="dxa"/>
            </w:tcMar>
            <w:vAlign w:val="center"/>
            <w:shd w:val="clear" w:color="auto" w:fill="F2EFEA"/>
          </w:tcPr>
          <w:p>
            <w:r/>
            <w:r>
              <w:rPr>
                <w:color w:val="3A3835"/>
                <w:sz w:val="18"/>
              </w:rPr>
              <w:t>Drafted</w:t>
            </w:r>
          </w:p>
        </w:tc>
        <w:tc>
          <w:tcPr>
            <w:tcW w:type="dxa" w:w="2239"/>
            <w:tcMar>
              <w:top w:w="60" w:type="dxa"/>
              <w:bottom w:w="60" w:type="dxa"/>
              <w:left w:w="100" w:type="dxa"/>
              <w:right w:w="100" w:type="dxa"/>
            </w:tcMar>
            <w:vAlign w:val="center"/>
            <w:shd w:val="clear" w:color="auto" w:fill="F2EFEA"/>
          </w:tcPr>
          <w:p>
            <w:r/>
            <w:r>
              <w:rPr>
                <w:color w:val="3A3835"/>
                <w:sz w:val="18"/>
              </w:rPr>
              <w:t>60 minutes</w:t>
            </w:r>
          </w:p>
        </w:tc>
      </w:tr>
    </w:tbl>
    <w:p>
      <w:pPr>
        <w:spacing w:after="120"/>
      </w:pPr>
    </w:p>
    <w:p>
      <w:pPr>
        <w:pStyle w:val="BIKCaption"/>
        <w:jc w:val="center"/>
      </w:pPr>
      <w:r>
        <w:t>Source: docs/ai-tool-catalogue.md and docs/legal-and-safety-tool-register.md (BIK internal documentation)</w:t>
      </w:r>
    </w:p>
    <w:p>
      <w:pPr>
        <w:pStyle w:val="BIKH1"/>
      </w:pPr>
      <w:r>
        <w:t>The Business Model</w:t>
      </w:r>
    </w:p>
    <w:p>
      <w:pPr>
        <w:pStyle w:val="BIKBody"/>
        <w:jc w:val="both"/>
      </w:pPr>
      <w:r>
        <w:t>BIK operates two units that reinforce each other. Trades Services is a premium, project-quoted services business across South East Queensland — make-good and repairs, strip and prep, site protection and handyman finishing — that is high-margin, relationship-driven, and cash-generative today. The SaaS Platform is a freemium subscription business layered on top of the same brand and the same customer insight. The two units share a brand but operate independently: services revenue funds platform development, and platform growth brings inbound leads back into the services business.</w:t>
      </w:r>
    </w:p>
    <w:p>
      <w:pPr>
        <w:jc w:val="center"/>
      </w:pPr>
      <w:r>
        <w:drawing>
          <wp:inline xmlns:a="http://schemas.openxmlformats.org/drawingml/2006/main" xmlns:pic="http://schemas.openxmlformats.org/drawingml/2006/picture">
            <wp:extent cx="5943600" cy="4281496"/>
            <wp:docPr id="3" name="Picture 3"/>
            <wp:cNvGraphicFramePr>
              <a:graphicFrameLocks noChangeAspect="1"/>
            </wp:cNvGraphicFramePr>
            <a:graphic>
              <a:graphicData uri="http://schemas.openxmlformats.org/drawingml/2006/picture">
                <pic:pic>
                  <pic:nvPicPr>
                    <pic:cNvPr id="0" name="business_model_canvas.png"/>
                    <pic:cNvPicPr/>
                  </pic:nvPicPr>
                  <pic:blipFill>
                    <a:blip r:embed="rId13"/>
                    <a:stretch>
                      <a:fillRect/>
                    </a:stretch>
                  </pic:blipFill>
                  <pic:spPr>
                    <a:xfrm>
                      <a:off x="0" y="0"/>
                      <a:ext cx="5943600" cy="4281496"/>
                    </a:xfrm>
                    <a:prstGeom prst="rect"/>
                  </pic:spPr>
                </pic:pic>
              </a:graphicData>
            </a:graphic>
          </wp:inline>
        </w:drawing>
      </w:r>
    </w:p>
    <w:p>
      <w:pPr>
        <w:pStyle w:val="BIKCaption"/>
        <w:jc w:val="center"/>
      </w:pPr>
      <w:r>
        <w:t>Figure 3.1 — Business Model Canvas, BIK Business Toolkit</w:t>
      </w:r>
    </w:p>
    <w:p>
      <w:pPr>
        <w:pStyle w:val="BIKH1"/>
      </w:pPr>
      <w:r>
        <w:t>Why BIK, Why Now</w:t>
      </w:r>
    </w:p>
    <w:p>
      <w:pPr>
        <w:pStyle w:val="ListBullet"/>
      </w:pPr>
      <w:r>
        <w:rPr>
          <w:b/>
          <w:color w:val="252320"/>
        </w:rPr>
        <w:t xml:space="preserve">Timing. </w:t>
      </w:r>
      <w:r>
        <w:t>Foundation-model AI has, in the past 24 months, made high-quality natural-language document generation cheap and fast enough to embed directly into a workflow tool rather than sell as a novelty.</w:t>
      </w:r>
    </w:p>
    <w:p>
      <w:pPr>
        <w:pStyle w:val="ListBullet"/>
      </w:pPr>
      <w:r>
        <w:rPr>
          <w:b/>
          <w:color w:val="252320"/>
        </w:rPr>
        <w:t xml:space="preserve">Credibility. </w:t>
      </w:r>
      <w:r>
        <w:t>BIK is not a software team guessing at a construction problem. It is a construction business that also builds software — the founder and team are the target customer.</w:t>
      </w:r>
    </w:p>
    <w:p>
      <w:pPr>
        <w:pStyle w:val="ListBullet"/>
      </w:pPr>
      <w:r>
        <w:rPr>
          <w:b/>
          <w:color w:val="252320"/>
        </w:rPr>
        <w:t xml:space="preserve">Trust-first design. </w:t>
      </w:r>
      <w:r>
        <w:t>Decision 001 (the AI never invents facts) and the Legal and Safety Tool Register are unusual in this category. Most AI document tools optimise for confident-sounding output; BIK optimises for output the user can stand behind professionally and legally.</w:t>
      </w:r>
    </w:p>
    <w:p>
      <w:pPr>
        <w:pStyle w:val="ListBullet"/>
      </w:pPr>
      <w:r>
        <w:rPr>
          <w:b/>
          <w:color w:val="252320"/>
        </w:rPr>
        <w:t xml:space="preserve">Category timing. </w:t>
      </w:r>
      <w:r>
        <w:t>Vertical AI SaaS is attracting valuation premiums over horizontal SaaS precisely because it combines defensible domain data and workflow depth with the same generative technology available to everyone (see Chapter 5).</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BUSINESS CASE CONCLUSION</w:t>
            </w:r>
          </w:p>
          <w:p>
            <w:r>
              <w:rPr>
                <w:color w:val="FFFFFF"/>
                <w:sz w:val="20"/>
              </w:rPr>
              <w:t>The problem is real, expensive and universal across the Australian trades sector. The solution is live, not conceptual. The business model is proven at the unit-economics level by comparable vertical SaaS businesses (Chapter 19) and self-funded by an already-profitable services business. The remaining question is not whether this should be built, but how fast it should be scaled — which is the subject of the rest of this document.</w:t>
            </w:r>
          </w:p>
        </w:tc>
      </w:tr>
    </w:tbl>
    <w:p>
      <w:pPr>
        <w:spacing w:after="80"/>
      </w:pPr>
    </w:p>
    <w:p>
      <w:r>
        <w:br w:type="page"/>
      </w:r>
    </w:p>
    <w:p/>
    <w:p/>
    <w:p/>
    <w:p/>
    <w:p/>
    <w:p/>
    <w:p>
      <w:pPr>
        <w:jc w:val="center"/>
      </w:pPr>
      <w:r>
        <w:rPr>
          <w:b/>
          <w:color w:val="D85A30"/>
          <w:sz w:val="26"/>
        </w:rPr>
        <w:t>PART B — WHY NOW</w:t>
      </w:r>
    </w:p>
    <w:p>
      <w:pPr>
        <w:jc w:val="center"/>
      </w:pPr>
      <w:r>
        <w:rPr>
          <w:b/>
          <w:color w:val="252320"/>
          <w:sz w:val="60"/>
        </w:rPr>
        <w:t>The AI Thesis: Why Construction Administration Is About To Change</w:t>
      </w:r>
    </w:p>
    <w:p>
      <w:pPr>
        <w:jc w:val="center"/>
      </w:pPr>
      <w:r>
        <w:rPr>
          <w:i/>
          <w:color w:val="888780"/>
          <w:sz w:val="23"/>
        </w:rPr>
        <w:t>The structural argument for vertical AI software, and why BIK is built to be an operating system, not a novelty</w:t>
      </w:r>
    </w:p>
    <w:p>
      <w:r>
        <w:br w:type="page"/>
      </w:r>
    </w:p>
    <w:p>
      <w:pPr>
        <w:pStyle w:val="BIKChapterLabel"/>
      </w:pPr>
      <w:r>
        <w:t>PART B — THE AI THESIS</w:t>
      </w:r>
    </w:p>
    <w:p>
      <w:pPr>
        <w:pStyle w:val="BIKChapterTitle"/>
        <w:pBdr>
          <w:bottom w:val="single" w:sz="18" w:space="8" w:color="D85A30"/>
        </w:pBdr>
      </w:pPr>
      <w:r>
        <w:t>04   Why AI Changes Construction Administration</w:t>
      </w:r>
    </w:p>
    <w:p>
      <w:pPr>
        <w:pStyle w:val="BIKH1"/>
      </w:pPr>
      <w:r>
        <w:t>Administration Was Always the Hidden Tax on Construction</w:t>
      </w:r>
    </w:p>
    <w:p>
      <w:pPr>
        <w:pStyle w:val="BIKBody"/>
        <w:jc w:val="both"/>
      </w:pPr>
      <w:r>
        <w:t>Construction has always carried an administrative tax that is invisible in a scope of works but shows up everywhere in the profit and loss statement: the hours a site supervisor spends writing a site diary instead of supervising the site; the variation notice that never gets issued because writing it properly takes thirty minutes nobody has; the progress claim that goes out two weeks late because the paperwork is dreaded more than the number is disputed. This tax has historically been treated as an unavoidable cost of doing business, because the only ways to reduce it were to hire more admin staff (a fixed cost few small trades can carry) or to accept lower documentation quality (a risk that surfaces expensively during disputes).</w:t>
      </w:r>
    </w:p>
    <w:p>
      <w:pPr>
        <w:pStyle w:val="BIKH1"/>
      </w:pPr>
      <w:r>
        <w:t>What Generative AI Actually Removes</w:t>
      </w:r>
    </w:p>
    <w:p>
      <w:pPr>
        <w:pStyle w:val="BIKBody"/>
        <w:jc w:val="both"/>
      </w:pPr>
      <w:r>
        <w:t>Generative AI does not remove the need for construction documentation — it removes the marginal cost of producing it well. A builder who can describe a job in plain language should not need to also be a fluent technical writer, a WHS specialist and a payment-claims clerk to produce documents that read like they were. That is the specific capability large language models add: they compress the distance between what a tradesperson knows and what a professional document requires, without requiring the tradesperson to become someone else.</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Before AI</w:t>
            </w:r>
          </w:p>
        </w:tc>
        <w:tc>
          <w:tcPr>
            <w:tcW w:type="dxa" w:w="2986"/>
            <w:shd w:val="clear" w:color="auto" w:fill="252320"/>
            <w:tcMar>
              <w:top w:w="60" w:type="dxa"/>
              <w:bottom w:w="60" w:type="dxa"/>
              <w:left w:w="100" w:type="dxa"/>
              <w:right w:w="100" w:type="dxa"/>
            </w:tcMar>
            <w:vAlign w:val="center"/>
          </w:tcPr>
          <w:p>
            <w:r/>
            <w:r>
              <w:rPr>
                <w:b/>
                <w:color w:val="FFFFFF"/>
                <w:sz w:val="18"/>
              </w:rPr>
              <w:t>With AI (generic)</w:t>
            </w:r>
          </w:p>
        </w:tc>
        <w:tc>
          <w:tcPr>
            <w:tcW w:type="dxa" w:w="2986"/>
            <w:shd w:val="clear" w:color="auto" w:fill="252320"/>
            <w:tcMar>
              <w:top w:w="60" w:type="dxa"/>
              <w:bottom w:w="60" w:type="dxa"/>
              <w:left w:w="100" w:type="dxa"/>
              <w:right w:w="100" w:type="dxa"/>
            </w:tcMar>
            <w:vAlign w:val="center"/>
          </w:tcPr>
          <w:p>
            <w:r/>
            <w:r>
              <w:rPr>
                <w:b/>
                <w:color w:val="FFFFFF"/>
                <w:sz w:val="18"/>
              </w:rPr>
              <w:t>With AI (BIK — construction-native, governed)</w:t>
            </w:r>
          </w:p>
        </w:tc>
      </w:tr>
      <w:tr>
        <w:tc>
          <w:tcPr>
            <w:tcW w:type="dxa" w:w="2986"/>
            <w:tcMar>
              <w:top w:w="60" w:type="dxa"/>
              <w:bottom w:w="60" w:type="dxa"/>
              <w:left w:w="100" w:type="dxa"/>
              <w:right w:w="100" w:type="dxa"/>
            </w:tcMar>
            <w:vAlign w:val="center"/>
          </w:tcPr>
          <w:p>
            <w:r/>
            <w:r>
              <w:rPr>
                <w:color w:val="3A3835"/>
                <w:sz w:val="18"/>
              </w:rPr>
              <w:t>Builder writes a variation notice from a blank Word document, 30–60 minutes, inconsistent quality</w:t>
            </w:r>
          </w:p>
        </w:tc>
        <w:tc>
          <w:tcPr>
            <w:tcW w:type="dxa" w:w="2986"/>
            <w:tcMar>
              <w:top w:w="60" w:type="dxa"/>
              <w:bottom w:w="60" w:type="dxa"/>
              <w:left w:w="100" w:type="dxa"/>
              <w:right w:w="100" w:type="dxa"/>
            </w:tcMar>
            <w:vAlign w:val="center"/>
          </w:tcPr>
          <w:p>
            <w:r/>
            <w:r>
              <w:rPr>
                <w:color w:val="3A3835"/>
                <w:sz w:val="18"/>
              </w:rPr>
              <w:t>Builder pastes a rough description into ChatGPT and gets fluent prose with no construction structure, no compliance awareness, and no guardrail against invented detail</w:t>
            </w:r>
          </w:p>
        </w:tc>
        <w:tc>
          <w:tcPr>
            <w:tcW w:type="dxa" w:w="2986"/>
            <w:tcMar>
              <w:top w:w="60" w:type="dxa"/>
              <w:bottom w:w="60" w:type="dxa"/>
              <w:left w:w="100" w:type="dxa"/>
              <w:right w:w="100" w:type="dxa"/>
            </w:tcMar>
            <w:vAlign w:val="center"/>
          </w:tcPr>
          <w:p>
            <w:r/>
            <w:r>
              <w:rPr>
                <w:color w:val="3A3835"/>
                <w:sz w:val="18"/>
              </w:rPr>
              <w:t>Builder fills a structured, construction-specific form; the AI writer polishes language across six defined modes while a hard rule (Decision 001) prevents it from adding any fact the builder did not supply</w:t>
            </w:r>
          </w:p>
        </w:tc>
      </w:tr>
      <w:tr>
        <w:tc>
          <w:tcPr>
            <w:tcW w:type="dxa" w:w="2986"/>
            <w:tcMar>
              <w:top w:w="60" w:type="dxa"/>
              <w:bottom w:w="60" w:type="dxa"/>
              <w:left w:w="100" w:type="dxa"/>
              <w:right w:w="100" w:type="dxa"/>
            </w:tcMar>
            <w:vAlign w:val="center"/>
            <w:shd w:val="clear" w:color="auto" w:fill="F2EFEA"/>
          </w:tcPr>
          <w:p>
            <w:r/>
            <w:r>
              <w:rPr>
                <w:color w:val="3A3835"/>
                <w:sz w:val="18"/>
              </w:rPr>
              <w:t>Safety talks copied from an old file, rarely tailored to the actual site</w:t>
            </w:r>
          </w:p>
        </w:tc>
        <w:tc>
          <w:tcPr>
            <w:tcW w:type="dxa" w:w="2986"/>
            <w:tcMar>
              <w:top w:w="60" w:type="dxa"/>
              <w:bottom w:w="60" w:type="dxa"/>
              <w:left w:w="100" w:type="dxa"/>
              <w:right w:w="100" w:type="dxa"/>
            </w:tcMar>
            <w:vAlign w:val="center"/>
            <w:shd w:val="clear" w:color="auto" w:fill="F2EFEA"/>
          </w:tcPr>
          <w:p>
            <w:r/>
            <w:r>
              <w:rPr>
                <w:color w:val="3A3835"/>
                <w:sz w:val="18"/>
              </w:rPr>
              <w:t>A generic AI can produce a fluent toolbox talk but has no register of what "good" looks like under Safe Work Australia guidance</w:t>
            </w:r>
          </w:p>
        </w:tc>
        <w:tc>
          <w:tcPr>
            <w:tcW w:type="dxa" w:w="2986"/>
            <w:tcMar>
              <w:top w:w="60" w:type="dxa"/>
              <w:bottom w:w="60" w:type="dxa"/>
              <w:left w:w="100" w:type="dxa"/>
              <w:right w:w="100" w:type="dxa"/>
            </w:tcMar>
            <w:vAlign w:val="center"/>
            <w:shd w:val="clear" w:color="auto" w:fill="F2EFEA"/>
          </w:tcPr>
          <w:p>
            <w:r/>
            <w:r>
              <w:rPr>
                <w:color w:val="3A3835"/>
                <w:sz w:val="18"/>
              </w:rPr>
              <w:t>Toolbox Talk generator structures the discussion around a defined topic list, audience level and duration, matched to AU WHS norms</w:t>
            </w:r>
          </w:p>
        </w:tc>
      </w:tr>
      <w:tr>
        <w:tc>
          <w:tcPr>
            <w:tcW w:type="dxa" w:w="2986"/>
            <w:tcMar>
              <w:top w:w="60" w:type="dxa"/>
              <w:bottom w:w="60" w:type="dxa"/>
              <w:left w:w="100" w:type="dxa"/>
              <w:right w:w="100" w:type="dxa"/>
            </w:tcMar>
            <w:vAlign w:val="center"/>
          </w:tcPr>
          <w:p>
            <w:r/>
            <w:r>
              <w:rPr>
                <w:color w:val="3A3835"/>
                <w:sz w:val="18"/>
              </w:rPr>
              <w:t>No consistent record for a dispute</w:t>
            </w:r>
          </w:p>
        </w:tc>
        <w:tc>
          <w:tcPr>
            <w:tcW w:type="dxa" w:w="2986"/>
            <w:tcMar>
              <w:top w:w="60" w:type="dxa"/>
              <w:bottom w:w="60" w:type="dxa"/>
              <w:left w:w="100" w:type="dxa"/>
              <w:right w:w="100" w:type="dxa"/>
            </w:tcMar>
            <w:vAlign w:val="center"/>
          </w:tcPr>
          <w:p>
            <w:r/>
            <w:r>
              <w:rPr>
                <w:color w:val="3A3835"/>
                <w:sz w:val="18"/>
              </w:rPr>
              <w:t>Chat history is not a professional record and is not portable</w:t>
            </w:r>
          </w:p>
        </w:tc>
        <w:tc>
          <w:tcPr>
            <w:tcW w:type="dxa" w:w="2986"/>
            <w:tcMar>
              <w:top w:w="60" w:type="dxa"/>
              <w:bottom w:w="60" w:type="dxa"/>
              <w:left w:w="100" w:type="dxa"/>
              <w:right w:w="100" w:type="dxa"/>
            </w:tcMar>
            <w:vAlign w:val="center"/>
          </w:tcPr>
          <w:p>
            <w:r/>
            <w:r>
              <w:rPr>
                <w:color w:val="3A3835"/>
                <w:sz w:val="18"/>
              </w:rPr>
              <w:t>Every generated document is dated, numbered, stored in document history, and exportable as a durable PDF the business owns</w:t>
            </w:r>
          </w:p>
        </w:tc>
      </w:tr>
    </w:tbl>
    <w:p>
      <w:pPr>
        <w:spacing w:after="120"/>
      </w:pPr>
    </w:p>
    <w:p>
      <w:pPr>
        <w:pStyle w:val="BIKH1"/>
      </w:pPr>
      <w:r>
        <w:t>Why This Is a Software Category, Not a Feature</w:t>
      </w:r>
    </w:p>
    <w:p>
      <w:pPr>
        <w:pStyle w:val="BIKBody"/>
        <w:jc w:val="both"/>
      </w:pPr>
      <w:r>
        <w:t>It would be a mistake to read this shift as "add an AI button to existing construction software." The businesses best placed to win this category are the ones that treat AI-native document generation as the primary product, built around a domain-specific data model of what a compliant Australian construction document actually contains — not a generic AI layered onto an existing workflow tool as an afterthought. This is the strategic bet BIK is making, and it is explored in full in Chapters 5 and 6.</w:t>
      </w:r>
    </w:p>
    <w:p>
      <w:pPr>
        <w:pStyle w:val="BIKChapterLabel"/>
      </w:pPr>
      <w:r>
        <w:t>PART B — THE AI THESIS</w:t>
      </w:r>
    </w:p>
    <w:p>
      <w:pPr>
        <w:pStyle w:val="BIKChapterTitle"/>
        <w:pBdr>
          <w:bottom w:val="single" w:sz="18" w:space="8" w:color="D85A30"/>
        </w:pBdr>
      </w:pPr>
      <w:r>
        <w:t>05   The Rise of Vertical AI Software</w:t>
      </w:r>
    </w:p>
    <w:p>
      <w:pPr>
        <w:pStyle w:val="BIKH1"/>
      </w:pPr>
      <w:r>
        <w:t>Horizontal AI vs Vertical AI</w:t>
      </w:r>
    </w:p>
    <w:p>
      <w:pPr>
        <w:pStyle w:val="BIKBody"/>
        <w:jc w:val="both"/>
      </w:pPr>
      <w:r>
        <w:t>The first wave of generative AI products was horizontal: general-purpose assistants (ChatGPT, Claude, Gemini) that can, in principle, help with almost any task including drafting a construction document. The second wave — the one now attracting the sharpest investor and strategic attention — is vertical: AI products built around a single industry's data, workflows, compliance obligations and language, wrapped in enough domain-specific structure that the AI's raw capability becomes a component of the product rather than the whole of it.</w:t>
      </w:r>
    </w:p>
    <w:p>
      <w:pPr>
        <w:pStyle w:val="BIKH2"/>
      </w:pPr>
      <w:r>
        <w:t>WHY VERTICAL AI SOFTWARE COMMANDS A PREMIUM</w:t>
      </w:r>
    </w:p>
    <w:p>
      <w:pPr>
        <w:pStyle w:val="ListBullet"/>
      </w:pPr>
      <w:r>
        <w:rPr>
          <w:b/>
          <w:color w:val="252320"/>
        </w:rPr>
        <w:t xml:space="preserve">Defensibility beyond the model. </w:t>
      </w:r>
      <w:r>
        <w:t>Anyone can call a foundation model API. Few can encode what a compliant Queensland BIF Act progress claim actually requires, what a Safe Work Australia-aligned SWMS structure looks like, or what fields a QBCC-savvy builder expects in a scope of works. That structure is the product.</w:t>
      </w:r>
    </w:p>
    <w:p>
      <w:pPr>
        <w:pStyle w:val="ListBullet"/>
      </w:pPr>
      <w:r>
        <w:rPr>
          <w:b/>
          <w:color w:val="252320"/>
        </w:rPr>
        <w:t xml:space="preserve">Workflow lock-in, not content lock-in. </w:t>
      </w:r>
      <w:r>
        <w:t>The value is not the words the AI generates once — it's the recurring workflow: document history, builder profile auto-fill, per-tool numbering, and (in Phase 2+) integration with the accounting and field-service tools a business already runs on.</w:t>
      </w:r>
    </w:p>
    <w:p>
      <w:pPr>
        <w:pStyle w:val="ListBullet"/>
      </w:pPr>
      <w:r>
        <w:rPr>
          <w:b/>
          <w:color w:val="252320"/>
        </w:rPr>
        <w:t xml:space="preserve">Trust compounds. </w:t>
      </w:r>
      <w:r>
        <w:t>A vertical product can make and keep specific promises — like Decision 001 — that a general-purpose assistant, built for a billion different use cases, structurally cannot.</w:t>
      </w:r>
    </w:p>
    <w:p>
      <w:pPr>
        <w:pStyle w:val="ListBullet"/>
      </w:pPr>
      <w:r>
        <w:rPr>
          <w:b/>
          <w:color w:val="252320"/>
        </w:rPr>
        <w:t xml:space="preserve">Distribution advantage. </w:t>
      </w:r>
      <w:r>
        <w:t>A vertical player can reach its market through channels a horizontal player will never bother building: trade Facebook groups, industry association partnerships, and word of mouth inside a tight-knit trade community.</w:t>
      </w:r>
    </w:p>
    <w:p>
      <w:pPr>
        <w:pStyle w:val="BIKH2"/>
      </w:pPr>
      <w:r>
        <w:t>THE MARKET SIGNAL</w:t>
      </w:r>
    </w:p>
    <w:p>
      <w:pPr>
        <w:pStyle w:val="BIKBody"/>
        <w:jc w:val="both"/>
      </w:pPr>
      <w:r>
        <w:t>Across SaaS more broadly, vertical software businesses have historically commanded higher revenue multiples than horizontal equivalents at comparable growth rates, because vertical depth reduces churn and increases willingness to pay per seat. The addition of generative AI intensifies this pattern rather than eroding it: AI compresses the cost of building horizontal features (which become commoditised faster) while increasing the value of the proprietary domain layer that only a vertical player has the incentive and the access to build. This is a directional, widely observed pattern in the SaaS and venture capital commentary of 2024–2026, not a guaranteed outcome for any specific company, and BIK's own valuation framework (Chapter 21) treats it as an upside case rather than a baseline assumption.</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THE STRATEGIC IMPLICATION FOR BIK</w:t>
            </w:r>
          </w:p>
          <w:p>
            <w:r>
              <w:rPr>
                <w:color w:val="FFFFFF"/>
                <w:sz w:val="20"/>
              </w:rPr>
              <w:t>BIK should not compete with Anthropic, OpenAI or Google on model capability, and it does not need to. It should compete on how deeply Australian construction domain knowledge, compliance awareness and trust guarantees are encoded into the product around the model. That is a race BIK can win, because it is a race about domain depth and distribution, not compute.</w:t>
            </w:r>
          </w:p>
        </w:tc>
      </w:tr>
    </w:tbl>
    <w:p>
      <w:pPr>
        <w:spacing w:after="80"/>
      </w:pPr>
    </w:p>
    <w:p>
      <w:pPr>
        <w:pStyle w:val="BIKChapterLabel"/>
      </w:pPr>
      <w:r>
        <w:t>PART B — THE AI THESIS</w:t>
      </w:r>
    </w:p>
    <w:p>
      <w:pPr>
        <w:pStyle w:val="BIKChapterTitle"/>
        <w:pBdr>
          <w:bottom w:val="single" w:sz="18" w:space="8" w:color="D85A30"/>
        </w:pBdr>
      </w:pPr>
      <w:r>
        <w:t>06   Why BIK Is an AI Operating System, Not a Document Generator</w:t>
      </w:r>
    </w:p>
    <w:p>
      <w:pPr>
        <w:pStyle w:val="BIKH1"/>
      </w:pPr>
      <w:r>
        <w:t>The Distinction That Matters</w:t>
      </w:r>
    </w:p>
    <w:p>
      <w:pPr>
        <w:pStyle w:val="BIKBody"/>
        <w:jc w:val="both"/>
      </w:pPr>
      <w:r>
        <w:t>A document generator produces an output and is finished. An operating system sits underneath a business's daily operations and accumulates value the longer it is used: it remembers the builder's profile, it numbers and stores every document, it learns which tools a business relies on most, and — from Phase 3 onward — it connects outward to the accounting and field-service systems that business already runs on. BIK is deliberately built as the second thing, using the first thing as the wedge.</w:t>
      </w:r>
    </w:p>
    <w:p>
      <w:pPr>
        <w:jc w:val="center"/>
      </w:pPr>
      <w:r>
        <w:drawing>
          <wp:inline xmlns:a="http://schemas.openxmlformats.org/drawingml/2006/main" xmlns:pic="http://schemas.openxmlformats.org/drawingml/2006/picture">
            <wp:extent cx="5760720" cy="3551847"/>
            <wp:docPr id="4" name="Picture 4"/>
            <wp:cNvGraphicFramePr>
              <a:graphicFrameLocks noChangeAspect="1"/>
            </wp:cNvGraphicFramePr>
            <a:graphic>
              <a:graphicData uri="http://schemas.openxmlformats.org/drawingml/2006/picture">
                <pic:pic>
                  <pic:nvPicPr>
                    <pic:cNvPr id="0" name="operating_model.png"/>
                    <pic:cNvPicPr/>
                  </pic:nvPicPr>
                  <pic:blipFill>
                    <a:blip r:embed="rId14"/>
                    <a:stretch>
                      <a:fillRect/>
                    </a:stretch>
                  </pic:blipFill>
                  <pic:spPr>
                    <a:xfrm>
                      <a:off x="0" y="0"/>
                      <a:ext cx="5760720" cy="3551847"/>
                    </a:xfrm>
                    <a:prstGeom prst="rect"/>
                  </pic:spPr>
                </pic:pic>
              </a:graphicData>
            </a:graphic>
          </wp:inline>
        </w:drawing>
      </w:r>
    </w:p>
    <w:p>
      <w:pPr>
        <w:pStyle w:val="BIKCaption"/>
        <w:jc w:val="center"/>
      </w:pPr>
      <w:r>
        <w:t>Figure 6.1 — The BIK Operating Model (four layers)</w:t>
      </w:r>
    </w:p>
    <w:p>
      <w:pPr>
        <w:pStyle w:val="BIKH2"/>
      </w:pPr>
      <w:r>
        <w:t>THE FOUR LAYERS, AND WHY EACH ONE MATTERS STRATEGICALLY</w:t>
      </w:r>
    </w:p>
    <w:p>
      <w:pPr>
        <w:pStyle w:val="ListBullet"/>
      </w:pPr>
      <w:r>
        <w:rPr>
          <w:b/>
          <w:color w:val="252320"/>
        </w:rPr>
        <w:t xml:space="preserve">Customer layer. </w:t>
      </w:r>
      <w:r>
        <w:t>Sole traders through to 20-person builders and, eventually, enterprise/white-label partners — a single product line that grows with the customer rather than forcing a platform switch at any size threshold.</w:t>
      </w:r>
    </w:p>
    <w:p>
      <w:pPr>
        <w:pStyle w:val="ListBullet"/>
      </w:pPr>
      <w:r>
        <w:rPr>
          <w:b/>
          <w:color w:val="252320"/>
        </w:rPr>
        <w:t xml:space="preserve">Experience layer. </w:t>
      </w:r>
      <w:r>
        <w:t>The web app and dashboard today; document history and a mobile PWA from Phase 3. This is where daily habit is built.</w:t>
      </w:r>
    </w:p>
    <w:p>
      <w:pPr>
        <w:pStyle w:val="ListBullet"/>
      </w:pPr>
      <w:r>
        <w:rPr>
          <w:b/>
          <w:color w:val="252320"/>
        </w:rPr>
        <w:t xml:space="preserve">Intelligence layer. </w:t>
      </w:r>
      <w:r>
        <w:t>The AI Writer and document engine, the construction-domain prompt and template library, and — critically — the trust and governance guardrails that make the intelligence layer safe to depend on.</w:t>
      </w:r>
    </w:p>
    <w:p>
      <w:pPr>
        <w:pStyle w:val="ListBullet"/>
      </w:pPr>
      <w:r>
        <w:rPr>
          <w:b/>
          <w:color w:val="252320"/>
        </w:rPr>
        <w:t xml:space="preserve">Data &amp; integration layer. </w:t>
      </w:r>
      <w:r>
        <w:t>The layer that turns BIK from a tool a business opens once a week into infrastructure it cannot easily leave: Supabase-backed accounts and history from Phase 2, and direct integration with Xero, MYOB, QuickBooks, Buildxact, ServiceM8, SimPRO and AroFlo from Phase 3.</w:t>
      </w:r>
    </w:p>
    <w:p>
      <w:pPr>
        <w:pStyle w:val="BIKH1"/>
      </w:pPr>
      <w:r>
        <w:t>The Wedge-to-Platform Sequence</w:t>
      </w:r>
    </w:p>
    <w:p>
      <w:pPr>
        <w:pStyle w:val="BIKBody"/>
        <w:jc w:val="both"/>
      </w:pPr>
      <w:r>
        <w:t>BIK's product sequencing is deliberate. Phase 1 wins trust and habit with a small number of extremely well-executed document tools rather than a broad, shallow feature set. Phase 2 converts habit into infrastructure by adding accounts, history and billing. Phase 3 converts infrastructure into a platform by integrating outward into the tools a business already depends on. Phase 4 converts the platform into an operating system in the fullest sense: autonomous AI agents that do not just draft a document when asked, but act — sending a payment reminder automatically when an invoice ages, drafting a SWMS from a description of the job, or flagging a risky clause in a contract before it is signed. This sequencing is expanded in full in Chapter 13 (Five-Year Product Roadmap).</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WHY "DOCUMENT GENERATOR" UNDERSELLS THE BUSINESS</w:t>
            </w:r>
          </w:p>
          <w:p>
            <w:r>
              <w:rPr>
                <w:color w:val="FFFFFF"/>
                <w:sz w:val="20"/>
              </w:rPr>
              <w:t>A generator is a feature that any competitor with API access to a foundation model can approximate in a sprint. An operating system is a compounding asset: the data (document history, builder profiles, integration connections) and the trust (Decision 001, the legal review register) get harder to replicate the longer BIK operates, not easier. That compounding is the actual investment thesis.</w:t>
            </w:r>
          </w:p>
        </w:tc>
      </w:tr>
    </w:tbl>
    <w:p>
      <w:pPr>
        <w:spacing w:after="80"/>
      </w:pPr>
    </w:p>
    <w:p>
      <w:pPr>
        <w:pStyle w:val="BIKChapterLabel"/>
      </w:pPr>
      <w:r>
        <w:t>PART B — THE AI THESIS</w:t>
      </w:r>
    </w:p>
    <w:p>
      <w:pPr>
        <w:pStyle w:val="BIKChapterTitle"/>
        <w:pBdr>
          <w:bottom w:val="single" w:sz="18" w:space="8" w:color="D85A30"/>
        </w:pBdr>
      </w:pPr>
      <w:r>
        <w:t>07   Defensible Competitive Advantages</w:t>
      </w:r>
    </w:p>
    <w:p>
      <w:pPr>
        <w:pStyle w:val="BIKH1"/>
      </w:pPr>
      <w:r>
        <w:t>What Actually Protects BIK From Fast Followers</w:t>
      </w:r>
    </w:p>
    <w:p>
      <w:pPr>
        <w:pStyle w:val="BIKBody"/>
        <w:jc w:val="both"/>
      </w:pPr>
      <w:r>
        <w:t>Every advantage below is deliberately not "we have AI." Model access is now a commodity; the defensibility has to live somewhere else. These are the five places it lives.</w:t>
      </w:r>
    </w:p>
    <w:p>
      <w:pPr>
        <w:pStyle w:val="BIKH2"/>
      </w:pPr>
      <w:r>
        <w:t>1. FOUNDER-MARKET FIT THAT CANNOT BE BOUGHT</w:t>
      </w:r>
    </w:p>
    <w:p>
      <w:pPr>
        <w:pStyle w:val="BIKBody"/>
        <w:jc w:val="both"/>
      </w:pPr>
      <w:r>
        <w:t>BIK is an operating construction business first. The team has direct, continuous, unmediated access to the exact customer it is building for — not through user interviews or a design partner programme, but through running trade jobs across South East Queensland every week. A well-funded competitor can hire construction consultants; it cannot replicate a founding team that has lived the problem.</w:t>
      </w:r>
    </w:p>
    <w:p>
      <w:pPr>
        <w:pStyle w:val="BIKH2"/>
      </w:pPr>
      <w:r>
        <w:t>2. GOVERNANCE AS A TRUST ASSET</w:t>
      </w:r>
    </w:p>
    <w:p>
      <w:pPr>
        <w:pStyle w:val="BIKBody"/>
        <w:jc w:val="both"/>
      </w:pPr>
      <w:r>
        <w:t>Decision 001 — the AI must never invent a fact, figure, date, name or claim not already present in the user's own input — is a binding product constraint, not a marketing line. Competitors can copy this policy in a slide, but copying it in practice means giving up the more impressive-looking, more fabricated-sounding output that a less disciplined AI writer can produce. That trade-off is a genuine strategic moat: it is hard to fake restraint.</w:t>
      </w:r>
    </w:p>
    <w:p>
      <w:pPr>
        <w:pStyle w:val="BIKH2"/>
      </w:pPr>
      <w:r>
        <w:t>3. A LIVING LEGAL AND SAFETY RISK REGISTER</w:t>
      </w:r>
    </w:p>
    <w:p>
      <w:pPr>
        <w:pStyle w:val="BIKBody"/>
        <w:jc w:val="both"/>
      </w:pPr>
      <w:r>
        <w:t>Most AI document tools ship every feature the model can produce. BIK maintains a Legal and Safety Tool Register that explicitly holds back document types — including the SWMS Generator, the Notice to Show Cause, the Contract Termination Notice, and the Subcontractor Agreement — from release until a construction lawyer or WHS professional has reviewed them. That discipline is invisible to a user browsing a features page, but it is the single biggest determinant of whether BIK is trusted with a business's legal exposure five years from now.</w:t>
      </w:r>
    </w:p>
    <w:p>
      <w:pPr>
        <w:pStyle w:val="BIKH2"/>
      </w:pPr>
      <w:r>
        <w:t>4. ZERO-COST INFRASTRUCTURE COMPOUNDING INTO INTEGRATION DEPTH</w:t>
      </w:r>
    </w:p>
    <w:p>
      <w:pPr>
        <w:pStyle w:val="BIKBody"/>
        <w:jc w:val="both"/>
      </w:pPr>
      <w:r>
        <w:t>Phase 1's static, client-side architecture was not a resourcing shortcut — it was a decision to prove product-market fit at zero infrastructure cost before committing to the backend investment Phase 2 requires. That capital discipline means BIK can reach Phase 2 without external funding if it chooses to, and the integration layer (Xero, MYOB, QuickBooks, Buildxact, ServiceM8, SimPRO, AroFlo) is already architected — seven provider stubs and five service modules are built and waiting for live credentials, not waiting for a design.</w:t>
      </w:r>
    </w:p>
    <w:p>
      <w:pPr>
        <w:pStyle w:val="BIKH2"/>
      </w:pPr>
      <w:r>
        <w:t>5. BRAND TRUST INHERITED FROM A REAL TRADES BUSINESS</w:t>
      </w:r>
    </w:p>
    <w:p>
      <w:pPr>
        <w:pStyle w:val="BIKBody"/>
        <w:jc w:val="both"/>
      </w:pPr>
      <w:r>
        <w:t>BIK Solutions the software product inherits the credibility of BIK Solutions the trades business — a premium, precision-branded operator in a market that is famously sceptical of outsiders. That inherited trust is a genuine distribution advantage in exactly the channels (trade Facebook groups, industry associations, word of mouth) that matter most in this category and that paid advertising cannot buy.</w:t>
      </w:r>
    </w:p>
    <w:p>
      <w:pPr>
        <w:jc w:val="center"/>
      </w:pPr>
      <w:r>
        <w:drawing>
          <wp:inline xmlns:a="http://schemas.openxmlformats.org/drawingml/2006/main" xmlns:pic="http://schemas.openxmlformats.org/drawingml/2006/picture">
            <wp:extent cx="5943600" cy="5209151"/>
            <wp:docPr id="5" name="Picture 5"/>
            <wp:cNvGraphicFramePr>
              <a:graphicFrameLocks noChangeAspect="1"/>
            </wp:cNvGraphicFramePr>
            <a:graphic>
              <a:graphicData uri="http://schemas.openxmlformats.org/drawingml/2006/picture">
                <pic:pic>
                  <pic:nvPicPr>
                    <pic:cNvPr id="0" name="swot.png"/>
                    <pic:cNvPicPr/>
                  </pic:nvPicPr>
                  <pic:blipFill>
                    <a:blip r:embed="rId15"/>
                    <a:stretch>
                      <a:fillRect/>
                    </a:stretch>
                  </pic:blipFill>
                  <pic:spPr>
                    <a:xfrm>
                      <a:off x="0" y="0"/>
                      <a:ext cx="5943600" cy="5209151"/>
                    </a:xfrm>
                    <a:prstGeom prst="rect"/>
                  </pic:spPr>
                </pic:pic>
              </a:graphicData>
            </a:graphic>
          </wp:inline>
        </w:drawing>
      </w:r>
    </w:p>
    <w:p>
      <w:pPr>
        <w:pStyle w:val="BIKCaption"/>
        <w:jc w:val="center"/>
      </w:pPr>
      <w:r>
        <w:t>Figure 7.1 — SWOT Analysis, BIK Solutions (see Chapter 18 for full discussion)</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THE HONEST CAVEAT</w:t>
            </w:r>
          </w:p>
          <w:p>
            <w:r>
              <w:rPr>
                <w:color w:val="FFFFFF"/>
                <w:sz w:val="20"/>
              </w:rPr>
              <w:t>None of these five advantages are permanent or unassailable on their own — they are advantages of sequencing and discipline, not patents. They must be actively maintained (Chapter 26, Risk Register) and they compound fastest if BIK moves through Phases 2 and 3 with real urgency rather than treating this document as the finish line.</w:t>
            </w:r>
          </w:p>
        </w:tc>
      </w:tr>
    </w:tbl>
    <w:p>
      <w:pPr>
        <w:spacing w:after="80"/>
      </w:pPr>
    </w:p>
    <w:p>
      <w:r>
        <w:br w:type="page"/>
      </w:r>
    </w:p>
    <w:p/>
    <w:p/>
    <w:p/>
    <w:p/>
    <w:p/>
    <w:p/>
    <w:p>
      <w:pPr>
        <w:jc w:val="center"/>
      </w:pPr>
      <w:r>
        <w:rPr>
          <w:b/>
          <w:color w:val="D85A30"/>
          <w:sz w:val="26"/>
        </w:rPr>
        <w:t>PART C — STRATEGY, PHILOSOPHY &amp; GOVERNANCE</w:t>
      </w:r>
    </w:p>
    <w:p>
      <w:pPr>
        <w:jc w:val="center"/>
      </w:pPr>
      <w:r>
        <w:rPr>
          <w:b/>
          <w:color w:val="252320"/>
          <w:sz w:val="60"/>
        </w:rPr>
        <w:t>The Strategic Plan, Product Philosophy, Operating Model and AI Governance Framework</w:t>
      </w:r>
    </w:p>
    <w:p>
      <w:pPr>
        <w:jc w:val="center"/>
      </w:pPr>
      <w:r>
        <w:rPr>
          <w:i/>
          <w:color w:val="888780"/>
          <w:sz w:val="23"/>
        </w:rPr>
        <w:t>How BIK intends to win, and the principles that constrain how it is allowed to win</w:t>
      </w:r>
    </w:p>
    <w:p>
      <w:r>
        <w:br w:type="page"/>
      </w:r>
    </w:p>
    <w:p>
      <w:pPr>
        <w:pStyle w:val="BIKChapterLabel"/>
      </w:pPr>
      <w:r>
        <w:t>PART C — STRATEGY &amp; GOVERNANCE</w:t>
      </w:r>
    </w:p>
    <w:p>
      <w:pPr>
        <w:pStyle w:val="BIKChapterTitle"/>
        <w:pBdr>
          <w:bottom w:val="single" w:sz="18" w:space="8" w:color="D85A30"/>
        </w:pBdr>
      </w:pPr>
      <w:r>
        <w:t>08   Strategic Plan</w:t>
      </w:r>
    </w:p>
    <w:p>
      <w:pPr>
        <w:pStyle w:val="BIKH1"/>
      </w:pPr>
      <w:r>
        <w:t>The Phased Evolution</w:t>
      </w:r>
    </w:p>
    <w:p>
      <w:pPr>
        <w:pStyle w:val="BIKBody"/>
        <w:jc w:val="both"/>
      </w:pPr>
      <w:r>
        <w:t>BIK's strategy is organised around four phases, each with an explicit goal, an explicit success metric, and an explicit "why now" — not an open-ended roadmap of features.</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8"/>
              </w:rPr>
              <w:t>Phase</w:t>
            </w:r>
          </w:p>
        </w:tc>
        <w:tc>
          <w:tcPr>
            <w:tcW w:type="dxa" w:w="1792"/>
            <w:shd w:val="clear" w:color="auto" w:fill="252320"/>
            <w:tcMar>
              <w:top w:w="60" w:type="dxa"/>
              <w:bottom w:w="60" w:type="dxa"/>
              <w:left w:w="100" w:type="dxa"/>
              <w:right w:w="100" w:type="dxa"/>
            </w:tcMar>
            <w:vAlign w:val="center"/>
          </w:tcPr>
          <w:p>
            <w:r/>
            <w:r>
              <w:rPr>
                <w:b/>
                <w:color w:val="FFFFFF"/>
                <w:sz w:val="18"/>
              </w:rPr>
              <w:t>Timing</w:t>
            </w:r>
          </w:p>
        </w:tc>
        <w:tc>
          <w:tcPr>
            <w:tcW w:type="dxa" w:w="1792"/>
            <w:shd w:val="clear" w:color="auto" w:fill="252320"/>
            <w:tcMar>
              <w:top w:w="60" w:type="dxa"/>
              <w:bottom w:w="60" w:type="dxa"/>
              <w:left w:w="100" w:type="dxa"/>
              <w:right w:w="100" w:type="dxa"/>
            </w:tcMar>
            <w:vAlign w:val="center"/>
          </w:tcPr>
          <w:p>
            <w:r/>
            <w:r>
              <w:rPr>
                <w:b/>
                <w:color w:val="FFFFFF"/>
                <w:sz w:val="18"/>
              </w:rPr>
              <w:t>Theme</w:t>
            </w:r>
          </w:p>
        </w:tc>
        <w:tc>
          <w:tcPr>
            <w:tcW w:type="dxa" w:w="1792"/>
            <w:shd w:val="clear" w:color="auto" w:fill="252320"/>
            <w:tcMar>
              <w:top w:w="60" w:type="dxa"/>
              <w:bottom w:w="60" w:type="dxa"/>
              <w:left w:w="100" w:type="dxa"/>
              <w:right w:w="100" w:type="dxa"/>
            </w:tcMar>
            <w:vAlign w:val="center"/>
          </w:tcPr>
          <w:p>
            <w:r/>
            <w:r>
              <w:rPr>
                <w:b/>
                <w:color w:val="FFFFFF"/>
                <w:sz w:val="18"/>
              </w:rPr>
              <w:t>Goal</w:t>
            </w:r>
          </w:p>
        </w:tc>
        <w:tc>
          <w:tcPr>
            <w:tcW w:type="dxa" w:w="1792"/>
            <w:shd w:val="clear" w:color="auto" w:fill="252320"/>
            <w:tcMar>
              <w:top w:w="60" w:type="dxa"/>
              <w:bottom w:w="60" w:type="dxa"/>
              <w:left w:w="100" w:type="dxa"/>
              <w:right w:w="100" w:type="dxa"/>
            </w:tcMar>
            <w:vAlign w:val="center"/>
          </w:tcPr>
          <w:p>
            <w:r/>
            <w:r>
              <w:rPr>
                <w:b/>
                <w:color w:val="FFFFFF"/>
                <w:sz w:val="18"/>
              </w:rPr>
              <w:t>Success criteria</w:t>
            </w:r>
          </w:p>
        </w:tc>
      </w:tr>
      <w:tr>
        <w:tc>
          <w:tcPr>
            <w:tcW w:type="dxa" w:w="1792"/>
            <w:tcMar>
              <w:top w:w="60" w:type="dxa"/>
              <w:bottom w:w="60" w:type="dxa"/>
              <w:left w:w="100" w:type="dxa"/>
              <w:right w:w="100" w:type="dxa"/>
            </w:tcMar>
            <w:vAlign w:val="center"/>
          </w:tcPr>
          <w:p>
            <w:r/>
            <w:r>
              <w:rPr>
                <w:color w:val="3A3835"/>
                <w:sz w:val="18"/>
              </w:rPr>
              <w:t>1 — Foundation</w:t>
            </w:r>
          </w:p>
        </w:tc>
        <w:tc>
          <w:tcPr>
            <w:tcW w:type="dxa" w:w="1792"/>
            <w:tcMar>
              <w:top w:w="60" w:type="dxa"/>
              <w:bottom w:w="60" w:type="dxa"/>
              <w:left w:w="100" w:type="dxa"/>
              <w:right w:w="100" w:type="dxa"/>
            </w:tcMar>
            <w:vAlign w:val="center"/>
          </w:tcPr>
          <w:p>
            <w:r/>
            <w:r>
              <w:rPr>
                <w:color w:val="3A3835"/>
                <w:sz w:val="18"/>
              </w:rPr>
              <w:t>Q3 2026</w:t>
            </w:r>
          </w:p>
        </w:tc>
        <w:tc>
          <w:tcPr>
            <w:tcW w:type="dxa" w:w="1792"/>
            <w:tcMar>
              <w:top w:w="60" w:type="dxa"/>
              <w:bottom w:w="60" w:type="dxa"/>
              <w:left w:w="100" w:type="dxa"/>
              <w:right w:w="100" w:type="dxa"/>
            </w:tcMar>
            <w:vAlign w:val="center"/>
          </w:tcPr>
          <w:p>
            <w:r/>
            <w:r>
              <w:rPr>
                <w:color w:val="3A3835"/>
                <w:sz w:val="18"/>
              </w:rPr>
              <w:t>Prove the product and the trust model</w:t>
            </w:r>
          </w:p>
        </w:tc>
        <w:tc>
          <w:tcPr>
            <w:tcW w:type="dxa" w:w="1792"/>
            <w:tcMar>
              <w:top w:w="60" w:type="dxa"/>
              <w:bottom w:w="60" w:type="dxa"/>
              <w:left w:w="100" w:type="dxa"/>
              <w:right w:w="100" w:type="dxa"/>
            </w:tcMar>
            <w:vAlign w:val="center"/>
          </w:tcPr>
          <w:p>
            <w:r/>
            <w:r>
              <w:rPr>
                <w:color w:val="3A3835"/>
                <w:sz w:val="18"/>
              </w:rPr>
              <w:t>First 500 email subscribers, 100 paying users</w:t>
            </w:r>
          </w:p>
        </w:tc>
        <w:tc>
          <w:tcPr>
            <w:tcW w:type="dxa" w:w="1792"/>
            <w:tcMar>
              <w:top w:w="60" w:type="dxa"/>
              <w:bottom w:w="60" w:type="dxa"/>
              <w:left w:w="100" w:type="dxa"/>
              <w:right w:w="100" w:type="dxa"/>
            </w:tcMar>
            <w:vAlign w:val="center"/>
          </w:tcPr>
          <w:p>
            <w:r/>
            <w:r>
              <w:rPr>
                <w:color w:val="3A3835"/>
                <w:sz w:val="18"/>
              </w:rPr>
              <w:t>$2,000 MRR, NPS &gt; 40</w:t>
            </w:r>
          </w:p>
        </w:tc>
      </w:tr>
      <w:tr>
        <w:tc>
          <w:tcPr>
            <w:tcW w:type="dxa" w:w="1792"/>
            <w:tcMar>
              <w:top w:w="60" w:type="dxa"/>
              <w:bottom w:w="60" w:type="dxa"/>
              <w:left w:w="100" w:type="dxa"/>
              <w:right w:w="100" w:type="dxa"/>
            </w:tcMar>
            <w:vAlign w:val="center"/>
            <w:shd w:val="clear" w:color="auto" w:fill="F2EFEA"/>
          </w:tcPr>
          <w:p>
            <w:r/>
            <w:r>
              <w:rPr>
                <w:color w:val="3A3835"/>
                <w:sz w:val="18"/>
              </w:rPr>
              <w:t>2 — Growth</w:t>
            </w:r>
          </w:p>
        </w:tc>
        <w:tc>
          <w:tcPr>
            <w:tcW w:type="dxa" w:w="1792"/>
            <w:tcMar>
              <w:top w:w="60" w:type="dxa"/>
              <w:bottom w:w="60" w:type="dxa"/>
              <w:left w:w="100" w:type="dxa"/>
              <w:right w:w="100" w:type="dxa"/>
            </w:tcMar>
            <w:vAlign w:val="center"/>
            <w:shd w:val="clear" w:color="auto" w:fill="F2EFEA"/>
          </w:tcPr>
          <w:p>
            <w:r/>
            <w:r>
              <w:rPr>
                <w:color w:val="3A3835"/>
                <w:sz w:val="18"/>
              </w:rPr>
              <w:t>Q1–Q3 2027</w:t>
            </w:r>
          </w:p>
        </w:tc>
        <w:tc>
          <w:tcPr>
            <w:tcW w:type="dxa" w:w="1792"/>
            <w:tcMar>
              <w:top w:w="60" w:type="dxa"/>
              <w:bottom w:w="60" w:type="dxa"/>
              <w:left w:w="100" w:type="dxa"/>
              <w:right w:w="100" w:type="dxa"/>
            </w:tcMar>
            <w:vAlign w:val="center"/>
            <w:shd w:val="clear" w:color="auto" w:fill="F2EFEA"/>
          </w:tcPr>
          <w:p>
            <w:r/>
            <w:r>
              <w:rPr>
                <w:color w:val="3A3835"/>
                <w:sz w:val="18"/>
              </w:rPr>
              <w:t>Convert habit into infrastructure</w:t>
            </w:r>
          </w:p>
        </w:tc>
        <w:tc>
          <w:tcPr>
            <w:tcW w:type="dxa" w:w="1792"/>
            <w:tcMar>
              <w:top w:w="60" w:type="dxa"/>
              <w:bottom w:w="60" w:type="dxa"/>
              <w:left w:w="100" w:type="dxa"/>
              <w:right w:w="100" w:type="dxa"/>
            </w:tcMar>
            <w:vAlign w:val="center"/>
            <w:shd w:val="clear" w:color="auto" w:fill="F2EFEA"/>
          </w:tcPr>
          <w:p>
            <w:r/>
            <w:r>
              <w:rPr>
                <w:color w:val="3A3835"/>
                <w:sz w:val="18"/>
              </w:rPr>
              <w:t>500 paying subscribers, 25 tools live</w:t>
            </w:r>
          </w:p>
        </w:tc>
        <w:tc>
          <w:tcPr>
            <w:tcW w:type="dxa" w:w="1792"/>
            <w:tcMar>
              <w:top w:w="60" w:type="dxa"/>
              <w:bottom w:w="60" w:type="dxa"/>
              <w:left w:w="100" w:type="dxa"/>
              <w:right w:w="100" w:type="dxa"/>
            </w:tcMar>
            <w:vAlign w:val="center"/>
            <w:shd w:val="clear" w:color="auto" w:fill="F2EFEA"/>
          </w:tcPr>
          <w:p>
            <w:r/>
            <w:r>
              <w:rPr>
                <w:color w:val="3A3835"/>
                <w:sz w:val="18"/>
              </w:rPr>
              <w:t>$15,000 MRR</w:t>
            </w:r>
          </w:p>
        </w:tc>
      </w:tr>
      <w:tr>
        <w:tc>
          <w:tcPr>
            <w:tcW w:type="dxa" w:w="1792"/>
            <w:tcMar>
              <w:top w:w="60" w:type="dxa"/>
              <w:bottom w:w="60" w:type="dxa"/>
              <w:left w:w="100" w:type="dxa"/>
              <w:right w:w="100" w:type="dxa"/>
            </w:tcMar>
            <w:vAlign w:val="center"/>
          </w:tcPr>
          <w:p>
            <w:r/>
            <w:r>
              <w:rPr>
                <w:color w:val="3A3835"/>
                <w:sz w:val="18"/>
              </w:rPr>
              <w:t>3 — Expansion</w:t>
            </w:r>
          </w:p>
        </w:tc>
        <w:tc>
          <w:tcPr>
            <w:tcW w:type="dxa" w:w="1792"/>
            <w:tcMar>
              <w:top w:w="60" w:type="dxa"/>
              <w:bottom w:w="60" w:type="dxa"/>
              <w:left w:w="100" w:type="dxa"/>
              <w:right w:w="100" w:type="dxa"/>
            </w:tcMar>
            <w:vAlign w:val="center"/>
          </w:tcPr>
          <w:p>
            <w:r/>
            <w:r>
              <w:rPr>
                <w:color w:val="3A3835"/>
                <w:sz w:val="18"/>
              </w:rPr>
              <w:t>Q3 2027 – 2028</w:t>
            </w:r>
          </w:p>
        </w:tc>
        <w:tc>
          <w:tcPr>
            <w:tcW w:type="dxa" w:w="1792"/>
            <w:tcMar>
              <w:top w:w="60" w:type="dxa"/>
              <w:bottom w:w="60" w:type="dxa"/>
              <w:left w:w="100" w:type="dxa"/>
              <w:right w:w="100" w:type="dxa"/>
            </w:tcMar>
            <w:vAlign w:val="center"/>
          </w:tcPr>
          <w:p>
            <w:r/>
            <w:r>
              <w:rPr>
                <w:color w:val="3A3835"/>
                <w:sz w:val="18"/>
              </w:rPr>
              <w:t>Become the platform</w:t>
            </w:r>
          </w:p>
        </w:tc>
        <w:tc>
          <w:tcPr>
            <w:tcW w:type="dxa" w:w="1792"/>
            <w:tcMar>
              <w:top w:w="60" w:type="dxa"/>
              <w:bottom w:w="60" w:type="dxa"/>
              <w:left w:w="100" w:type="dxa"/>
              <w:right w:w="100" w:type="dxa"/>
            </w:tcMar>
            <w:vAlign w:val="center"/>
          </w:tcPr>
          <w:p>
            <w:r/>
            <w:r>
              <w:rPr>
                <w:color w:val="3A3835"/>
                <w:sz w:val="18"/>
              </w:rPr>
              <w:t>50 tools, team plans, 2 industry partnerships</w:t>
            </w:r>
          </w:p>
        </w:tc>
        <w:tc>
          <w:tcPr>
            <w:tcW w:type="dxa" w:w="1792"/>
            <w:tcMar>
              <w:top w:w="60" w:type="dxa"/>
              <w:bottom w:w="60" w:type="dxa"/>
              <w:left w:w="100" w:type="dxa"/>
              <w:right w:w="100" w:type="dxa"/>
            </w:tcMar>
            <w:vAlign w:val="center"/>
          </w:tcPr>
          <w:p>
            <w:r/>
            <w:r>
              <w:rPr>
                <w:color w:val="3A3835"/>
                <w:sz w:val="18"/>
              </w:rPr>
              <w:t>$50,000 MRR</w:t>
            </w:r>
          </w:p>
        </w:tc>
      </w:tr>
      <w:tr>
        <w:tc>
          <w:tcPr>
            <w:tcW w:type="dxa" w:w="1792"/>
            <w:tcMar>
              <w:top w:w="60" w:type="dxa"/>
              <w:bottom w:w="60" w:type="dxa"/>
              <w:left w:w="100" w:type="dxa"/>
              <w:right w:w="100" w:type="dxa"/>
            </w:tcMar>
            <w:vAlign w:val="center"/>
            <w:shd w:val="clear" w:color="auto" w:fill="F2EFEA"/>
          </w:tcPr>
          <w:p>
            <w:r/>
            <w:r>
              <w:rPr>
                <w:color w:val="3A3835"/>
                <w:sz w:val="18"/>
              </w:rPr>
              <w:t>4 — AI Operating System</w:t>
            </w:r>
          </w:p>
        </w:tc>
        <w:tc>
          <w:tcPr>
            <w:tcW w:type="dxa" w:w="1792"/>
            <w:tcMar>
              <w:top w:w="60" w:type="dxa"/>
              <w:bottom w:w="60" w:type="dxa"/>
              <w:left w:w="100" w:type="dxa"/>
              <w:right w:w="100" w:type="dxa"/>
            </w:tcMar>
            <w:vAlign w:val="center"/>
            <w:shd w:val="clear" w:color="auto" w:fill="F2EFEA"/>
          </w:tcPr>
          <w:p>
            <w:r/>
            <w:r>
              <w:rPr>
                <w:color w:val="3A3835"/>
                <w:sz w:val="18"/>
              </w:rPr>
              <w:t>2028 onward</w:t>
            </w:r>
          </w:p>
        </w:tc>
        <w:tc>
          <w:tcPr>
            <w:tcW w:type="dxa" w:w="1792"/>
            <w:tcMar>
              <w:top w:w="60" w:type="dxa"/>
              <w:bottom w:w="60" w:type="dxa"/>
              <w:left w:w="100" w:type="dxa"/>
              <w:right w:w="100" w:type="dxa"/>
            </w:tcMar>
            <w:vAlign w:val="center"/>
            <w:shd w:val="clear" w:color="auto" w:fill="F2EFEA"/>
          </w:tcPr>
          <w:p>
            <w:r/>
            <w:r>
              <w:rPr>
                <w:color w:val="3A3835"/>
                <w:sz w:val="18"/>
              </w:rPr>
              <w:t>Category leadership</w:t>
            </w:r>
          </w:p>
        </w:tc>
        <w:tc>
          <w:tcPr>
            <w:tcW w:type="dxa" w:w="1792"/>
            <w:tcMar>
              <w:top w:w="60" w:type="dxa"/>
              <w:bottom w:w="60" w:type="dxa"/>
              <w:left w:w="100" w:type="dxa"/>
              <w:right w:w="100" w:type="dxa"/>
            </w:tcMar>
            <w:vAlign w:val="center"/>
            <w:shd w:val="clear" w:color="auto" w:fill="F2EFEA"/>
          </w:tcPr>
          <w:p>
            <w:r/>
            <w:r>
              <w:rPr>
                <w:color w:val="3A3835"/>
                <w:sz w:val="18"/>
              </w:rPr>
              <w:t>100+ tools &amp; AI agents live</w:t>
            </w:r>
          </w:p>
        </w:tc>
        <w:tc>
          <w:tcPr>
            <w:tcW w:type="dxa" w:w="1792"/>
            <w:tcMar>
              <w:top w:w="60" w:type="dxa"/>
              <w:bottom w:w="60" w:type="dxa"/>
              <w:left w:w="100" w:type="dxa"/>
              <w:right w:w="100" w:type="dxa"/>
            </w:tcMar>
            <w:vAlign w:val="center"/>
            <w:shd w:val="clear" w:color="auto" w:fill="F2EFEA"/>
          </w:tcPr>
          <w:p>
            <w:r/>
            <w:r>
              <w:rPr>
                <w:color w:val="3A3835"/>
                <w:sz w:val="18"/>
              </w:rPr>
              <w:t>$200,000+ MRR; acquisition/investment conversations active</w:t>
            </w:r>
          </w:p>
        </w:tc>
      </w:tr>
    </w:tbl>
    <w:p>
      <w:pPr>
        <w:spacing w:after="120"/>
      </w:pPr>
    </w:p>
    <w:p>
      <w:pPr>
        <w:jc w:val="center"/>
      </w:pPr>
      <w:r>
        <w:drawing>
          <wp:inline xmlns:a="http://schemas.openxmlformats.org/drawingml/2006/main" xmlns:pic="http://schemas.openxmlformats.org/drawingml/2006/picture">
            <wp:extent cx="5760720" cy="3440986"/>
            <wp:docPr id="6" name="Picture 6"/>
            <wp:cNvGraphicFramePr>
              <a:graphicFrameLocks noChangeAspect="1"/>
            </wp:cNvGraphicFramePr>
            <a:graphic>
              <a:graphicData uri="http://schemas.openxmlformats.org/drawingml/2006/picture">
                <pic:pic>
                  <pic:nvPicPr>
                    <pic:cNvPr id="0" name="tool_subscriber_growth.png"/>
                    <pic:cNvPicPr/>
                  </pic:nvPicPr>
                  <pic:blipFill>
                    <a:blip r:embed="rId16"/>
                    <a:stretch>
                      <a:fillRect/>
                    </a:stretch>
                  </pic:blipFill>
                  <pic:spPr>
                    <a:xfrm>
                      <a:off x="0" y="0"/>
                      <a:ext cx="5760720" cy="3440986"/>
                    </a:xfrm>
                    <a:prstGeom prst="rect"/>
                  </pic:spPr>
                </pic:pic>
              </a:graphicData>
            </a:graphic>
          </wp:inline>
        </w:drawing>
      </w:r>
    </w:p>
    <w:p>
      <w:pPr>
        <w:pStyle w:val="BIKCaption"/>
        <w:jc w:val="center"/>
      </w:pPr>
      <w:r>
        <w:t>Figure 8.1 — Tool catalogue and subscriber growth by phase</w:t>
      </w:r>
    </w:p>
    <w:p>
      <w:pPr>
        <w:pStyle w:val="BIKH1"/>
      </w:pPr>
      <w:r>
        <w:t>Strategic Priorities, In Order</w:t>
      </w:r>
    </w:p>
    <w:p>
      <w:pPr>
        <w:pStyle w:val="ListBullet"/>
      </w:pPr>
      <w:r>
        <w:rPr>
          <w:b/>
          <w:color w:val="252320"/>
        </w:rPr>
        <w:t xml:space="preserve">1. Win trust before scale. </w:t>
      </w:r>
      <w:r>
        <w:t>Every early decision (Decision 001, the legal register, the beta feedback loop) optimises for a builder trusting BIK enough to send a generated document to a client or head contractor. Growth without trust is a liability, not an asset, in a compliance-adjacent category.</w:t>
      </w:r>
    </w:p>
    <w:p>
      <w:pPr>
        <w:pStyle w:val="ListBullet"/>
      </w:pPr>
      <w:r>
        <w:rPr>
          <w:b/>
          <w:color w:val="252320"/>
        </w:rPr>
        <w:t xml:space="preserve">2. Fund the platform from the services unit for as long as sensible. </w:t>
      </w:r>
      <w:r>
        <w:t>BIK does not need external capital to reach Phase 2. That optionality is itself strategic — it means any future raise is done from a position of leverage, not necessity (see Chapter 19).</w:t>
      </w:r>
    </w:p>
    <w:p>
      <w:pPr>
        <w:pStyle w:val="ListBullet"/>
      </w:pPr>
      <w:r>
        <w:rPr>
          <w:b/>
          <w:color w:val="252320"/>
        </w:rPr>
        <w:t xml:space="preserve">3. Sequence infrastructure ahead of breadth. </w:t>
      </w:r>
      <w:r>
        <w:t>Accounts, billing and document history (Phase 2) are prioritised over adding the next twenty tools, because infrastructure compounds and tool breadth alone does not.</w:t>
      </w:r>
    </w:p>
    <w:p>
      <w:pPr>
        <w:pStyle w:val="ListBullet"/>
      </w:pPr>
      <w:r>
        <w:rPr>
          <w:b/>
          <w:color w:val="252320"/>
        </w:rPr>
        <w:t xml:space="preserve">4. Build integration depth before enterprise ambition. </w:t>
      </w:r>
      <w:r>
        <w:t>Xero, MYOB and field-service integrations (Phase 3) come before any white-label or enterprise motion (Chapter 22), because a platform with no integration depth has nothing distinctive to license.</w:t>
      </w:r>
    </w:p>
    <w:p>
      <w:pPr>
        <w:pStyle w:val="ListBullet"/>
      </w:pPr>
      <w:r>
        <w:rPr>
          <w:b/>
          <w:color w:val="252320"/>
        </w:rPr>
        <w:t xml:space="preserve">5. Treat every phase gate as a real gate. </w:t>
      </w:r>
      <w:r>
        <w:t>Progression from Phase 2 to Phase 3 is conditioned on hitting the $15,000 MRR and 25-tool criteria in the table above — not on the calendar.</w:t>
      </w:r>
    </w:p>
    <w:p>
      <w:pPr>
        <w:pStyle w:val="BIKH1"/>
      </w:pPr>
      <w:r>
        <w:t>What Success Looks Like at Each Horizon</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Horizon</w:t>
            </w:r>
          </w:p>
        </w:tc>
        <w:tc>
          <w:tcPr>
            <w:tcW w:type="dxa" w:w="2986"/>
            <w:shd w:val="clear" w:color="auto" w:fill="252320"/>
            <w:tcMar>
              <w:top w:w="60" w:type="dxa"/>
              <w:bottom w:w="60" w:type="dxa"/>
              <w:left w:w="100" w:type="dxa"/>
              <w:right w:w="100" w:type="dxa"/>
            </w:tcMar>
            <w:vAlign w:val="center"/>
          </w:tcPr>
          <w:p>
            <w:r/>
            <w:r>
              <w:rPr>
                <w:b/>
                <w:color w:val="FFFFFF"/>
                <w:sz w:val="18"/>
              </w:rPr>
              <w:t>Metric</w:t>
            </w:r>
          </w:p>
        </w:tc>
        <w:tc>
          <w:tcPr>
            <w:tcW w:type="dxa" w:w="2986"/>
            <w:shd w:val="clear" w:color="auto" w:fill="252320"/>
            <w:tcMar>
              <w:top w:w="60" w:type="dxa"/>
              <w:bottom w:w="60" w:type="dxa"/>
              <w:left w:w="100" w:type="dxa"/>
              <w:right w:w="100" w:type="dxa"/>
            </w:tcMar>
            <w:vAlign w:val="center"/>
          </w:tcPr>
          <w:p>
            <w:r/>
            <w:r>
              <w:rPr>
                <w:b/>
                <w:color w:val="FFFFFF"/>
                <w:sz w:val="18"/>
              </w:rPr>
              <w:t>Target</w:t>
            </w:r>
          </w:p>
        </w:tc>
      </w:tr>
      <w:tr>
        <w:tc>
          <w:tcPr>
            <w:tcW w:type="dxa" w:w="2986"/>
            <w:tcMar>
              <w:top w:w="60" w:type="dxa"/>
              <w:bottom w:w="60" w:type="dxa"/>
              <w:left w:w="100" w:type="dxa"/>
              <w:right w:w="100" w:type="dxa"/>
            </w:tcMar>
            <w:vAlign w:val="center"/>
          </w:tcPr>
          <w:p>
            <w:r/>
            <w:r>
              <w:rPr>
                <w:color w:val="3A3835"/>
                <w:sz w:val="18"/>
              </w:rPr>
              <w:t>3 months</w:t>
            </w:r>
          </w:p>
        </w:tc>
        <w:tc>
          <w:tcPr>
            <w:tcW w:type="dxa" w:w="2986"/>
            <w:tcMar>
              <w:top w:w="60" w:type="dxa"/>
              <w:bottom w:w="60" w:type="dxa"/>
              <w:left w:w="100" w:type="dxa"/>
              <w:right w:w="100" w:type="dxa"/>
            </w:tcMar>
            <w:vAlign w:val="center"/>
          </w:tcPr>
          <w:p>
            <w:r/>
            <w:r>
              <w:rPr>
                <w:color w:val="3A3835"/>
                <w:sz w:val="18"/>
              </w:rPr>
              <w:t>Email subscribers</w:t>
            </w:r>
          </w:p>
        </w:tc>
        <w:tc>
          <w:tcPr>
            <w:tcW w:type="dxa" w:w="2986"/>
            <w:tcMar>
              <w:top w:w="60" w:type="dxa"/>
              <w:bottom w:w="60" w:type="dxa"/>
              <w:left w:w="100" w:type="dxa"/>
              <w:right w:w="100" w:type="dxa"/>
            </w:tcMar>
            <w:vAlign w:val="center"/>
          </w:tcPr>
          <w:p>
            <w:r/>
            <w:r>
              <w:rPr>
                <w:color w:val="3A3835"/>
                <w:sz w:val="18"/>
              </w:rPr>
              <w:t>500</w:t>
            </w:r>
          </w:p>
        </w:tc>
      </w:tr>
      <w:tr>
        <w:tc>
          <w:tcPr>
            <w:tcW w:type="dxa" w:w="2986"/>
            <w:tcMar>
              <w:top w:w="60" w:type="dxa"/>
              <w:bottom w:w="60" w:type="dxa"/>
              <w:left w:w="100" w:type="dxa"/>
              <w:right w:w="100" w:type="dxa"/>
            </w:tcMar>
            <w:vAlign w:val="center"/>
            <w:shd w:val="clear" w:color="auto" w:fill="F2EFEA"/>
          </w:tcPr>
          <w:p>
            <w:r/>
            <w:r>
              <w:rPr>
                <w:color w:val="3A3835"/>
                <w:sz w:val="18"/>
              </w:rPr>
              <w:t>6 months</w:t>
            </w:r>
          </w:p>
        </w:tc>
        <w:tc>
          <w:tcPr>
            <w:tcW w:type="dxa" w:w="2986"/>
            <w:tcMar>
              <w:top w:w="60" w:type="dxa"/>
              <w:bottom w:w="60" w:type="dxa"/>
              <w:left w:w="100" w:type="dxa"/>
              <w:right w:w="100" w:type="dxa"/>
            </w:tcMar>
            <w:vAlign w:val="center"/>
            <w:shd w:val="clear" w:color="auto" w:fill="F2EFEA"/>
          </w:tcPr>
          <w:p>
            <w:r/>
            <w:r>
              <w:rPr>
                <w:color w:val="3A3835"/>
                <w:sz w:val="18"/>
              </w:rPr>
              <w:t>Paying subscribers</w:t>
            </w:r>
          </w:p>
        </w:tc>
        <w:tc>
          <w:tcPr>
            <w:tcW w:type="dxa" w:w="2986"/>
            <w:tcMar>
              <w:top w:w="60" w:type="dxa"/>
              <w:bottom w:w="60" w:type="dxa"/>
              <w:left w:w="100" w:type="dxa"/>
              <w:right w:w="100" w:type="dxa"/>
            </w:tcMar>
            <w:vAlign w:val="center"/>
            <w:shd w:val="clear" w:color="auto" w:fill="F2EFEA"/>
          </w:tcPr>
          <w:p>
            <w:r/>
            <w:r>
              <w:rPr>
                <w:color w:val="3A3835"/>
                <w:sz w:val="18"/>
              </w:rPr>
              <w:t>100</w:t>
            </w:r>
          </w:p>
        </w:tc>
      </w:tr>
      <w:tr>
        <w:tc>
          <w:tcPr>
            <w:tcW w:type="dxa" w:w="2986"/>
            <w:tcMar>
              <w:top w:w="60" w:type="dxa"/>
              <w:bottom w:w="60" w:type="dxa"/>
              <w:left w:w="100" w:type="dxa"/>
              <w:right w:w="100" w:type="dxa"/>
            </w:tcMar>
            <w:vAlign w:val="center"/>
          </w:tcPr>
          <w:p>
            <w:r/>
            <w:r>
              <w:rPr>
                <w:color w:val="3A3835"/>
                <w:sz w:val="18"/>
              </w:rPr>
              <w:t>12 months</w:t>
            </w:r>
          </w:p>
        </w:tc>
        <w:tc>
          <w:tcPr>
            <w:tcW w:type="dxa" w:w="2986"/>
            <w:tcMar>
              <w:top w:w="60" w:type="dxa"/>
              <w:bottom w:w="60" w:type="dxa"/>
              <w:left w:w="100" w:type="dxa"/>
              <w:right w:w="100" w:type="dxa"/>
            </w:tcMar>
            <w:vAlign w:val="center"/>
          </w:tcPr>
          <w:p>
            <w:r/>
            <w:r>
              <w:rPr>
                <w:color w:val="3A3835"/>
                <w:sz w:val="18"/>
              </w:rPr>
              <w:t>MRR</w:t>
            </w:r>
          </w:p>
        </w:tc>
        <w:tc>
          <w:tcPr>
            <w:tcW w:type="dxa" w:w="2986"/>
            <w:tcMar>
              <w:top w:w="60" w:type="dxa"/>
              <w:bottom w:w="60" w:type="dxa"/>
              <w:left w:w="100" w:type="dxa"/>
              <w:right w:w="100" w:type="dxa"/>
            </w:tcMar>
            <w:vAlign w:val="center"/>
          </w:tcPr>
          <w:p>
            <w:r/>
            <w:r>
              <w:rPr>
                <w:color w:val="3A3835"/>
                <w:sz w:val="18"/>
              </w:rPr>
              <w:t>$5,000</w:t>
            </w:r>
          </w:p>
        </w:tc>
      </w:tr>
      <w:tr>
        <w:tc>
          <w:tcPr>
            <w:tcW w:type="dxa" w:w="2986"/>
            <w:tcMar>
              <w:top w:w="60" w:type="dxa"/>
              <w:bottom w:w="60" w:type="dxa"/>
              <w:left w:w="100" w:type="dxa"/>
              <w:right w:w="100" w:type="dxa"/>
            </w:tcMar>
            <w:vAlign w:val="center"/>
            <w:shd w:val="clear" w:color="auto" w:fill="F2EFEA"/>
          </w:tcPr>
          <w:p>
            <w:r/>
            <w:r>
              <w:rPr>
                <w:color w:val="3A3835"/>
                <w:sz w:val="18"/>
              </w:rPr>
              <w:t>24 months</w:t>
            </w:r>
          </w:p>
        </w:tc>
        <w:tc>
          <w:tcPr>
            <w:tcW w:type="dxa" w:w="2986"/>
            <w:tcMar>
              <w:top w:w="60" w:type="dxa"/>
              <w:bottom w:w="60" w:type="dxa"/>
              <w:left w:w="100" w:type="dxa"/>
              <w:right w:w="100" w:type="dxa"/>
            </w:tcMar>
            <w:vAlign w:val="center"/>
            <w:shd w:val="clear" w:color="auto" w:fill="F2EFEA"/>
          </w:tcPr>
          <w:p>
            <w:r/>
            <w:r>
              <w:rPr>
                <w:color w:val="3A3835"/>
                <w:sz w:val="18"/>
              </w:rPr>
              <w:t>MRR</w:t>
            </w:r>
          </w:p>
        </w:tc>
        <w:tc>
          <w:tcPr>
            <w:tcW w:type="dxa" w:w="2986"/>
            <w:tcMar>
              <w:top w:w="60" w:type="dxa"/>
              <w:bottom w:w="60" w:type="dxa"/>
              <w:left w:w="100" w:type="dxa"/>
              <w:right w:w="100" w:type="dxa"/>
            </w:tcMar>
            <w:vAlign w:val="center"/>
            <w:shd w:val="clear" w:color="auto" w:fill="F2EFEA"/>
          </w:tcPr>
          <w:p>
            <w:r/>
            <w:r>
              <w:rPr>
                <w:color w:val="3A3835"/>
                <w:sz w:val="18"/>
              </w:rPr>
              <w:t>$50,000</w:t>
            </w:r>
          </w:p>
        </w:tc>
      </w:tr>
      <w:tr>
        <w:tc>
          <w:tcPr>
            <w:tcW w:type="dxa" w:w="2986"/>
            <w:tcMar>
              <w:top w:w="60" w:type="dxa"/>
              <w:bottom w:w="60" w:type="dxa"/>
              <w:left w:w="100" w:type="dxa"/>
              <w:right w:w="100" w:type="dxa"/>
            </w:tcMar>
            <w:vAlign w:val="center"/>
          </w:tcPr>
          <w:p>
            <w:r/>
            <w:r>
              <w:rPr>
                <w:color w:val="3A3835"/>
                <w:sz w:val="18"/>
              </w:rPr>
              <w:t>36 months</w:t>
            </w:r>
          </w:p>
        </w:tc>
        <w:tc>
          <w:tcPr>
            <w:tcW w:type="dxa" w:w="2986"/>
            <w:tcMar>
              <w:top w:w="60" w:type="dxa"/>
              <w:bottom w:w="60" w:type="dxa"/>
              <w:left w:w="100" w:type="dxa"/>
              <w:right w:w="100" w:type="dxa"/>
            </w:tcMar>
            <w:vAlign w:val="center"/>
          </w:tcPr>
          <w:p>
            <w:r/>
            <w:r>
              <w:rPr>
                <w:color w:val="3A3835"/>
                <w:sz w:val="18"/>
              </w:rPr>
              <w:t>MRR</w:t>
            </w:r>
          </w:p>
        </w:tc>
        <w:tc>
          <w:tcPr>
            <w:tcW w:type="dxa" w:w="2986"/>
            <w:tcMar>
              <w:top w:w="60" w:type="dxa"/>
              <w:bottom w:w="60" w:type="dxa"/>
              <w:left w:w="100" w:type="dxa"/>
              <w:right w:w="100" w:type="dxa"/>
            </w:tcMar>
            <w:vAlign w:val="center"/>
          </w:tcPr>
          <w:p>
            <w:r/>
            <w:r>
              <w:rPr>
                <w:color w:val="3A3835"/>
                <w:sz w:val="18"/>
              </w:rPr>
              <w:t>$200,000</w:t>
            </w:r>
          </w:p>
        </w:tc>
      </w:tr>
    </w:tbl>
    <w:p>
      <w:pPr>
        <w:pStyle w:val="BIKCaption"/>
        <w:jc w:val="center"/>
      </w:pPr>
      <w:r>
        <w:t>Source: docs/product-vision.md — Success Metrics</w:t>
      </w:r>
    </w:p>
    <w:p>
      <w:pPr>
        <w:pStyle w:val="BIKH1"/>
      </w:pPr>
      <w:r>
        <w:t>What BIK Is Deliberately Not Building</w:t>
      </w:r>
    </w:p>
    <w:p>
      <w:pPr>
        <w:pStyle w:val="BIKBody"/>
        <w:jc w:val="both"/>
      </w:pPr>
      <w:r>
        <w:t>Strategic discipline is as much about exclusion as ambition. BIK has explicitly ruled out the following, and this document restates the ruling because it is easy for scope to creep once outside capital or partnership interest arrives:</w:t>
      </w:r>
    </w:p>
    <w:p>
      <w:pPr>
        <w:pStyle w:val="ListBullet"/>
      </w:pPr>
      <w:r>
        <w:t>A full enterprise project management suite — Procore and Autodesk Construction Cloud already do this well; BIK's stated posture is to integrate with these platforms eventually, not to compete with them head-on</w:t>
      </w:r>
    </w:p>
    <w:p>
      <w:pPr>
        <w:pStyle w:val="ListBullet"/>
      </w:pPr>
      <w:r>
        <w:t>An accounting system — Xero, MYOB and QuickBooks already do this; BIK generates the documents that feed into them</w:t>
      </w:r>
    </w:p>
    <w:p>
      <w:pPr>
        <w:pStyle w:val="ListBullet"/>
      </w:pPr>
      <w:r>
        <w:t>A generic AI assistant — BIK is deliberately, deeply construction-specific rather than broad</w:t>
      </w:r>
    </w:p>
    <w:p>
      <w:pPr>
        <w:pStyle w:val="ListBullet"/>
      </w:pPr>
      <w:r>
        <w:t>Enterprise-first software — BIK's primary market is the 1–50 person trade business, not the head contractor or tier-1 builder</w:t>
      </w:r>
    </w:p>
    <w:p>
      <w:pPr>
        <w:pStyle w:val="BIKChapterLabel"/>
      </w:pPr>
      <w:r>
        <w:t>PART C — STRATEGY &amp; GOVERNANCE</w:t>
      </w:r>
    </w:p>
    <w:p>
      <w:pPr>
        <w:pStyle w:val="BIKChapterTitle"/>
        <w:pBdr>
          <w:bottom w:val="single" w:sz="18" w:space="8" w:color="D85A30"/>
        </w:pBdr>
      </w:pPr>
      <w:r>
        <w:t>09   Product Philosophy</w:t>
      </w:r>
    </w:p>
    <w:p>
      <w:pPr>
        <w:pStyle w:val="BIKH1"/>
      </w:pPr>
      <w:r>
        <w:t>Design Principles</w:t>
      </w:r>
    </w:p>
    <w:p>
      <w:pPr>
        <w:pStyle w:val="ListBullet"/>
      </w:pPr>
      <w:r>
        <w:rPr>
          <w:b/>
          <w:color w:val="252320"/>
        </w:rPr>
        <w:t xml:space="preserve">The user is the source of truth. </w:t>
      </w:r>
      <w:r>
        <w:t>The AI is an editor, never an author. This single principle (Decision 001) shapes every prompt, every system message and every field in the product.</w:t>
      </w:r>
    </w:p>
    <w:p>
      <w:pPr>
        <w:pStyle w:val="ListBullet"/>
      </w:pPr>
      <w:r>
        <w:rPr>
          <w:b/>
          <w:color w:val="252320"/>
        </w:rPr>
        <w:t xml:space="preserve">Fast enough for a sole trader, powerful enough for a 20-person builder. </w:t>
      </w:r>
      <w:r>
        <w:t>Every tool must work in under three minutes for a solo user with no training, while still holding up as a professional document a head contractor would accept.</w:t>
      </w:r>
    </w:p>
    <w:p>
      <w:pPr>
        <w:pStyle w:val="ListBullet"/>
      </w:pPr>
      <w:r>
        <w:rPr>
          <w:b/>
          <w:color w:val="252320"/>
        </w:rPr>
        <w:t xml:space="preserve">No lock-in. </w:t>
      </w:r>
      <w:r>
        <w:t>Every document a builder generates is theirs — exportable as a PDF at any time, with no BIK watermark once paid. Trust is not built by making it hard to leave.</w:t>
      </w:r>
    </w:p>
    <w:p>
      <w:pPr>
        <w:pStyle w:val="ListBullet"/>
      </w:pPr>
      <w:r>
        <w:rPr>
          <w:b/>
          <w:color w:val="252320"/>
        </w:rPr>
        <w:t xml:space="preserve">Australian, specifically. </w:t>
      </w:r>
      <w:r>
        <w:t>Every field, label, default and legal reference reflects Australian construction practice and Australian English — not a US or generic English-language product with the currency symbol changed.</w:t>
      </w:r>
    </w:p>
    <w:p>
      <w:pPr>
        <w:pStyle w:val="ListBullet"/>
      </w:pPr>
      <w:r>
        <w:rPr>
          <w:b/>
          <w:color w:val="252320"/>
        </w:rPr>
        <w:t xml:space="preserve">Human review is a feature, not a disclaimer. </w:t>
      </w:r>
      <w:r>
        <w:t>AI output is always presented in the same editable field the user wrote into, so what changed is visible and correctable before anything is sent.</w:t>
      </w:r>
    </w:p>
    <w:p>
      <w:pPr>
        <w:pStyle w:val="BIKH2"/>
      </w:pPr>
      <w:r>
        <w:t>THE AI WRITING MODES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Mode</w:t>
            </w:r>
          </w:p>
        </w:tc>
        <w:tc>
          <w:tcPr>
            <w:tcW w:type="dxa" w:w="2986"/>
            <w:shd w:val="clear" w:color="auto" w:fill="252320"/>
            <w:tcMar>
              <w:top w:w="60" w:type="dxa"/>
              <w:bottom w:w="60" w:type="dxa"/>
              <w:left w:w="100" w:type="dxa"/>
              <w:right w:w="100" w:type="dxa"/>
            </w:tcMar>
            <w:vAlign w:val="center"/>
          </w:tcPr>
          <w:p>
            <w:r/>
            <w:r>
              <w:rPr>
                <w:b/>
                <w:color w:val="FFFFFF"/>
                <w:sz w:val="18"/>
              </w:rPr>
              <w:t>Purpose</w:t>
            </w:r>
          </w:p>
        </w:tc>
        <w:tc>
          <w:tcPr>
            <w:tcW w:type="dxa" w:w="2986"/>
            <w:shd w:val="clear" w:color="auto" w:fill="252320"/>
            <w:tcMar>
              <w:top w:w="60" w:type="dxa"/>
              <w:bottom w:w="60" w:type="dxa"/>
              <w:left w:w="100" w:type="dxa"/>
              <w:right w:w="100" w:type="dxa"/>
            </w:tcMar>
            <w:vAlign w:val="center"/>
          </w:tcPr>
          <w:p>
            <w:r/>
            <w:r>
              <w:rPr>
                <w:b/>
                <w:color w:val="FFFFFF"/>
                <w:sz w:val="18"/>
              </w:rPr>
              <w:t>Visibility</w:t>
            </w:r>
          </w:p>
        </w:tc>
      </w:tr>
      <w:tr>
        <w:tc>
          <w:tcPr>
            <w:tcW w:type="dxa" w:w="2986"/>
            <w:tcMar>
              <w:top w:w="60" w:type="dxa"/>
              <w:bottom w:w="60" w:type="dxa"/>
              <w:left w:w="100" w:type="dxa"/>
              <w:right w:w="100" w:type="dxa"/>
            </w:tcMar>
            <w:vAlign w:val="center"/>
          </w:tcPr>
          <w:p>
            <w:r/>
            <w:r>
              <w:rPr>
                <w:color w:val="3A3835"/>
                <w:sz w:val="18"/>
              </w:rPr>
              <w:t>Rewrite Professionally</w:t>
            </w:r>
          </w:p>
        </w:tc>
        <w:tc>
          <w:tcPr>
            <w:tcW w:type="dxa" w:w="2986"/>
            <w:tcMar>
              <w:top w:w="60" w:type="dxa"/>
              <w:bottom w:w="60" w:type="dxa"/>
              <w:left w:w="100" w:type="dxa"/>
              <w:right w:w="100" w:type="dxa"/>
            </w:tcMar>
            <w:vAlign w:val="center"/>
          </w:tcPr>
          <w:p>
            <w:r/>
            <w:r>
              <w:rPr>
                <w:color w:val="3A3835"/>
                <w:sz w:val="18"/>
              </w:rPr>
              <w:t>Formal Australian construction English</w:t>
            </w:r>
          </w:p>
        </w:tc>
        <w:tc>
          <w:tcPr>
            <w:tcW w:type="dxa" w:w="2986"/>
            <w:tcMar>
              <w:top w:w="60" w:type="dxa"/>
              <w:bottom w:w="60" w:type="dxa"/>
              <w:left w:w="100" w:type="dxa"/>
              <w:right w:w="100" w:type="dxa"/>
            </w:tcMar>
            <w:vAlign w:val="center"/>
          </w:tcPr>
          <w:p>
            <w:r/>
            <w:r>
              <w:rPr>
                <w:color w:val="3A3835"/>
                <w:sz w:val="18"/>
              </w:rPr>
              <w:t>Primary — always visible</w:t>
            </w:r>
          </w:p>
        </w:tc>
      </w:tr>
      <w:tr>
        <w:tc>
          <w:tcPr>
            <w:tcW w:type="dxa" w:w="2986"/>
            <w:tcMar>
              <w:top w:w="60" w:type="dxa"/>
              <w:bottom w:w="60" w:type="dxa"/>
              <w:left w:w="100" w:type="dxa"/>
              <w:right w:w="100" w:type="dxa"/>
            </w:tcMar>
            <w:vAlign w:val="center"/>
            <w:shd w:val="clear" w:color="auto" w:fill="F2EFEA"/>
          </w:tcPr>
          <w:p>
            <w:r/>
            <w:r>
              <w:rPr>
                <w:color w:val="3A3835"/>
                <w:sz w:val="18"/>
              </w:rPr>
              <w:t>Strengthen for Contract</w:t>
            </w:r>
          </w:p>
        </w:tc>
        <w:tc>
          <w:tcPr>
            <w:tcW w:type="dxa" w:w="2986"/>
            <w:tcMar>
              <w:top w:w="60" w:type="dxa"/>
              <w:bottom w:w="60" w:type="dxa"/>
              <w:left w:w="100" w:type="dxa"/>
              <w:right w:w="100" w:type="dxa"/>
            </w:tcMar>
            <w:vAlign w:val="center"/>
            <w:shd w:val="clear" w:color="auto" w:fill="F2EFEA"/>
          </w:tcPr>
          <w:p>
            <w:r/>
            <w:r>
              <w:rPr>
                <w:color w:val="3A3835"/>
                <w:sz w:val="18"/>
              </w:rPr>
              <w:t>Legally precise, builder-protective language</w:t>
            </w:r>
          </w:p>
        </w:tc>
        <w:tc>
          <w:tcPr>
            <w:tcW w:type="dxa" w:w="2986"/>
            <w:tcMar>
              <w:top w:w="60" w:type="dxa"/>
              <w:bottom w:w="60" w:type="dxa"/>
              <w:left w:w="100" w:type="dxa"/>
              <w:right w:w="100" w:type="dxa"/>
            </w:tcMar>
            <w:vAlign w:val="center"/>
            <w:shd w:val="clear" w:color="auto" w:fill="F2EFEA"/>
          </w:tcPr>
          <w:p>
            <w:r/>
            <w:r>
              <w:rPr>
                <w:color w:val="3A3835"/>
                <w:sz w:val="18"/>
              </w:rPr>
              <w:t>Primary — always visible</w:t>
            </w:r>
          </w:p>
        </w:tc>
      </w:tr>
      <w:tr>
        <w:tc>
          <w:tcPr>
            <w:tcW w:type="dxa" w:w="2986"/>
            <w:tcMar>
              <w:top w:w="60" w:type="dxa"/>
              <w:bottom w:w="60" w:type="dxa"/>
              <w:left w:w="100" w:type="dxa"/>
              <w:right w:w="100" w:type="dxa"/>
            </w:tcMar>
            <w:vAlign w:val="center"/>
          </w:tcPr>
          <w:p>
            <w:r/>
            <w:r>
              <w:rPr>
                <w:color w:val="3A3835"/>
                <w:sz w:val="18"/>
              </w:rPr>
              <w:t>Spell &amp; Grammar</w:t>
            </w:r>
          </w:p>
        </w:tc>
        <w:tc>
          <w:tcPr>
            <w:tcW w:type="dxa" w:w="2986"/>
            <w:tcMar>
              <w:top w:w="60" w:type="dxa"/>
              <w:bottom w:w="60" w:type="dxa"/>
              <w:left w:w="100" w:type="dxa"/>
              <w:right w:w="100" w:type="dxa"/>
            </w:tcMar>
            <w:vAlign w:val="center"/>
          </w:tcPr>
          <w:p>
            <w:r/>
            <w:r>
              <w:rPr>
                <w:color w:val="3A3835"/>
                <w:sz w:val="18"/>
              </w:rPr>
              <w:t>Correct errors only, preserve meaning exactly</w:t>
            </w:r>
          </w:p>
        </w:tc>
        <w:tc>
          <w:tcPr>
            <w:tcW w:type="dxa" w:w="2986"/>
            <w:tcMar>
              <w:top w:w="60" w:type="dxa"/>
              <w:bottom w:w="60" w:type="dxa"/>
              <w:left w:w="100" w:type="dxa"/>
              <w:right w:w="100" w:type="dxa"/>
            </w:tcMar>
            <w:vAlign w:val="center"/>
          </w:tcPr>
          <w:p>
            <w:r/>
            <w:r>
              <w:rPr>
                <w:color w:val="3A3835"/>
                <w:sz w:val="18"/>
              </w:rPr>
              <w:t>Secondary — behind "More"</w:t>
            </w:r>
          </w:p>
        </w:tc>
      </w:tr>
      <w:tr>
        <w:tc>
          <w:tcPr>
            <w:tcW w:type="dxa" w:w="2986"/>
            <w:tcMar>
              <w:top w:w="60" w:type="dxa"/>
              <w:bottom w:w="60" w:type="dxa"/>
              <w:left w:w="100" w:type="dxa"/>
              <w:right w:w="100" w:type="dxa"/>
            </w:tcMar>
            <w:vAlign w:val="center"/>
            <w:shd w:val="clear" w:color="auto" w:fill="F2EFEA"/>
          </w:tcPr>
          <w:p>
            <w:r/>
            <w:r>
              <w:rPr>
                <w:color w:val="3A3835"/>
                <w:sz w:val="18"/>
              </w:rPr>
              <w:t>Simplify for Client</w:t>
            </w:r>
          </w:p>
        </w:tc>
        <w:tc>
          <w:tcPr>
            <w:tcW w:type="dxa" w:w="2986"/>
            <w:tcMar>
              <w:top w:w="60" w:type="dxa"/>
              <w:bottom w:w="60" w:type="dxa"/>
              <w:left w:w="100" w:type="dxa"/>
              <w:right w:w="100" w:type="dxa"/>
            </w:tcMar>
            <w:vAlign w:val="center"/>
            <w:shd w:val="clear" w:color="auto" w:fill="F2EFEA"/>
          </w:tcPr>
          <w:p>
            <w:r/>
            <w:r>
              <w:rPr>
                <w:color w:val="3A3835"/>
                <w:sz w:val="18"/>
              </w:rPr>
              <w:t>Plain language, no jargon</w:t>
            </w:r>
          </w:p>
        </w:tc>
        <w:tc>
          <w:tcPr>
            <w:tcW w:type="dxa" w:w="2986"/>
            <w:tcMar>
              <w:top w:w="60" w:type="dxa"/>
              <w:bottom w:w="60" w:type="dxa"/>
              <w:left w:w="100" w:type="dxa"/>
              <w:right w:w="100" w:type="dxa"/>
            </w:tcMar>
            <w:vAlign w:val="center"/>
            <w:shd w:val="clear" w:color="auto" w:fill="F2EFEA"/>
          </w:tcPr>
          <w:p>
            <w:r/>
            <w:r>
              <w:rPr>
                <w:color w:val="3A3835"/>
                <w:sz w:val="18"/>
              </w:rPr>
              <w:t>Secondary</w:t>
            </w:r>
          </w:p>
        </w:tc>
      </w:tr>
      <w:tr>
        <w:tc>
          <w:tcPr>
            <w:tcW w:type="dxa" w:w="2986"/>
            <w:tcMar>
              <w:top w:w="60" w:type="dxa"/>
              <w:bottom w:w="60" w:type="dxa"/>
              <w:left w:w="100" w:type="dxa"/>
              <w:right w:w="100" w:type="dxa"/>
            </w:tcMar>
            <w:vAlign w:val="center"/>
          </w:tcPr>
          <w:p>
            <w:r/>
            <w:r>
              <w:rPr>
                <w:color w:val="3A3835"/>
                <w:sz w:val="18"/>
              </w:rPr>
              <w:t>Formal Version</w:t>
            </w:r>
          </w:p>
        </w:tc>
        <w:tc>
          <w:tcPr>
            <w:tcW w:type="dxa" w:w="2986"/>
            <w:tcMar>
              <w:top w:w="60" w:type="dxa"/>
              <w:bottom w:w="60" w:type="dxa"/>
              <w:left w:w="100" w:type="dxa"/>
              <w:right w:w="100" w:type="dxa"/>
            </w:tcMar>
            <w:vAlign w:val="center"/>
          </w:tcPr>
          <w:p>
            <w:r/>
            <w:r>
              <w:rPr>
                <w:color w:val="3A3835"/>
                <w:sz w:val="18"/>
              </w:rPr>
              <w:t>Formal business register</w:t>
            </w:r>
          </w:p>
        </w:tc>
        <w:tc>
          <w:tcPr>
            <w:tcW w:type="dxa" w:w="2986"/>
            <w:tcMar>
              <w:top w:w="60" w:type="dxa"/>
              <w:bottom w:w="60" w:type="dxa"/>
              <w:left w:w="100" w:type="dxa"/>
              <w:right w:w="100" w:type="dxa"/>
            </w:tcMar>
            <w:vAlign w:val="center"/>
          </w:tcPr>
          <w:p>
            <w:r/>
            <w:r>
              <w:rPr>
                <w:color w:val="3A3835"/>
                <w:sz w:val="18"/>
              </w:rPr>
              <w:t>Secondary</w:t>
            </w:r>
          </w:p>
        </w:tc>
      </w:tr>
      <w:tr>
        <w:tc>
          <w:tcPr>
            <w:tcW w:type="dxa" w:w="2986"/>
            <w:tcMar>
              <w:top w:w="60" w:type="dxa"/>
              <w:bottom w:w="60" w:type="dxa"/>
              <w:left w:w="100" w:type="dxa"/>
              <w:right w:w="100" w:type="dxa"/>
            </w:tcMar>
            <w:vAlign w:val="center"/>
            <w:shd w:val="clear" w:color="auto" w:fill="F2EFEA"/>
          </w:tcPr>
          <w:p>
            <w:r/>
            <w:r>
              <w:rPr>
                <w:color w:val="3A3835"/>
                <w:sz w:val="18"/>
              </w:rPr>
              <w:t>Plain English</w:t>
            </w:r>
          </w:p>
        </w:tc>
        <w:tc>
          <w:tcPr>
            <w:tcW w:type="dxa" w:w="2986"/>
            <w:tcMar>
              <w:top w:w="60" w:type="dxa"/>
              <w:bottom w:w="60" w:type="dxa"/>
              <w:left w:w="100" w:type="dxa"/>
              <w:right w:w="100" w:type="dxa"/>
            </w:tcMar>
            <w:vAlign w:val="center"/>
            <w:shd w:val="clear" w:color="auto" w:fill="F2EFEA"/>
          </w:tcPr>
          <w:p>
            <w:r/>
            <w:r>
              <w:rPr>
                <w:color w:val="3A3835"/>
                <w:sz w:val="18"/>
              </w:rPr>
              <w:t>Short sentences, active voice</w:t>
            </w:r>
          </w:p>
        </w:tc>
        <w:tc>
          <w:tcPr>
            <w:tcW w:type="dxa" w:w="2986"/>
            <w:tcMar>
              <w:top w:w="60" w:type="dxa"/>
              <w:bottom w:w="60" w:type="dxa"/>
              <w:left w:w="100" w:type="dxa"/>
              <w:right w:w="100" w:type="dxa"/>
            </w:tcMar>
            <w:vAlign w:val="center"/>
            <w:shd w:val="clear" w:color="auto" w:fill="F2EFEA"/>
          </w:tcPr>
          <w:p>
            <w:r/>
            <w:r>
              <w:rPr>
                <w:color w:val="3A3835"/>
                <w:sz w:val="18"/>
              </w:rPr>
              <w:t>Secondary</w:t>
            </w:r>
          </w:p>
        </w:tc>
      </w:tr>
    </w:tbl>
    <w:p>
      <w:pPr>
        <w:spacing w:after="120"/>
      </w:pPr>
    </w:p>
    <w:p>
      <w:pPr>
        <w:pStyle w:val="BIKH1"/>
      </w:pPr>
      <w:r>
        <w:t>Why Restraint Is a Design Choice, Not a Limitation</w:t>
      </w:r>
    </w:p>
    <w:p>
      <w:pPr>
        <w:pStyle w:val="BIKBody"/>
        <w:jc w:val="both"/>
      </w:pPr>
      <w:r>
        <w:t>It is technically trivial to build an AI writer that produces more impressive-sounding, more detailed, more confident output than BIK's. It is not trivial to build one that a builder can trust with their professional reputation and legal position — because that requires the AI to sometimes do less than it is capable of. BIK treats that restraint as the product, not a constraint on the product.</w:t>
      </w:r>
    </w:p>
    <w:p>
      <w:pPr>
        <w:pStyle w:val="BIKH1"/>
      </w:pPr>
      <w:r>
        <w:t>UX Principles: "One Call, Done Right" Applied to Software</w:t>
      </w:r>
    </w:p>
    <w:p>
      <w:pPr>
        <w:pStyle w:val="BIKBody"/>
        <w:jc w:val="both"/>
      </w:pPr>
      <w:r>
        <w:t>BIK's service philosophy for its trades business — one call, done right — is deliberately also its software design philosophy. Every page and every tool is built against five principles, tested against a specific, unglamorous scenario: a builder standing on a dusty site at 6am, on a phone, on patchy 4G, with no patience for anything that isn't immediately obvious.</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Principle</w:t>
            </w:r>
          </w:p>
        </w:tc>
        <w:tc>
          <w:tcPr>
            <w:tcW w:type="dxa" w:w="4479"/>
            <w:shd w:val="clear" w:color="auto" w:fill="252320"/>
            <w:tcMar>
              <w:top w:w="60" w:type="dxa"/>
              <w:bottom w:w="60" w:type="dxa"/>
              <w:left w:w="100" w:type="dxa"/>
              <w:right w:w="100" w:type="dxa"/>
            </w:tcMar>
            <w:vAlign w:val="center"/>
          </w:tcPr>
          <w:p>
            <w:r/>
            <w:r>
              <w:rPr>
                <w:b/>
                <w:color w:val="FFFFFF"/>
                <w:sz w:val="18"/>
              </w:rPr>
              <w:t>What it means in practice</w:t>
            </w:r>
          </w:p>
        </w:tc>
      </w:tr>
      <w:tr>
        <w:tc>
          <w:tcPr>
            <w:tcW w:type="dxa" w:w="4479"/>
            <w:tcMar>
              <w:top w:w="60" w:type="dxa"/>
              <w:bottom w:w="60" w:type="dxa"/>
              <w:left w:w="100" w:type="dxa"/>
              <w:right w:w="100" w:type="dxa"/>
            </w:tcMar>
            <w:vAlign w:val="center"/>
          </w:tcPr>
          <w:p>
            <w:r/>
            <w:r>
              <w:rPr>
                <w:color w:val="3A3835"/>
                <w:sz w:val="18"/>
              </w:rPr>
              <w:t>Mobile-first, always</w:t>
            </w:r>
          </w:p>
        </w:tc>
        <w:tc>
          <w:tcPr>
            <w:tcW w:type="dxa" w:w="4479"/>
            <w:tcMar>
              <w:top w:w="60" w:type="dxa"/>
              <w:bottom w:w="60" w:type="dxa"/>
              <w:left w:w="100" w:type="dxa"/>
              <w:right w:w="100" w:type="dxa"/>
            </w:tcMar>
            <w:vAlign w:val="center"/>
          </w:tcPr>
          <w:p>
            <w:r/>
            <w:r>
              <w:rPr>
                <w:color w:val="3A3835"/>
                <w:sz w:val="18"/>
              </w:rPr>
              <w:t>More than 60% of trade visitors are on mobile; every surface is designed for a phone first and enhanced for desktop, never the reverse</w:t>
            </w:r>
          </w:p>
        </w:tc>
      </w:tr>
      <w:tr>
        <w:tc>
          <w:tcPr>
            <w:tcW w:type="dxa" w:w="4479"/>
            <w:tcMar>
              <w:top w:w="60" w:type="dxa"/>
              <w:bottom w:w="60" w:type="dxa"/>
              <w:left w:w="100" w:type="dxa"/>
              <w:right w:w="100" w:type="dxa"/>
            </w:tcMar>
            <w:vAlign w:val="center"/>
            <w:shd w:val="clear" w:color="auto" w:fill="F2EFEA"/>
          </w:tcPr>
          <w:p>
            <w:r/>
            <w:r>
              <w:rPr>
                <w:color w:val="3A3835"/>
                <w:sz w:val="18"/>
              </w:rPr>
              <w:t>Clarity over cleverness</w:t>
            </w:r>
          </w:p>
        </w:tc>
        <w:tc>
          <w:tcPr>
            <w:tcW w:type="dxa" w:w="4479"/>
            <w:tcMar>
              <w:top w:w="60" w:type="dxa"/>
              <w:bottom w:w="60" w:type="dxa"/>
              <w:left w:w="100" w:type="dxa"/>
              <w:right w:w="100" w:type="dxa"/>
            </w:tcMar>
            <w:vAlign w:val="center"/>
            <w:shd w:val="clear" w:color="auto" w:fill="F2EFEA"/>
          </w:tcPr>
          <w:p>
            <w:r/>
            <w:r>
              <w:rPr>
                <w:color w:val="3A3835"/>
                <w:sz w:val="18"/>
              </w:rPr>
              <w:t>Every interaction must be obvious without instruction — no onboarding tour should ever be required to use a tool</w:t>
            </w:r>
          </w:p>
        </w:tc>
      </w:tr>
      <w:tr>
        <w:tc>
          <w:tcPr>
            <w:tcW w:type="dxa" w:w="4479"/>
            <w:tcMar>
              <w:top w:w="60" w:type="dxa"/>
              <w:bottom w:w="60" w:type="dxa"/>
              <w:left w:w="100" w:type="dxa"/>
              <w:right w:w="100" w:type="dxa"/>
            </w:tcMar>
            <w:vAlign w:val="center"/>
          </w:tcPr>
          <w:p>
            <w:r/>
            <w:r>
              <w:rPr>
                <w:color w:val="3A3835"/>
                <w:sz w:val="18"/>
              </w:rPr>
              <w:t>Speed is a feature</w:t>
            </w:r>
          </w:p>
        </w:tc>
        <w:tc>
          <w:tcPr>
            <w:tcW w:type="dxa" w:w="4479"/>
            <w:tcMar>
              <w:top w:w="60" w:type="dxa"/>
              <w:bottom w:w="60" w:type="dxa"/>
              <w:left w:w="100" w:type="dxa"/>
              <w:right w:w="100" w:type="dxa"/>
            </w:tcMar>
            <w:vAlign w:val="center"/>
          </w:tcPr>
          <w:p>
            <w:r/>
            <w:r>
              <w:rPr>
                <w:color w:val="3A3835"/>
                <w:sz w:val="18"/>
              </w:rPr>
              <w:t>Every kilobyte of JavaScript and every font is a tax on a variable 4G connection in a construction zone; the Phase 1 stack's zero-dependency approach (Chapter 6) is as much a UX decision as an infrastructure one</w:t>
            </w:r>
          </w:p>
        </w:tc>
      </w:tr>
      <w:tr>
        <w:tc>
          <w:tcPr>
            <w:tcW w:type="dxa" w:w="4479"/>
            <w:tcMar>
              <w:top w:w="60" w:type="dxa"/>
              <w:bottom w:w="60" w:type="dxa"/>
              <w:left w:w="100" w:type="dxa"/>
              <w:right w:w="100" w:type="dxa"/>
            </w:tcMar>
            <w:vAlign w:val="center"/>
            <w:shd w:val="clear" w:color="auto" w:fill="F2EFEA"/>
          </w:tcPr>
          <w:p>
            <w:r/>
            <w:r>
              <w:rPr>
                <w:color w:val="3A3835"/>
                <w:sz w:val="18"/>
              </w:rPr>
              <w:t>Respect the reader's time</w:t>
            </w:r>
          </w:p>
        </w:tc>
        <w:tc>
          <w:tcPr>
            <w:tcW w:type="dxa" w:w="4479"/>
            <w:tcMar>
              <w:top w:w="60" w:type="dxa"/>
              <w:bottom w:w="60" w:type="dxa"/>
              <w:left w:w="100" w:type="dxa"/>
              <w:right w:w="100" w:type="dxa"/>
            </w:tcMar>
            <w:vAlign w:val="center"/>
            <w:shd w:val="clear" w:color="auto" w:fill="F2EFEA"/>
          </w:tcPr>
          <w:p>
            <w:r/>
            <w:r>
              <w:rPr>
                <w:color w:val="3A3835"/>
                <w:sz w:val="18"/>
              </w:rPr>
              <w:t>Scannable content — headers, short paragraphs, bullets — never bury the action a user needs in a wall of text</w:t>
            </w:r>
          </w:p>
        </w:tc>
      </w:tr>
      <w:tr>
        <w:tc>
          <w:tcPr>
            <w:tcW w:type="dxa" w:w="4479"/>
            <w:tcMar>
              <w:top w:w="60" w:type="dxa"/>
              <w:bottom w:w="60" w:type="dxa"/>
              <w:left w:w="100" w:type="dxa"/>
              <w:right w:w="100" w:type="dxa"/>
            </w:tcMar>
            <w:vAlign w:val="center"/>
          </w:tcPr>
          <w:p>
            <w:r/>
            <w:r>
              <w:rPr>
                <w:color w:val="3A3835"/>
                <w:sz w:val="18"/>
              </w:rPr>
              <w:t>Trust is earned, not assumed</w:t>
            </w:r>
          </w:p>
        </w:tc>
        <w:tc>
          <w:tcPr>
            <w:tcW w:type="dxa" w:w="4479"/>
            <w:tcMar>
              <w:top w:w="60" w:type="dxa"/>
              <w:bottom w:w="60" w:type="dxa"/>
              <w:left w:w="100" w:type="dxa"/>
              <w:right w:w="100" w:type="dxa"/>
            </w:tcMar>
            <w:vAlign w:val="center"/>
          </w:tcPr>
          <w:p>
            <w:r/>
            <w:r>
              <w:rPr>
                <w:color w:val="3A3835"/>
                <w:sz w:val="18"/>
              </w:rPr>
              <w:t>The audience has been burned by unreliable trades and overpriced software before; every design choice reinforces professionalism and honesty rather than asserting it</w:t>
            </w:r>
          </w:p>
        </w:tc>
      </w:tr>
    </w:tbl>
    <w:p>
      <w:pPr>
        <w:pStyle w:val="BIKCaption"/>
        <w:jc w:val="center"/>
      </w:pPr>
      <w:r>
        <w:t>Source: docs/ux-principles.md</w:t>
      </w:r>
    </w:p>
    <w:p>
      <w:pPr>
        <w:pStyle w:val="BIKBody"/>
        <w:jc w:val="both"/>
      </w:pPr>
      <w:r>
        <w:t>These principles are enforced through concrete standards, not just stated as values: a minimum 44px touch target on every button, HTML5 and custom validation with plain-English error messages, colour contrast of at least 4.5:1 for body text, and full respect for `prefers-reduced-motion`. Accessibility is treated as a baseline requirement, not a Phase 2 nice-to-have — a genuine reflection of the "trust is earned" principle applied to users who rely on assistive technology.</w:t>
      </w:r>
    </w:p>
    <w:p>
      <w:pPr>
        <w:pStyle w:val="BIKChapterLabel"/>
      </w:pPr>
      <w:r>
        <w:t>PART C — STRATEGY &amp; GOVERNANCE</w:t>
      </w:r>
    </w:p>
    <w:p>
      <w:pPr>
        <w:pStyle w:val="BIKChapterTitle"/>
        <w:pBdr>
          <w:bottom w:val="single" w:sz="18" w:space="8" w:color="D85A30"/>
        </w:pBdr>
      </w:pPr>
      <w:r>
        <w:t>10   The BIK Operating Model</w:t>
      </w:r>
    </w:p>
    <w:p>
      <w:pPr>
        <w:pStyle w:val="BIKH1"/>
      </w:pPr>
      <w:r>
        <w:t>How the Company Runs</w:t>
      </w:r>
    </w:p>
    <w:p>
      <w:pPr>
        <w:pStyle w:val="BIKBody"/>
        <w:jc w:val="both"/>
      </w:pPr>
      <w:r>
        <w:t>The BIK Operating Model describes both the technical architecture (Chapter 6, Figure 6.1) and the organisational operating rhythm that governs how the company builds, ships and reviews its own work. It is deliberately lightweight in Phase 1 and designed to add process only when the evidence requires it.</w:t>
      </w:r>
    </w:p>
    <w:p>
      <w:pPr>
        <w:pStyle w:val="BIKH2"/>
      </w:pPr>
      <w:r>
        <w:t>OPERATING CADENCE</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Rhythm</w:t>
            </w:r>
          </w:p>
        </w:tc>
        <w:tc>
          <w:tcPr>
            <w:tcW w:type="dxa" w:w="2986"/>
            <w:shd w:val="clear" w:color="auto" w:fill="252320"/>
            <w:tcMar>
              <w:top w:w="60" w:type="dxa"/>
              <w:bottom w:w="60" w:type="dxa"/>
              <w:left w:w="100" w:type="dxa"/>
              <w:right w:w="100" w:type="dxa"/>
            </w:tcMar>
            <w:vAlign w:val="center"/>
          </w:tcPr>
          <w:p>
            <w:r/>
            <w:r>
              <w:rPr>
                <w:b/>
                <w:color w:val="FFFFFF"/>
                <w:sz w:val="18"/>
              </w:rPr>
              <w:t>Cadence</w:t>
            </w:r>
          </w:p>
        </w:tc>
        <w:tc>
          <w:tcPr>
            <w:tcW w:type="dxa" w:w="2986"/>
            <w:shd w:val="clear" w:color="auto" w:fill="252320"/>
            <w:tcMar>
              <w:top w:w="60" w:type="dxa"/>
              <w:bottom w:w="60" w:type="dxa"/>
              <w:left w:w="100" w:type="dxa"/>
              <w:right w:w="100" w:type="dxa"/>
            </w:tcMar>
            <w:vAlign w:val="center"/>
          </w:tcPr>
          <w:p>
            <w:r/>
            <w:r>
              <w:rPr>
                <w:b/>
                <w:color w:val="FFFFFF"/>
                <w:sz w:val="18"/>
              </w:rPr>
              <w:t>Output</w:t>
            </w:r>
          </w:p>
        </w:tc>
      </w:tr>
      <w:tr>
        <w:tc>
          <w:tcPr>
            <w:tcW w:type="dxa" w:w="2986"/>
            <w:tcMar>
              <w:top w:w="60" w:type="dxa"/>
              <w:bottom w:w="60" w:type="dxa"/>
              <w:left w:w="100" w:type="dxa"/>
              <w:right w:w="100" w:type="dxa"/>
            </w:tcMar>
            <w:vAlign w:val="center"/>
          </w:tcPr>
          <w:p>
            <w:r/>
            <w:r>
              <w:rPr>
                <w:color w:val="3A3835"/>
                <w:sz w:val="18"/>
              </w:rPr>
              <w:t>Sprint cycle</w:t>
            </w:r>
          </w:p>
        </w:tc>
        <w:tc>
          <w:tcPr>
            <w:tcW w:type="dxa" w:w="2986"/>
            <w:tcMar>
              <w:top w:w="60" w:type="dxa"/>
              <w:bottom w:w="60" w:type="dxa"/>
              <w:left w:w="100" w:type="dxa"/>
              <w:right w:w="100" w:type="dxa"/>
            </w:tcMar>
            <w:vAlign w:val="center"/>
          </w:tcPr>
          <w:p>
            <w:r/>
            <w:r>
              <w:rPr>
                <w:color w:val="3A3835"/>
                <w:sz w:val="18"/>
              </w:rPr>
              <w:t>Fortnightly</w:t>
            </w:r>
          </w:p>
        </w:tc>
        <w:tc>
          <w:tcPr>
            <w:tcW w:type="dxa" w:w="2986"/>
            <w:tcMar>
              <w:top w:w="60" w:type="dxa"/>
              <w:bottom w:w="60" w:type="dxa"/>
              <w:left w:w="100" w:type="dxa"/>
              <w:right w:w="100" w:type="dxa"/>
            </w:tcMar>
            <w:vAlign w:val="center"/>
          </w:tcPr>
          <w:p>
            <w:r/>
            <w:r>
              <w:rPr>
                <w:color w:val="3A3835"/>
                <w:sz w:val="18"/>
              </w:rPr>
              <w:t>Feature delivery, bug fixes, beta feedback triage</w:t>
            </w:r>
          </w:p>
        </w:tc>
      </w:tr>
      <w:tr>
        <w:tc>
          <w:tcPr>
            <w:tcW w:type="dxa" w:w="2986"/>
            <w:tcMar>
              <w:top w:w="60" w:type="dxa"/>
              <w:bottom w:w="60" w:type="dxa"/>
              <w:left w:w="100" w:type="dxa"/>
              <w:right w:w="100" w:type="dxa"/>
            </w:tcMar>
            <w:vAlign w:val="center"/>
            <w:shd w:val="clear" w:color="auto" w:fill="F2EFEA"/>
          </w:tcPr>
          <w:p>
            <w:r/>
            <w:r>
              <w:rPr>
                <w:color w:val="3A3835"/>
                <w:sz w:val="18"/>
              </w:rPr>
              <w:t>Beta readiness review</w:t>
            </w:r>
          </w:p>
        </w:tc>
        <w:tc>
          <w:tcPr>
            <w:tcW w:type="dxa" w:w="2986"/>
            <w:tcMar>
              <w:top w:w="60" w:type="dxa"/>
              <w:bottom w:w="60" w:type="dxa"/>
              <w:left w:w="100" w:type="dxa"/>
              <w:right w:w="100" w:type="dxa"/>
            </w:tcMar>
            <w:vAlign w:val="center"/>
            <w:shd w:val="clear" w:color="auto" w:fill="F2EFEA"/>
          </w:tcPr>
          <w:p>
            <w:r/>
            <w:r>
              <w:rPr>
                <w:color w:val="3A3835"/>
                <w:sz w:val="18"/>
              </w:rPr>
              <w:t>End of each sprint block</w:t>
            </w:r>
          </w:p>
        </w:tc>
        <w:tc>
          <w:tcPr>
            <w:tcW w:type="dxa" w:w="2986"/>
            <w:tcMar>
              <w:top w:w="60" w:type="dxa"/>
              <w:bottom w:w="60" w:type="dxa"/>
              <w:left w:w="100" w:type="dxa"/>
              <w:right w:w="100" w:type="dxa"/>
            </w:tcMar>
            <w:vAlign w:val="center"/>
            <w:shd w:val="clear" w:color="auto" w:fill="F2EFEA"/>
          </w:tcPr>
          <w:p>
            <w:r/>
            <w:r>
              <w:rPr>
                <w:color w:val="3A3835"/>
                <w:sz w:val="18"/>
              </w:rPr>
              <w:t>Go / no-go verdict per tool (see Ch. 3 and Ch. 27)</w:t>
            </w:r>
          </w:p>
        </w:tc>
      </w:tr>
      <w:tr>
        <w:tc>
          <w:tcPr>
            <w:tcW w:type="dxa" w:w="2986"/>
            <w:tcMar>
              <w:top w:w="60" w:type="dxa"/>
              <w:bottom w:w="60" w:type="dxa"/>
              <w:left w:w="100" w:type="dxa"/>
              <w:right w:w="100" w:type="dxa"/>
            </w:tcMar>
            <w:vAlign w:val="center"/>
          </w:tcPr>
          <w:p>
            <w:r/>
            <w:r>
              <w:rPr>
                <w:color w:val="3A3835"/>
                <w:sz w:val="18"/>
              </w:rPr>
              <w:t>Documentation update</w:t>
            </w:r>
          </w:p>
        </w:tc>
        <w:tc>
          <w:tcPr>
            <w:tcW w:type="dxa" w:w="2986"/>
            <w:tcMar>
              <w:top w:w="60" w:type="dxa"/>
              <w:bottom w:w="60" w:type="dxa"/>
              <w:left w:w="100" w:type="dxa"/>
              <w:right w:w="100" w:type="dxa"/>
            </w:tcMar>
            <w:vAlign w:val="center"/>
          </w:tcPr>
          <w:p>
            <w:r/>
            <w:r>
              <w:rPr>
                <w:color w:val="3A3835"/>
                <w:sz w:val="18"/>
              </w:rPr>
              <w:t>After every sprint</w:t>
            </w:r>
          </w:p>
        </w:tc>
        <w:tc>
          <w:tcPr>
            <w:tcW w:type="dxa" w:w="2986"/>
            <w:tcMar>
              <w:top w:w="60" w:type="dxa"/>
              <w:bottom w:w="60" w:type="dxa"/>
              <w:left w:w="100" w:type="dxa"/>
              <w:right w:w="100" w:type="dxa"/>
            </w:tcMar>
            <w:vAlign w:val="center"/>
          </w:tcPr>
          <w:p>
            <w:r/>
            <w:r>
              <w:rPr>
                <w:color w:val="3A3835"/>
                <w:sz w:val="18"/>
              </w:rPr>
              <w:t>changelog.md and product-roadmap.md refreshed</w:t>
            </w:r>
          </w:p>
        </w:tc>
      </w:tr>
      <w:tr>
        <w:tc>
          <w:tcPr>
            <w:tcW w:type="dxa" w:w="2986"/>
            <w:tcMar>
              <w:top w:w="60" w:type="dxa"/>
              <w:bottom w:w="60" w:type="dxa"/>
              <w:left w:w="100" w:type="dxa"/>
              <w:right w:w="100" w:type="dxa"/>
            </w:tcMar>
            <w:vAlign w:val="center"/>
            <w:shd w:val="clear" w:color="auto" w:fill="F2EFEA"/>
          </w:tcPr>
          <w:p>
            <w:r/>
            <w:r>
              <w:rPr>
                <w:color w:val="3A3835"/>
                <w:sz w:val="18"/>
              </w:rPr>
              <w:t>Legal &amp; safety register review</w:t>
            </w:r>
          </w:p>
        </w:tc>
        <w:tc>
          <w:tcPr>
            <w:tcW w:type="dxa" w:w="2986"/>
            <w:tcMar>
              <w:top w:w="60" w:type="dxa"/>
              <w:bottom w:w="60" w:type="dxa"/>
              <w:left w:w="100" w:type="dxa"/>
              <w:right w:w="100" w:type="dxa"/>
            </w:tcMar>
            <w:vAlign w:val="center"/>
            <w:shd w:val="clear" w:color="auto" w:fill="F2EFEA"/>
          </w:tcPr>
          <w:p>
            <w:r/>
            <w:r>
              <w:rPr>
                <w:color w:val="3A3835"/>
                <w:sz w:val="18"/>
              </w:rPr>
              <w:t>Before any tool promotion from "in review" to "beta"</w:t>
            </w:r>
          </w:p>
        </w:tc>
        <w:tc>
          <w:tcPr>
            <w:tcW w:type="dxa" w:w="2986"/>
            <w:tcMar>
              <w:top w:w="60" w:type="dxa"/>
              <w:bottom w:w="60" w:type="dxa"/>
              <w:left w:w="100" w:type="dxa"/>
              <w:right w:w="100" w:type="dxa"/>
            </w:tcMar>
            <w:vAlign w:val="center"/>
            <w:shd w:val="clear" w:color="auto" w:fill="F2EFEA"/>
          </w:tcPr>
          <w:p>
            <w:r/>
            <w:r>
              <w:rPr>
                <w:color w:val="3A3835"/>
                <w:sz w:val="18"/>
              </w:rPr>
              <w:t>Updated release status per docs/legal-and-safety-tool-register.md</w:t>
            </w:r>
          </w:p>
        </w:tc>
      </w:tr>
      <w:tr>
        <w:tc>
          <w:tcPr>
            <w:tcW w:type="dxa" w:w="2986"/>
            <w:tcMar>
              <w:top w:w="60" w:type="dxa"/>
              <w:bottom w:w="60" w:type="dxa"/>
              <w:left w:w="100" w:type="dxa"/>
              <w:right w:w="100" w:type="dxa"/>
            </w:tcMar>
            <w:vAlign w:val="center"/>
          </w:tcPr>
          <w:p>
            <w:r/>
            <w:r>
              <w:rPr>
                <w:color w:val="3A3835"/>
                <w:sz w:val="18"/>
              </w:rPr>
              <w:t>Strategy refresh</w:t>
            </w:r>
          </w:p>
        </w:tc>
        <w:tc>
          <w:tcPr>
            <w:tcW w:type="dxa" w:w="2986"/>
            <w:tcMar>
              <w:top w:w="60" w:type="dxa"/>
              <w:bottom w:w="60" w:type="dxa"/>
              <w:left w:w="100" w:type="dxa"/>
              <w:right w:w="100" w:type="dxa"/>
            </w:tcMar>
            <w:vAlign w:val="center"/>
          </w:tcPr>
          <w:p>
            <w:r/>
            <w:r>
              <w:rPr>
                <w:color w:val="3A3835"/>
                <w:sz w:val="18"/>
              </w:rPr>
              <w:t>Quarterly, or at any institutional raise / acquisition process</w:t>
            </w:r>
          </w:p>
        </w:tc>
        <w:tc>
          <w:tcPr>
            <w:tcW w:type="dxa" w:w="2986"/>
            <w:tcMar>
              <w:top w:w="60" w:type="dxa"/>
              <w:bottom w:w="60" w:type="dxa"/>
              <w:left w:w="100" w:type="dxa"/>
              <w:right w:w="100" w:type="dxa"/>
            </w:tcMar>
            <w:vAlign w:val="center"/>
          </w:tcPr>
          <w:p>
            <w:r/>
            <w:r>
              <w:rPr>
                <w:color w:val="3A3835"/>
                <w:sz w:val="18"/>
              </w:rPr>
              <w:t>This document and its underlying assumptions register</w:t>
            </w:r>
          </w:p>
        </w:tc>
      </w:tr>
    </w:tbl>
    <w:p>
      <w:pPr>
        <w:spacing w:after="120"/>
      </w:pPr>
    </w:p>
    <w:p>
      <w:pPr>
        <w:pStyle w:val="BIKH2"/>
      </w:pPr>
      <w:r>
        <w:t>GOVERNANCE PRINCIPLES THAT CONSTRAIN EXECUTION SPEED</w:t>
      </w:r>
    </w:p>
    <w:p>
      <w:pPr>
        <w:pStyle w:val="ListBullet"/>
      </w:pPr>
      <w:r>
        <w:t>Stop and notify before any action that incurs real costs (API tokens, third-party services)</w:t>
      </w:r>
    </w:p>
    <w:p>
      <w:pPr>
        <w:pStyle w:val="ListBullet"/>
      </w:pPr>
      <w:r>
        <w:t>Test in-browser before committing any customer-facing change</w:t>
      </w:r>
    </w:p>
    <w:p>
      <w:pPr>
        <w:pStyle w:val="ListBullet"/>
      </w:pPr>
      <w:r>
        <w:t>Ask before architectural decisions rather than defaulting to the fastest implementation</w:t>
      </w:r>
    </w:p>
    <w:p>
      <w:pPr>
        <w:pStyle w:val="ListBullet"/>
      </w:pPr>
      <w:r>
        <w:t>No backend code in Phase 1 — a deliberate constraint that keeps infrastructure cost at zero until the business has proven it should scale</w:t>
      </w:r>
    </w:p>
    <w:p>
      <w:pPr>
        <w:pStyle w:val="BIKH1"/>
      </w:pPr>
      <w:r>
        <w:t>Organisational Design Through the Phases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Phase</w:t>
            </w:r>
          </w:p>
        </w:tc>
        <w:tc>
          <w:tcPr>
            <w:tcW w:type="dxa" w:w="2986"/>
            <w:shd w:val="clear" w:color="auto" w:fill="252320"/>
            <w:tcMar>
              <w:top w:w="60" w:type="dxa"/>
              <w:bottom w:w="60" w:type="dxa"/>
              <w:left w:w="100" w:type="dxa"/>
              <w:right w:w="100" w:type="dxa"/>
            </w:tcMar>
            <w:vAlign w:val="center"/>
          </w:tcPr>
          <w:p>
            <w:r/>
            <w:r>
              <w:rPr>
                <w:b/>
                <w:color w:val="FFFFFF"/>
                <w:sz w:val="18"/>
              </w:rPr>
              <w:t>Team shape</w:t>
            </w:r>
          </w:p>
        </w:tc>
        <w:tc>
          <w:tcPr>
            <w:tcW w:type="dxa" w:w="2986"/>
            <w:shd w:val="clear" w:color="auto" w:fill="252320"/>
            <w:tcMar>
              <w:top w:w="60" w:type="dxa"/>
              <w:bottom w:w="60" w:type="dxa"/>
              <w:left w:w="100" w:type="dxa"/>
              <w:right w:w="100" w:type="dxa"/>
            </w:tcMar>
            <w:vAlign w:val="center"/>
          </w:tcPr>
          <w:p>
            <w:r/>
            <w:r>
              <w:rPr>
                <w:b/>
                <w:color w:val="FFFFFF"/>
                <w:sz w:val="18"/>
              </w:rPr>
              <w:t>New functions added</w:t>
            </w:r>
          </w:p>
        </w:tc>
      </w:tr>
      <w:tr>
        <w:tc>
          <w:tcPr>
            <w:tcW w:type="dxa" w:w="2986"/>
            <w:tcMar>
              <w:top w:w="60" w:type="dxa"/>
              <w:bottom w:w="60" w:type="dxa"/>
              <w:left w:w="100" w:type="dxa"/>
              <w:right w:w="100" w:type="dxa"/>
            </w:tcMar>
            <w:vAlign w:val="center"/>
          </w:tcPr>
          <w:p>
            <w:r/>
            <w:r>
              <w:rPr>
                <w:color w:val="3A3835"/>
                <w:sz w:val="18"/>
              </w:rPr>
              <w:t>1 — Foundation</w:t>
            </w:r>
          </w:p>
        </w:tc>
        <w:tc>
          <w:tcPr>
            <w:tcW w:type="dxa" w:w="2986"/>
            <w:tcMar>
              <w:top w:w="60" w:type="dxa"/>
              <w:bottom w:w="60" w:type="dxa"/>
              <w:left w:w="100" w:type="dxa"/>
              <w:right w:w="100" w:type="dxa"/>
            </w:tcMar>
            <w:vAlign w:val="center"/>
          </w:tcPr>
          <w:p>
            <w:r/>
            <w:r>
              <w:rPr>
                <w:color w:val="3A3835"/>
                <w:sz w:val="18"/>
              </w:rPr>
              <w:t>Founder-led, lean</w:t>
            </w:r>
          </w:p>
        </w:tc>
        <w:tc>
          <w:tcPr>
            <w:tcW w:type="dxa" w:w="2986"/>
            <w:tcMar>
              <w:top w:w="60" w:type="dxa"/>
              <w:bottom w:w="60" w:type="dxa"/>
              <w:left w:w="100" w:type="dxa"/>
              <w:right w:w="100" w:type="dxa"/>
            </w:tcMar>
            <w:vAlign w:val="center"/>
          </w:tcPr>
          <w:p>
            <w:r/>
            <w:r>
              <w:rPr>
                <w:color w:val="3A3835"/>
                <w:sz w:val="18"/>
              </w:rPr>
              <w:t>—</w:t>
            </w:r>
          </w:p>
        </w:tc>
      </w:tr>
      <w:tr>
        <w:tc>
          <w:tcPr>
            <w:tcW w:type="dxa" w:w="2986"/>
            <w:tcMar>
              <w:top w:w="60" w:type="dxa"/>
              <w:bottom w:w="60" w:type="dxa"/>
              <w:left w:w="100" w:type="dxa"/>
              <w:right w:w="100" w:type="dxa"/>
            </w:tcMar>
            <w:vAlign w:val="center"/>
            <w:shd w:val="clear" w:color="auto" w:fill="F2EFEA"/>
          </w:tcPr>
          <w:p>
            <w:r/>
            <w:r>
              <w:rPr>
                <w:color w:val="3A3835"/>
                <w:sz w:val="18"/>
              </w:rPr>
              <w:t>2 — Growth</w:t>
            </w:r>
          </w:p>
        </w:tc>
        <w:tc>
          <w:tcPr>
            <w:tcW w:type="dxa" w:w="2986"/>
            <w:tcMar>
              <w:top w:w="60" w:type="dxa"/>
              <w:bottom w:w="60" w:type="dxa"/>
              <w:left w:w="100" w:type="dxa"/>
              <w:right w:w="100" w:type="dxa"/>
            </w:tcMar>
            <w:vAlign w:val="center"/>
            <w:shd w:val="clear" w:color="auto" w:fill="F2EFEA"/>
          </w:tcPr>
          <w:p>
            <w:r/>
            <w:r>
              <w:rPr>
                <w:color w:val="3A3835"/>
                <w:sz w:val="18"/>
              </w:rPr>
              <w:t>Founder + 2–4 core hires</w:t>
            </w:r>
          </w:p>
        </w:tc>
        <w:tc>
          <w:tcPr>
            <w:tcW w:type="dxa" w:w="2986"/>
            <w:tcMar>
              <w:top w:w="60" w:type="dxa"/>
              <w:bottom w:w="60" w:type="dxa"/>
              <w:left w:w="100" w:type="dxa"/>
              <w:right w:w="100" w:type="dxa"/>
            </w:tcMar>
            <w:vAlign w:val="center"/>
            <w:shd w:val="clear" w:color="auto" w:fill="F2EFEA"/>
          </w:tcPr>
          <w:p>
            <w:r/>
            <w:r>
              <w:rPr>
                <w:color w:val="3A3835"/>
                <w:sz w:val="18"/>
              </w:rPr>
              <w:t>Product/engineering, customer support</w:t>
            </w:r>
          </w:p>
        </w:tc>
      </w:tr>
      <w:tr>
        <w:tc>
          <w:tcPr>
            <w:tcW w:type="dxa" w:w="2986"/>
            <w:tcMar>
              <w:top w:w="60" w:type="dxa"/>
              <w:bottom w:w="60" w:type="dxa"/>
              <w:left w:w="100" w:type="dxa"/>
              <w:right w:w="100" w:type="dxa"/>
            </w:tcMar>
            <w:vAlign w:val="center"/>
          </w:tcPr>
          <w:p>
            <w:r/>
            <w:r>
              <w:rPr>
                <w:color w:val="3A3835"/>
                <w:sz w:val="18"/>
              </w:rPr>
              <w:t>3 — Expansion</w:t>
            </w:r>
          </w:p>
        </w:tc>
        <w:tc>
          <w:tcPr>
            <w:tcW w:type="dxa" w:w="2986"/>
            <w:tcMar>
              <w:top w:w="60" w:type="dxa"/>
              <w:bottom w:w="60" w:type="dxa"/>
              <w:left w:w="100" w:type="dxa"/>
              <w:right w:w="100" w:type="dxa"/>
            </w:tcMar>
            <w:vAlign w:val="center"/>
          </w:tcPr>
          <w:p>
            <w:r/>
            <w:r>
              <w:rPr>
                <w:color w:val="3A3835"/>
                <w:sz w:val="18"/>
              </w:rPr>
              <w:t>10–15 person team</w:t>
            </w:r>
          </w:p>
        </w:tc>
        <w:tc>
          <w:tcPr>
            <w:tcW w:type="dxa" w:w="2986"/>
            <w:tcMar>
              <w:top w:w="60" w:type="dxa"/>
              <w:bottom w:w="60" w:type="dxa"/>
              <w:left w:w="100" w:type="dxa"/>
              <w:right w:w="100" w:type="dxa"/>
            </w:tcMar>
            <w:vAlign w:val="center"/>
          </w:tcPr>
          <w:p>
            <w:r/>
            <w:r>
              <w:rPr>
                <w:color w:val="3A3835"/>
                <w:sz w:val="18"/>
              </w:rPr>
              <w:t>Sales/partnerships, dedicated compliance review, mobile engineering</w:t>
            </w:r>
          </w:p>
        </w:tc>
      </w:tr>
      <w:tr>
        <w:tc>
          <w:tcPr>
            <w:tcW w:type="dxa" w:w="2986"/>
            <w:tcMar>
              <w:top w:w="60" w:type="dxa"/>
              <w:bottom w:w="60" w:type="dxa"/>
              <w:left w:w="100" w:type="dxa"/>
              <w:right w:w="100" w:type="dxa"/>
            </w:tcMar>
            <w:vAlign w:val="center"/>
            <w:shd w:val="clear" w:color="auto" w:fill="F2EFEA"/>
          </w:tcPr>
          <w:p>
            <w:r/>
            <w:r>
              <w:rPr>
                <w:color w:val="3A3835"/>
                <w:sz w:val="18"/>
              </w:rPr>
              <w:t>4 — AI Operating System</w:t>
            </w:r>
          </w:p>
        </w:tc>
        <w:tc>
          <w:tcPr>
            <w:tcW w:type="dxa" w:w="2986"/>
            <w:tcMar>
              <w:top w:w="60" w:type="dxa"/>
              <w:bottom w:w="60" w:type="dxa"/>
              <w:left w:w="100" w:type="dxa"/>
              <w:right w:w="100" w:type="dxa"/>
            </w:tcMar>
            <w:vAlign w:val="center"/>
            <w:shd w:val="clear" w:color="auto" w:fill="F2EFEA"/>
          </w:tcPr>
          <w:p>
            <w:r/>
            <w:r>
              <w:rPr>
                <w:color w:val="3A3835"/>
                <w:sz w:val="18"/>
              </w:rPr>
              <w:t>Full leadership team</w:t>
            </w:r>
          </w:p>
        </w:tc>
        <w:tc>
          <w:tcPr>
            <w:tcW w:type="dxa" w:w="2986"/>
            <w:tcMar>
              <w:top w:w="60" w:type="dxa"/>
              <w:bottom w:w="60" w:type="dxa"/>
              <w:left w:w="100" w:type="dxa"/>
              <w:right w:w="100" w:type="dxa"/>
            </w:tcMar>
            <w:vAlign w:val="center"/>
            <w:shd w:val="clear" w:color="auto" w:fill="F2EFEA"/>
          </w:tcPr>
          <w:p>
            <w:r/>
            <w:r>
              <w:rPr>
                <w:color w:val="3A3835"/>
                <w:sz w:val="18"/>
              </w:rPr>
              <w:t>VP Product, VP Engineering, Head of Partnerships, Head of Trust &amp; Safety</w:t>
            </w:r>
          </w:p>
        </w:tc>
      </w:tr>
    </w:tbl>
    <w:p>
      <w:pPr>
        <w:spacing w:after="120"/>
      </w:pPr>
    </w:p>
    <w:p>
      <w:pPr>
        <w:pStyle w:val="BIKChapterLabel"/>
      </w:pPr>
      <w:r>
        <w:t>PART C — STRATEGY &amp; GOVERNANCE</w:t>
      </w:r>
    </w:p>
    <w:p>
      <w:pPr>
        <w:pStyle w:val="BIKChapterTitle"/>
        <w:pBdr>
          <w:bottom w:val="single" w:sz="18" w:space="8" w:color="D85A30"/>
        </w:pBdr>
      </w:pPr>
      <w:r>
        <w:t>11   AI Governance Framework &amp; Responsible AI Principles</w:t>
      </w:r>
    </w:p>
    <w:p>
      <w:pPr>
        <w:pStyle w:val="BIKH1"/>
      </w:pPr>
      <w:r>
        <w:t>Why This Chapter Exists in a Strategy Document</w:t>
      </w:r>
    </w:p>
    <w:p>
      <w:pPr>
        <w:pStyle w:val="BIKBody"/>
        <w:jc w:val="both"/>
      </w:pPr>
      <w:r>
        <w:t>For most software companies, AI governance is a compliance appendix. For BIK, it is core strategy: the entire competitive thesis in Chapters 5–7 rests on trust being harder to fake than capability. This chapter sets out the binding rules and the assessment framework in one place so a Board member, investor or regulator can see exactly what BIK has committed to and how it enforces it.</w:t>
      </w:r>
    </w:p>
    <w:p>
      <w:pPr>
        <w:pStyle w:val="BIKH1"/>
      </w:pPr>
      <w:r>
        <w:t>Decision 001 — AI Never Invents Facts</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THE BINDING RULE</w:t>
            </w:r>
          </w:p>
          <w:p>
            <w:r>
              <w:rPr>
                <w:color w:val="FFFFFF"/>
                <w:sz w:val="20"/>
              </w:rPr>
              <w:t>AI writing modes may rewrite, restructure, strengthen or simplify text a user has written. They must never add facts, figures, dates, names, quantities, specifications or claims that are not already present in the user's input. If the AI cannot improve the text without inventing something, it must return the original text unchanged rather than fabricate. (Product Decision 001, accepted 15 July 2026.)</w:t>
            </w:r>
          </w:p>
        </w:tc>
      </w:tr>
    </w:tbl>
    <w:p>
      <w:pPr>
        <w:spacing w:after="80"/>
      </w:pPr>
    </w:p>
    <w:p>
      <w:pPr>
        <w:pStyle w:val="BIKBody"/>
        <w:jc w:val="both"/>
      </w:pPr>
      <w:r>
        <w:t>The reasoning is explicit in BIK's own product documentation: a builder who sends an AI-generated variation notice to a client or head contractor is putting their professional reputation and legal position on the line. If the AI invents a figure, a date, or a claim the builder never authorised, the consequences range from embarrassing to legally damaging. The user is the source of truth; the AI is an editor, not an author. This is enforced through explicit system-prompt instructions across all six AI writing modes, with particular attention to the "Strengthen for Contract" mode, which is the highest-risk mode because strengthening language can otherwise smuggle in new obligations or representations the user never made.</w:t>
      </w:r>
    </w:p>
    <w:p>
      <w:pPr>
        <w:pStyle w:val="BIKH1"/>
      </w:pPr>
      <w:r>
        <w:t>The Legal and Safety Review Gate</w:t>
      </w:r>
    </w:p>
    <w:p>
      <w:pPr>
        <w:pStyle w:val="BIKBody"/>
        <w:jc w:val="both"/>
      </w:pPr>
      <w:r>
        <w:t>No document tool reaches general beta availability without a documented risk classification. BIK's Legal and Safety Tool Register (maintained as a living internal document) records, for every tool: the regulatory context, what BIK's output does and does not provide, and a professional review status. Three release states exist:</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Release status</w:t>
            </w:r>
          </w:p>
        </w:tc>
        <w:tc>
          <w:tcPr>
            <w:tcW w:type="dxa" w:w="2986"/>
            <w:shd w:val="clear" w:color="auto" w:fill="252320"/>
            <w:tcMar>
              <w:top w:w="60" w:type="dxa"/>
              <w:bottom w:w="60" w:type="dxa"/>
              <w:left w:w="100" w:type="dxa"/>
              <w:right w:w="100" w:type="dxa"/>
            </w:tcMar>
            <w:vAlign w:val="center"/>
          </w:tcPr>
          <w:p>
            <w:r/>
            <w:r>
              <w:rPr>
                <w:b/>
                <w:color w:val="FFFFFF"/>
                <w:sz w:val="18"/>
              </w:rPr>
              <w:t>Meaning</w:t>
            </w:r>
          </w:p>
        </w:tc>
        <w:tc>
          <w:tcPr>
            <w:tcW w:type="dxa" w:w="2986"/>
            <w:shd w:val="clear" w:color="auto" w:fill="252320"/>
            <w:tcMar>
              <w:top w:w="60" w:type="dxa"/>
              <w:bottom w:w="60" w:type="dxa"/>
              <w:left w:w="100" w:type="dxa"/>
              <w:right w:w="100" w:type="dxa"/>
            </w:tcMar>
            <w:vAlign w:val="center"/>
          </w:tcPr>
          <w:p>
            <w:r/>
            <w:r>
              <w:rPr>
                <w:b/>
                <w:color w:val="FFFFFF"/>
                <w:sz w:val="18"/>
              </w:rPr>
              <w:t>Example tools (as at 16 July 2026)</w:t>
            </w:r>
          </w:p>
        </w:tc>
      </w:tr>
      <w:tr>
        <w:tc>
          <w:tcPr>
            <w:tcW w:type="dxa" w:w="2986"/>
            <w:tcMar>
              <w:top w:w="60" w:type="dxa"/>
              <w:bottom w:w="60" w:type="dxa"/>
              <w:left w:w="100" w:type="dxa"/>
              <w:right w:w="100" w:type="dxa"/>
            </w:tcMar>
            <w:vAlign w:val="center"/>
          </w:tcPr>
          <w:p>
            <w:r/>
            <w:r>
              <w:rPr>
                <w:color w:val="3A3835"/>
                <w:sz w:val="18"/>
              </w:rPr>
              <w:t>Available in Beta</w:t>
            </w:r>
          </w:p>
        </w:tc>
        <w:tc>
          <w:tcPr>
            <w:tcW w:type="dxa" w:w="2986"/>
            <w:tcMar>
              <w:top w:w="60" w:type="dxa"/>
              <w:bottom w:w="60" w:type="dxa"/>
              <w:left w:w="100" w:type="dxa"/>
              <w:right w:w="100" w:type="dxa"/>
            </w:tcMar>
            <w:vAlign w:val="center"/>
          </w:tcPr>
          <w:p>
            <w:r/>
            <w:r>
              <w:rPr>
                <w:color w:val="3A3835"/>
                <w:sz w:val="18"/>
              </w:rPr>
              <w:t>No legal/WHS review required, or review complete</w:t>
            </w:r>
          </w:p>
        </w:tc>
        <w:tc>
          <w:tcPr>
            <w:tcW w:type="dxa" w:w="2986"/>
            <w:tcMar>
              <w:top w:w="60" w:type="dxa"/>
              <w:bottom w:w="60" w:type="dxa"/>
              <w:left w:w="100" w:type="dxa"/>
              <w:right w:w="100" w:type="dxa"/>
            </w:tcMar>
            <w:vAlign w:val="center"/>
          </w:tcPr>
          <w:p>
            <w:r/>
            <w:r>
              <w:rPr>
                <w:color w:val="3A3835"/>
                <w:sz w:val="18"/>
              </w:rPr>
              <w:t>Toolbox Talk, Handover Checklist, Non-Conformance Report, Inspection Checklist</w:t>
            </w:r>
          </w:p>
        </w:tc>
      </w:tr>
      <w:tr>
        <w:tc>
          <w:tcPr>
            <w:tcW w:type="dxa" w:w="2986"/>
            <w:tcMar>
              <w:top w:w="60" w:type="dxa"/>
              <w:bottom w:w="60" w:type="dxa"/>
              <w:left w:w="100" w:type="dxa"/>
              <w:right w:w="100" w:type="dxa"/>
            </w:tcMar>
            <w:vAlign w:val="center"/>
            <w:shd w:val="clear" w:color="auto" w:fill="F2EFEA"/>
          </w:tcPr>
          <w:p>
            <w:r/>
            <w:r>
              <w:rPr>
                <w:color w:val="3A3835"/>
                <w:sz w:val="18"/>
              </w:rPr>
              <w:t>Controlled Beta</w:t>
            </w:r>
          </w:p>
        </w:tc>
        <w:tc>
          <w:tcPr>
            <w:tcW w:type="dxa" w:w="2986"/>
            <w:tcMar>
              <w:top w:w="60" w:type="dxa"/>
              <w:bottom w:w="60" w:type="dxa"/>
              <w:left w:w="100" w:type="dxa"/>
              <w:right w:w="100" w:type="dxa"/>
            </w:tcMar>
            <w:vAlign w:val="center"/>
            <w:shd w:val="clear" w:color="auto" w:fill="F2EFEA"/>
          </w:tcPr>
          <w:p>
            <w:r/>
            <w:r>
              <w:rPr>
                <w:color w:val="3A3835"/>
                <w:sz w:val="18"/>
              </w:rPr>
              <w:t>Partial review complete; specific caveats attached in-product</w:t>
            </w:r>
          </w:p>
        </w:tc>
        <w:tc>
          <w:tcPr>
            <w:tcW w:type="dxa" w:w="2986"/>
            <w:tcMar>
              <w:top w:w="60" w:type="dxa"/>
              <w:bottom w:w="60" w:type="dxa"/>
              <w:left w:w="100" w:type="dxa"/>
              <w:right w:w="100" w:type="dxa"/>
            </w:tcMar>
            <w:vAlign w:val="center"/>
            <w:shd w:val="clear" w:color="auto" w:fill="F2EFEA"/>
          </w:tcPr>
          <w:p>
            <w:r/>
            <w:r>
              <w:rPr>
                <w:color w:val="3A3835"/>
                <w:sz w:val="18"/>
              </w:rPr>
              <w:t>Progress Claim, Payment Reminder, Practical Completion Notice, Instruction to Proceed, Delay Notice, Extension of Time Claim</w:t>
            </w:r>
          </w:p>
        </w:tc>
      </w:tr>
      <w:tr>
        <w:tc>
          <w:tcPr>
            <w:tcW w:type="dxa" w:w="2986"/>
            <w:tcMar>
              <w:top w:w="60" w:type="dxa"/>
              <w:bottom w:w="60" w:type="dxa"/>
              <w:left w:w="100" w:type="dxa"/>
              <w:right w:w="100" w:type="dxa"/>
            </w:tcMar>
            <w:vAlign w:val="center"/>
          </w:tcPr>
          <w:p>
            <w:r/>
            <w:r>
              <w:rPr>
                <w:color w:val="3A3835"/>
                <w:sz w:val="18"/>
              </w:rPr>
              <w:t>Professional Review in Progress — DO NOT RELEASE</w:t>
            </w:r>
          </w:p>
        </w:tc>
        <w:tc>
          <w:tcPr>
            <w:tcW w:type="dxa" w:w="2986"/>
            <w:tcMar>
              <w:top w:w="60" w:type="dxa"/>
              <w:bottom w:w="60" w:type="dxa"/>
              <w:left w:w="100" w:type="dxa"/>
              <w:right w:w="100" w:type="dxa"/>
            </w:tcMar>
            <w:vAlign w:val="center"/>
          </w:tcPr>
          <w:p>
            <w:r/>
            <w:r>
              <w:rPr>
                <w:color w:val="3A3835"/>
                <w:sz w:val="18"/>
              </w:rPr>
              <w:t>Construction lawyer or WHS professional review required before any release</w:t>
            </w:r>
          </w:p>
        </w:tc>
        <w:tc>
          <w:tcPr>
            <w:tcW w:type="dxa" w:w="2986"/>
            <w:tcMar>
              <w:top w:w="60" w:type="dxa"/>
              <w:bottom w:w="60" w:type="dxa"/>
              <w:left w:w="100" w:type="dxa"/>
              <w:right w:w="100" w:type="dxa"/>
            </w:tcMar>
            <w:vAlign w:val="center"/>
          </w:tcPr>
          <w:p>
            <w:r/>
            <w:r>
              <w:rPr>
                <w:color w:val="3A3835"/>
                <w:sz w:val="18"/>
              </w:rPr>
              <w:t>SWMS Generator, Notice to Show Cause, Contract Termination Notice, Subcontractor Agreement</w:t>
            </w:r>
          </w:p>
        </w:tc>
      </w:tr>
    </w:tbl>
    <w:p>
      <w:pPr>
        <w:spacing w:after="120"/>
      </w:pPr>
    </w:p>
    <w:p>
      <w:pPr>
        <w:pStyle w:val="BIKBody"/>
        <w:jc w:val="both"/>
      </w:pPr>
      <w:r>
        <w:t>The Contract Termination Notice is explicitly flagged internally as EXTREME risk — the highest-risk document type in the entire catalogue — because a wrongful termination notice can itself constitute repudiation of a contract and expose the terminating party to liability. It remains on hold pending construction lawyer review, and this document does not treat that hold as a technicality to be waived for speed. Chapter 27 carries the full register.</w:t>
      </w:r>
    </w:p>
    <w:p>
      <w:pPr>
        <w:pStyle w:val="BIKH1"/>
      </w:pPr>
      <w:r>
        <w:t>Responsible AI Principles</w:t>
      </w:r>
    </w:p>
    <w:p>
      <w:pPr>
        <w:pStyle w:val="ListBullet"/>
      </w:pPr>
      <w:r>
        <w:rPr>
          <w:b/>
          <w:color w:val="252320"/>
        </w:rPr>
        <w:t xml:space="preserve">Transparency. </w:t>
      </w:r>
      <w:r>
        <w:t>Users always see the AI's edit in the same field they wrote in, and can revert to their original text with one action.</w:t>
      </w:r>
    </w:p>
    <w:p>
      <w:pPr>
        <w:pStyle w:val="ListBullet"/>
      </w:pPr>
      <w:r>
        <w:rPr>
          <w:b/>
          <w:color w:val="252320"/>
        </w:rPr>
        <w:t xml:space="preserve">Human-in-the-loop by design. </w:t>
      </w:r>
      <w:r>
        <w:t>Every AI-assisted document requires an explicit human review and approval step before it is sent, printed or emailed — this is built into the product flow, not left to user discipline.</w:t>
      </w:r>
    </w:p>
    <w:p>
      <w:pPr>
        <w:pStyle w:val="ListBullet"/>
      </w:pPr>
      <w:r>
        <w:rPr>
          <w:b/>
          <w:color w:val="252320"/>
        </w:rPr>
        <w:t xml:space="preserve">Data minimalism. </w:t>
      </w:r>
      <w:r>
        <w:t>In Phase 1, the user's AI API key is stored locally and never transmitted to BIK's own servers; no document content is retained by BIK beyond the user's own local storage.</w:t>
      </w:r>
    </w:p>
    <w:p>
      <w:pPr>
        <w:pStyle w:val="ListBullet"/>
      </w:pPr>
      <w:r>
        <w:rPr>
          <w:b/>
          <w:color w:val="252320"/>
        </w:rPr>
        <w:t xml:space="preserve">Proportionate caution. </w:t>
      </w:r>
      <w:r>
        <w:t>The riskiest document types (contract termination, show-cause notices, subcontractor agreements) are held back from release even though they are technically buildable, until professional review is complete.</w:t>
      </w:r>
    </w:p>
    <w:p>
      <w:pPr>
        <w:pStyle w:val="ListBullet"/>
      </w:pPr>
      <w:r>
        <w:rPr>
          <w:b/>
          <w:color w:val="252320"/>
        </w:rPr>
        <w:t xml:space="preserve">Continuous review, not one-off sign-off. </w:t>
      </w:r>
      <w:r>
        <w:t>The Legal and Safety Tool Register is a living document, reviewed before every tool promotion, not a one-time certification.</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BOARD-LEVEL FRAMING</w:t>
            </w:r>
          </w:p>
          <w:p>
            <w:r>
              <w:rPr>
                <w:color w:val="FFFFFF"/>
                <w:sz w:val="20"/>
              </w:rPr>
              <w:t>AI governance at BIK is not a risk-management footnote — it is the mechanism by which BIK intends to win the category. Every AI-first competitor faces the same trust ceiling; the one that visibly and verifiably respects it first earns the right to be the default choice for a professionally exposed document. That is the bet this chapter documents.</w:t>
            </w:r>
          </w:p>
        </w:tc>
      </w:tr>
    </w:tbl>
    <w:p>
      <w:pPr>
        <w:spacing w:after="80"/>
      </w:pPr>
    </w:p>
    <w:p>
      <w:r>
        <w:br w:type="page"/>
      </w:r>
    </w:p>
    <w:p/>
    <w:p/>
    <w:p/>
    <w:p/>
    <w:p/>
    <w:p/>
    <w:p>
      <w:pPr>
        <w:jc w:val="center"/>
      </w:pPr>
      <w:r>
        <w:rPr>
          <w:b/>
          <w:color w:val="D85A30"/>
          <w:sz w:val="26"/>
        </w:rPr>
        <w:t>PART D — PRODUCT &amp; GO-TO-MARKET</w:t>
      </w:r>
    </w:p>
    <w:p>
      <w:pPr>
        <w:jc w:val="center"/>
      </w:pPr>
      <w:r>
        <w:rPr>
          <w:b/>
          <w:color w:val="252320"/>
          <w:sz w:val="60"/>
        </w:rPr>
        <w:t>Product Strategy, Five-Year Roadmap, Go-To-Market and Commercial Model</w:t>
      </w:r>
    </w:p>
    <w:p>
      <w:pPr>
        <w:jc w:val="center"/>
      </w:pPr>
      <w:r>
        <w:rPr>
          <w:i/>
          <w:color w:val="888780"/>
          <w:sz w:val="23"/>
        </w:rPr>
        <w:t>What BIK builds, in what order, how it reaches customers, and how it charges for value</w:t>
      </w:r>
    </w:p>
    <w:p>
      <w:r>
        <w:br w:type="page"/>
      </w:r>
    </w:p>
    <w:p>
      <w:pPr>
        <w:pStyle w:val="BIKChapterLabel"/>
      </w:pPr>
      <w:r>
        <w:t>PART D — PRODUCT &amp; GTM</w:t>
      </w:r>
    </w:p>
    <w:p>
      <w:pPr>
        <w:pStyle w:val="BIKChapterTitle"/>
        <w:pBdr>
          <w:bottom w:val="single" w:sz="18" w:space="8" w:color="D85A30"/>
        </w:pBdr>
      </w:pPr>
      <w:r>
        <w:t>12   Product Strategy</w:t>
      </w:r>
    </w:p>
    <w:p>
      <w:pPr>
        <w:pStyle w:val="BIKH1"/>
      </w:pPr>
      <w:r>
        <w:t>The Catalogue Approach</w:t>
      </w:r>
    </w:p>
    <w:p>
      <w:pPr>
        <w:pStyle w:val="BIKBody"/>
        <w:jc w:val="both"/>
      </w:pPr>
      <w:r>
        <w:t>BIK does not build tools opportunistically. Every tool in the platform is drawn from a single master catalogue of 62 tools, each scored on problem severity, typical user, time saved, build effort, and a 1–10 commercial value rating, organised into eight categories. This lets product decisions be made against a consistent framework rather than founder intuition alone — although founder intuition, grounded in an operating trades business, is exactly what populated the catalogue in the first place.</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Category</w:t>
            </w:r>
          </w:p>
        </w:tc>
        <w:tc>
          <w:tcPr>
            <w:tcW w:type="dxa" w:w="2239"/>
            <w:shd w:val="clear" w:color="auto" w:fill="252320"/>
            <w:tcMar>
              <w:top w:w="60" w:type="dxa"/>
              <w:bottom w:w="60" w:type="dxa"/>
              <w:left w:w="100" w:type="dxa"/>
              <w:right w:w="100" w:type="dxa"/>
            </w:tcMar>
            <w:vAlign w:val="center"/>
          </w:tcPr>
          <w:p>
            <w:r/>
            <w:r>
              <w:rPr>
                <w:b/>
                <w:color w:val="FFFFFF"/>
                <w:sz w:val="18"/>
              </w:rPr>
              <w:t>Tools catalogued</w:t>
            </w:r>
          </w:p>
        </w:tc>
        <w:tc>
          <w:tcPr>
            <w:tcW w:type="dxa" w:w="2239"/>
            <w:shd w:val="clear" w:color="auto" w:fill="252320"/>
            <w:tcMar>
              <w:top w:w="60" w:type="dxa"/>
              <w:bottom w:w="60" w:type="dxa"/>
              <w:left w:w="100" w:type="dxa"/>
              <w:right w:w="100" w:type="dxa"/>
            </w:tcMar>
            <w:vAlign w:val="center"/>
          </w:tcPr>
          <w:p>
            <w:r/>
            <w:r>
              <w:rPr>
                <w:b/>
                <w:color w:val="FFFFFF"/>
                <w:sz w:val="18"/>
              </w:rPr>
              <w:t>Phase concentration</w:t>
            </w:r>
          </w:p>
        </w:tc>
        <w:tc>
          <w:tcPr>
            <w:tcW w:type="dxa" w:w="2239"/>
            <w:shd w:val="clear" w:color="auto" w:fill="252320"/>
            <w:tcMar>
              <w:top w:w="60" w:type="dxa"/>
              <w:bottom w:w="60" w:type="dxa"/>
              <w:left w:w="100" w:type="dxa"/>
              <w:right w:w="100" w:type="dxa"/>
            </w:tcMar>
            <w:vAlign w:val="center"/>
          </w:tcPr>
          <w:p>
            <w:r/>
            <w:r>
              <w:rPr>
                <w:b/>
                <w:color w:val="FFFFFF"/>
                <w:sz w:val="18"/>
              </w:rPr>
              <w:t>Representative tool</w:t>
            </w:r>
          </w:p>
        </w:tc>
      </w:tr>
      <w:tr>
        <w:tc>
          <w:tcPr>
            <w:tcW w:type="dxa" w:w="2239"/>
            <w:tcMar>
              <w:top w:w="60" w:type="dxa"/>
              <w:bottom w:w="60" w:type="dxa"/>
              <w:left w:w="100" w:type="dxa"/>
              <w:right w:w="100" w:type="dxa"/>
            </w:tcMar>
            <w:vAlign w:val="center"/>
          </w:tcPr>
          <w:p>
            <w:r/>
            <w:r>
              <w:rPr>
                <w:color w:val="3A3835"/>
                <w:sz w:val="18"/>
              </w:rPr>
              <w:t>Sales &amp; Business Development</w:t>
            </w:r>
          </w:p>
        </w:tc>
        <w:tc>
          <w:tcPr>
            <w:tcW w:type="dxa" w:w="2239"/>
            <w:tcMar>
              <w:top w:w="60" w:type="dxa"/>
              <w:bottom w:w="60" w:type="dxa"/>
              <w:left w:w="100" w:type="dxa"/>
              <w:right w:w="100" w:type="dxa"/>
            </w:tcMar>
            <w:vAlign w:val="center"/>
          </w:tcPr>
          <w:p>
            <w:r/>
            <w:r>
              <w:rPr>
                <w:color w:val="3A3835"/>
                <w:sz w:val="18"/>
              </w:rPr>
              <w:t>8</w:t>
            </w:r>
          </w:p>
        </w:tc>
        <w:tc>
          <w:tcPr>
            <w:tcW w:type="dxa" w:w="2239"/>
            <w:tcMar>
              <w:top w:w="60" w:type="dxa"/>
              <w:bottom w:w="60" w:type="dxa"/>
              <w:left w:w="100" w:type="dxa"/>
              <w:right w:w="100" w:type="dxa"/>
            </w:tcMar>
            <w:vAlign w:val="center"/>
          </w:tcPr>
          <w:p>
            <w:r/>
            <w:r>
              <w:rPr>
                <w:color w:val="3A3835"/>
                <w:sz w:val="18"/>
              </w:rPr>
              <w:t>Phase 1–3</w:t>
            </w:r>
          </w:p>
        </w:tc>
        <w:tc>
          <w:tcPr>
            <w:tcW w:type="dxa" w:w="2239"/>
            <w:tcMar>
              <w:top w:w="60" w:type="dxa"/>
              <w:bottom w:w="60" w:type="dxa"/>
              <w:left w:w="100" w:type="dxa"/>
              <w:right w:w="100" w:type="dxa"/>
            </w:tcMar>
            <w:vAlign w:val="center"/>
          </w:tcPr>
          <w:p>
            <w:r/>
            <w:r>
              <w:rPr>
                <w:color w:val="3A3835"/>
                <w:sz w:val="18"/>
              </w:rPr>
              <w:t>Quote Builder, Tender Response Writer</w:t>
            </w:r>
          </w:p>
        </w:tc>
      </w:tr>
      <w:tr>
        <w:tc>
          <w:tcPr>
            <w:tcW w:type="dxa" w:w="2239"/>
            <w:tcMar>
              <w:top w:w="60" w:type="dxa"/>
              <w:bottom w:w="60" w:type="dxa"/>
              <w:left w:w="100" w:type="dxa"/>
              <w:right w:w="100" w:type="dxa"/>
            </w:tcMar>
            <w:vAlign w:val="center"/>
            <w:shd w:val="clear" w:color="auto" w:fill="F2EFEA"/>
          </w:tcPr>
          <w:p>
            <w:r/>
            <w:r>
              <w:rPr>
                <w:color w:val="3A3835"/>
                <w:sz w:val="18"/>
              </w:rPr>
              <w:t>Project Administration</w:t>
            </w:r>
          </w:p>
        </w:tc>
        <w:tc>
          <w:tcPr>
            <w:tcW w:type="dxa" w:w="2239"/>
            <w:tcMar>
              <w:top w:w="60" w:type="dxa"/>
              <w:bottom w:w="60" w:type="dxa"/>
              <w:left w:w="100" w:type="dxa"/>
              <w:right w:w="100" w:type="dxa"/>
            </w:tcMar>
            <w:vAlign w:val="center"/>
            <w:shd w:val="clear" w:color="auto" w:fill="F2EFEA"/>
          </w:tcPr>
          <w:p>
            <w:r/>
            <w:r>
              <w:rPr>
                <w:color w:val="3A3835"/>
                <w:sz w:val="18"/>
              </w:rPr>
              <w:t>10</w:t>
            </w:r>
          </w:p>
        </w:tc>
        <w:tc>
          <w:tcPr>
            <w:tcW w:type="dxa" w:w="2239"/>
            <w:tcMar>
              <w:top w:w="60" w:type="dxa"/>
              <w:bottom w:w="60" w:type="dxa"/>
              <w:left w:w="100" w:type="dxa"/>
              <w:right w:w="100" w:type="dxa"/>
            </w:tcMar>
            <w:vAlign w:val="center"/>
            <w:shd w:val="clear" w:color="auto" w:fill="F2EFEA"/>
          </w:tcPr>
          <w:p>
            <w:r/>
            <w:r>
              <w:rPr>
                <w:color w:val="3A3835"/>
                <w:sz w:val="18"/>
              </w:rPr>
              <w:t>Phase 1–3</w:t>
            </w:r>
          </w:p>
        </w:tc>
        <w:tc>
          <w:tcPr>
            <w:tcW w:type="dxa" w:w="2239"/>
            <w:tcMar>
              <w:top w:w="60" w:type="dxa"/>
              <w:bottom w:w="60" w:type="dxa"/>
              <w:left w:w="100" w:type="dxa"/>
              <w:right w:w="100" w:type="dxa"/>
            </w:tcMar>
            <w:vAlign w:val="center"/>
            <w:shd w:val="clear" w:color="auto" w:fill="F2EFEA"/>
          </w:tcPr>
          <w:p>
            <w:r/>
            <w:r>
              <w:rPr>
                <w:color w:val="3A3835"/>
                <w:sz w:val="18"/>
              </w:rPr>
              <w:t>Scope of Works, Variation Notice, Site Diary</w:t>
            </w:r>
          </w:p>
        </w:tc>
      </w:tr>
      <w:tr>
        <w:tc>
          <w:tcPr>
            <w:tcW w:type="dxa" w:w="2239"/>
            <w:tcMar>
              <w:top w:w="60" w:type="dxa"/>
              <w:bottom w:w="60" w:type="dxa"/>
              <w:left w:w="100" w:type="dxa"/>
              <w:right w:w="100" w:type="dxa"/>
            </w:tcMar>
            <w:vAlign w:val="center"/>
          </w:tcPr>
          <w:p>
            <w:r/>
            <w:r>
              <w:rPr>
                <w:color w:val="3A3835"/>
                <w:sz w:val="18"/>
              </w:rPr>
              <w:t>Safety &amp; Compliance</w:t>
            </w:r>
          </w:p>
        </w:tc>
        <w:tc>
          <w:tcPr>
            <w:tcW w:type="dxa" w:w="2239"/>
            <w:tcMar>
              <w:top w:w="60" w:type="dxa"/>
              <w:bottom w:w="60" w:type="dxa"/>
              <w:left w:w="100" w:type="dxa"/>
              <w:right w:w="100" w:type="dxa"/>
            </w:tcMar>
            <w:vAlign w:val="center"/>
          </w:tcPr>
          <w:p>
            <w:r/>
            <w:r>
              <w:rPr>
                <w:color w:val="3A3835"/>
                <w:sz w:val="18"/>
              </w:rPr>
              <w:t>8</w:t>
            </w:r>
          </w:p>
        </w:tc>
        <w:tc>
          <w:tcPr>
            <w:tcW w:type="dxa" w:w="2239"/>
            <w:tcMar>
              <w:top w:w="60" w:type="dxa"/>
              <w:bottom w:w="60" w:type="dxa"/>
              <w:left w:w="100" w:type="dxa"/>
              <w:right w:w="100" w:type="dxa"/>
            </w:tcMar>
            <w:vAlign w:val="center"/>
          </w:tcPr>
          <w:p>
            <w:r/>
            <w:r>
              <w:rPr>
                <w:color w:val="3A3835"/>
                <w:sz w:val="18"/>
              </w:rPr>
              <w:t>Phase 1–3</w:t>
            </w:r>
          </w:p>
        </w:tc>
        <w:tc>
          <w:tcPr>
            <w:tcW w:type="dxa" w:w="2239"/>
            <w:tcMar>
              <w:top w:w="60" w:type="dxa"/>
              <w:bottom w:w="60" w:type="dxa"/>
              <w:left w:w="100" w:type="dxa"/>
              <w:right w:w="100" w:type="dxa"/>
            </w:tcMar>
            <w:vAlign w:val="center"/>
          </w:tcPr>
          <w:p>
            <w:r/>
            <w:r>
              <w:rPr>
                <w:color w:val="3A3835"/>
                <w:sz w:val="18"/>
              </w:rPr>
              <w:t>SWMS Generator, Toolbox Talk, Risk Register</w:t>
            </w:r>
          </w:p>
        </w:tc>
      </w:tr>
      <w:tr>
        <w:tc>
          <w:tcPr>
            <w:tcW w:type="dxa" w:w="2239"/>
            <w:tcMar>
              <w:top w:w="60" w:type="dxa"/>
              <w:bottom w:w="60" w:type="dxa"/>
              <w:left w:w="100" w:type="dxa"/>
              <w:right w:w="100" w:type="dxa"/>
            </w:tcMar>
            <w:vAlign w:val="center"/>
            <w:shd w:val="clear" w:color="auto" w:fill="F2EFEA"/>
          </w:tcPr>
          <w:p>
            <w:r/>
            <w:r>
              <w:rPr>
                <w:color w:val="3A3835"/>
                <w:sz w:val="18"/>
              </w:rPr>
              <w:t>Finance &amp; Accounts</w:t>
            </w:r>
          </w:p>
        </w:tc>
        <w:tc>
          <w:tcPr>
            <w:tcW w:type="dxa" w:w="2239"/>
            <w:tcMar>
              <w:top w:w="60" w:type="dxa"/>
              <w:bottom w:w="60" w:type="dxa"/>
              <w:left w:w="100" w:type="dxa"/>
              <w:right w:w="100" w:type="dxa"/>
            </w:tcMar>
            <w:vAlign w:val="center"/>
            <w:shd w:val="clear" w:color="auto" w:fill="F2EFEA"/>
          </w:tcPr>
          <w:p>
            <w:r/>
            <w:r>
              <w:rPr>
                <w:color w:val="3A3835"/>
                <w:sz w:val="18"/>
              </w:rPr>
              <w:t>8</w:t>
            </w:r>
          </w:p>
        </w:tc>
        <w:tc>
          <w:tcPr>
            <w:tcW w:type="dxa" w:w="2239"/>
            <w:tcMar>
              <w:top w:w="60" w:type="dxa"/>
              <w:bottom w:w="60" w:type="dxa"/>
              <w:left w:w="100" w:type="dxa"/>
              <w:right w:w="100" w:type="dxa"/>
            </w:tcMar>
            <w:vAlign w:val="center"/>
            <w:shd w:val="clear" w:color="auto" w:fill="F2EFEA"/>
          </w:tcPr>
          <w:p>
            <w:r/>
            <w:r>
              <w:rPr>
                <w:color w:val="3A3835"/>
                <w:sz w:val="18"/>
              </w:rPr>
              <w:t>Phase 1–3</w:t>
            </w:r>
          </w:p>
        </w:tc>
        <w:tc>
          <w:tcPr>
            <w:tcW w:type="dxa" w:w="2239"/>
            <w:tcMar>
              <w:top w:w="60" w:type="dxa"/>
              <w:bottom w:w="60" w:type="dxa"/>
              <w:left w:w="100" w:type="dxa"/>
              <w:right w:w="100" w:type="dxa"/>
            </w:tcMar>
            <w:vAlign w:val="center"/>
            <w:shd w:val="clear" w:color="auto" w:fill="F2EFEA"/>
          </w:tcPr>
          <w:p>
            <w:r/>
            <w:r>
              <w:rPr>
                <w:color w:val="3A3835"/>
                <w:sz w:val="18"/>
              </w:rPr>
              <w:t>Progress Claim, Payment Reminder, Cashflow Forecast</w:t>
            </w:r>
          </w:p>
        </w:tc>
      </w:tr>
      <w:tr>
        <w:tc>
          <w:tcPr>
            <w:tcW w:type="dxa" w:w="2239"/>
            <w:tcMar>
              <w:top w:w="60" w:type="dxa"/>
              <w:bottom w:w="60" w:type="dxa"/>
              <w:left w:w="100" w:type="dxa"/>
              <w:right w:w="100" w:type="dxa"/>
            </w:tcMar>
            <w:vAlign w:val="center"/>
          </w:tcPr>
          <w:p>
            <w:r/>
            <w:r>
              <w:rPr>
                <w:color w:val="3A3835"/>
                <w:sz w:val="18"/>
              </w:rPr>
              <w:t>Client Communication</w:t>
            </w:r>
          </w:p>
        </w:tc>
        <w:tc>
          <w:tcPr>
            <w:tcW w:type="dxa" w:w="2239"/>
            <w:tcMar>
              <w:top w:w="60" w:type="dxa"/>
              <w:bottom w:w="60" w:type="dxa"/>
              <w:left w:w="100" w:type="dxa"/>
              <w:right w:w="100" w:type="dxa"/>
            </w:tcMar>
            <w:vAlign w:val="center"/>
          </w:tcPr>
          <w:p>
            <w:r/>
            <w:r>
              <w:rPr>
                <w:color w:val="3A3835"/>
                <w:sz w:val="18"/>
              </w:rPr>
              <w:t>7</w:t>
            </w:r>
          </w:p>
        </w:tc>
        <w:tc>
          <w:tcPr>
            <w:tcW w:type="dxa" w:w="2239"/>
            <w:tcMar>
              <w:top w:w="60" w:type="dxa"/>
              <w:bottom w:w="60" w:type="dxa"/>
              <w:left w:w="100" w:type="dxa"/>
              <w:right w:w="100" w:type="dxa"/>
            </w:tcMar>
            <w:vAlign w:val="center"/>
          </w:tcPr>
          <w:p>
            <w:r/>
            <w:r>
              <w:rPr>
                <w:color w:val="3A3835"/>
                <w:sz w:val="18"/>
              </w:rPr>
              <w:t>Phase 2–3</w:t>
            </w:r>
          </w:p>
        </w:tc>
        <w:tc>
          <w:tcPr>
            <w:tcW w:type="dxa" w:w="2239"/>
            <w:tcMar>
              <w:top w:w="60" w:type="dxa"/>
              <w:bottom w:w="60" w:type="dxa"/>
              <w:left w:w="100" w:type="dxa"/>
              <w:right w:w="100" w:type="dxa"/>
            </w:tcMar>
            <w:vAlign w:val="center"/>
          </w:tcPr>
          <w:p>
            <w:r/>
            <w:r>
              <w:rPr>
                <w:color w:val="3A3835"/>
                <w:sz w:val="18"/>
              </w:rPr>
              <w:t>Delay Notice, Defect Response Letter</w:t>
            </w:r>
          </w:p>
        </w:tc>
      </w:tr>
      <w:tr>
        <w:tc>
          <w:tcPr>
            <w:tcW w:type="dxa" w:w="2239"/>
            <w:tcMar>
              <w:top w:w="60" w:type="dxa"/>
              <w:bottom w:w="60" w:type="dxa"/>
              <w:left w:w="100" w:type="dxa"/>
              <w:right w:w="100" w:type="dxa"/>
            </w:tcMar>
            <w:vAlign w:val="center"/>
            <w:shd w:val="clear" w:color="auto" w:fill="F2EFEA"/>
          </w:tcPr>
          <w:p>
            <w:r/>
            <w:r>
              <w:rPr>
                <w:color w:val="3A3835"/>
                <w:sz w:val="18"/>
              </w:rPr>
              <w:t>HR &amp; People</w:t>
            </w:r>
          </w:p>
        </w:tc>
        <w:tc>
          <w:tcPr>
            <w:tcW w:type="dxa" w:w="2239"/>
            <w:tcMar>
              <w:top w:w="60" w:type="dxa"/>
              <w:bottom w:w="60" w:type="dxa"/>
              <w:left w:w="100" w:type="dxa"/>
              <w:right w:w="100" w:type="dxa"/>
            </w:tcMar>
            <w:vAlign w:val="center"/>
            <w:shd w:val="clear" w:color="auto" w:fill="F2EFEA"/>
          </w:tcPr>
          <w:p>
            <w:r/>
            <w:r>
              <w:rPr>
                <w:color w:val="3A3835"/>
                <w:sz w:val="18"/>
              </w:rPr>
              <w:t>7</w:t>
            </w:r>
          </w:p>
        </w:tc>
        <w:tc>
          <w:tcPr>
            <w:tcW w:type="dxa" w:w="2239"/>
            <w:tcMar>
              <w:top w:w="60" w:type="dxa"/>
              <w:bottom w:w="60" w:type="dxa"/>
              <w:left w:w="100" w:type="dxa"/>
              <w:right w:w="100" w:type="dxa"/>
            </w:tcMar>
            <w:vAlign w:val="center"/>
            <w:shd w:val="clear" w:color="auto" w:fill="F2EFEA"/>
          </w:tcPr>
          <w:p>
            <w:r/>
            <w:r>
              <w:rPr>
                <w:color w:val="3A3835"/>
                <w:sz w:val="18"/>
              </w:rPr>
              <w:t>Phase 2–3</w:t>
            </w:r>
          </w:p>
        </w:tc>
        <w:tc>
          <w:tcPr>
            <w:tcW w:type="dxa" w:w="2239"/>
            <w:tcMar>
              <w:top w:w="60" w:type="dxa"/>
              <w:bottom w:w="60" w:type="dxa"/>
              <w:left w:w="100" w:type="dxa"/>
              <w:right w:w="100" w:type="dxa"/>
            </w:tcMar>
            <w:vAlign w:val="center"/>
            <w:shd w:val="clear" w:color="auto" w:fill="F2EFEA"/>
          </w:tcPr>
          <w:p>
            <w:r/>
            <w:r>
              <w:rPr>
                <w:color w:val="3A3835"/>
                <w:sz w:val="18"/>
              </w:rPr>
              <w:t>Job Ad Generator, Employment Contract</w:t>
            </w:r>
          </w:p>
        </w:tc>
      </w:tr>
      <w:tr>
        <w:tc>
          <w:tcPr>
            <w:tcW w:type="dxa" w:w="2239"/>
            <w:tcMar>
              <w:top w:w="60" w:type="dxa"/>
              <w:bottom w:w="60" w:type="dxa"/>
              <w:left w:w="100" w:type="dxa"/>
              <w:right w:w="100" w:type="dxa"/>
            </w:tcMar>
            <w:vAlign w:val="center"/>
          </w:tcPr>
          <w:p>
            <w:r/>
            <w:r>
              <w:rPr>
                <w:color w:val="3A3835"/>
                <w:sz w:val="18"/>
              </w:rPr>
              <w:t>Subcontractor Management</w:t>
            </w:r>
          </w:p>
        </w:tc>
        <w:tc>
          <w:tcPr>
            <w:tcW w:type="dxa" w:w="2239"/>
            <w:tcMar>
              <w:top w:w="60" w:type="dxa"/>
              <w:bottom w:w="60" w:type="dxa"/>
              <w:left w:w="100" w:type="dxa"/>
              <w:right w:w="100" w:type="dxa"/>
            </w:tcMar>
            <w:vAlign w:val="center"/>
          </w:tcPr>
          <w:p>
            <w:r/>
            <w:r>
              <w:rPr>
                <w:color w:val="3A3835"/>
                <w:sz w:val="18"/>
              </w:rPr>
              <w:t>6</w:t>
            </w:r>
          </w:p>
        </w:tc>
        <w:tc>
          <w:tcPr>
            <w:tcW w:type="dxa" w:w="2239"/>
            <w:tcMar>
              <w:top w:w="60" w:type="dxa"/>
              <w:bottom w:w="60" w:type="dxa"/>
              <w:left w:w="100" w:type="dxa"/>
              <w:right w:w="100" w:type="dxa"/>
            </w:tcMar>
            <w:vAlign w:val="center"/>
          </w:tcPr>
          <w:p>
            <w:r/>
            <w:r>
              <w:rPr>
                <w:color w:val="3A3835"/>
                <w:sz w:val="18"/>
              </w:rPr>
              <w:t>Phase 2–3</w:t>
            </w:r>
          </w:p>
        </w:tc>
        <w:tc>
          <w:tcPr>
            <w:tcW w:type="dxa" w:w="2239"/>
            <w:tcMar>
              <w:top w:w="60" w:type="dxa"/>
              <w:bottom w:w="60" w:type="dxa"/>
              <w:left w:w="100" w:type="dxa"/>
              <w:right w:w="100" w:type="dxa"/>
            </w:tcMar>
            <w:vAlign w:val="center"/>
          </w:tcPr>
          <w:p>
            <w:r/>
            <w:r>
              <w:rPr>
                <w:color w:val="3A3835"/>
                <w:sz w:val="18"/>
              </w:rPr>
              <w:t>Subcontractor Agreement, EOT Claim</w:t>
            </w:r>
          </w:p>
        </w:tc>
      </w:tr>
      <w:tr>
        <w:tc>
          <w:tcPr>
            <w:tcW w:type="dxa" w:w="2239"/>
            <w:tcMar>
              <w:top w:w="60" w:type="dxa"/>
              <w:bottom w:w="60" w:type="dxa"/>
              <w:left w:w="100" w:type="dxa"/>
              <w:right w:w="100" w:type="dxa"/>
            </w:tcMar>
            <w:vAlign w:val="center"/>
            <w:shd w:val="clear" w:color="auto" w:fill="F2EFEA"/>
          </w:tcPr>
          <w:p>
            <w:r/>
            <w:r>
              <w:rPr>
                <w:color w:val="3A3835"/>
                <w:sz w:val="18"/>
              </w:rPr>
              <w:t>Phase 4 AI Agents</w:t>
            </w:r>
          </w:p>
        </w:tc>
        <w:tc>
          <w:tcPr>
            <w:tcW w:type="dxa" w:w="2239"/>
            <w:tcMar>
              <w:top w:w="60" w:type="dxa"/>
              <w:bottom w:w="60" w:type="dxa"/>
              <w:left w:w="100" w:type="dxa"/>
              <w:right w:w="100" w:type="dxa"/>
            </w:tcMar>
            <w:vAlign w:val="center"/>
            <w:shd w:val="clear" w:color="auto" w:fill="F2EFEA"/>
          </w:tcPr>
          <w:p>
            <w:r/>
            <w:r>
              <w:rPr>
                <w:color w:val="3A3835"/>
                <w:sz w:val="18"/>
              </w:rPr>
              <w:t>8</w:t>
            </w:r>
          </w:p>
        </w:tc>
        <w:tc>
          <w:tcPr>
            <w:tcW w:type="dxa" w:w="2239"/>
            <w:tcMar>
              <w:top w:w="60" w:type="dxa"/>
              <w:bottom w:w="60" w:type="dxa"/>
              <w:left w:w="100" w:type="dxa"/>
              <w:right w:w="100" w:type="dxa"/>
            </w:tcMar>
            <w:vAlign w:val="center"/>
            <w:shd w:val="clear" w:color="auto" w:fill="F2EFEA"/>
          </w:tcPr>
          <w:p>
            <w:r/>
            <w:r>
              <w:rPr>
                <w:color w:val="3A3835"/>
                <w:sz w:val="18"/>
              </w:rPr>
              <w:t>Phase 4</w:t>
            </w:r>
          </w:p>
        </w:tc>
        <w:tc>
          <w:tcPr>
            <w:tcW w:type="dxa" w:w="2239"/>
            <w:tcMar>
              <w:top w:w="60" w:type="dxa"/>
              <w:bottom w:w="60" w:type="dxa"/>
              <w:left w:w="100" w:type="dxa"/>
              <w:right w:w="100" w:type="dxa"/>
            </w:tcMar>
            <w:vAlign w:val="center"/>
            <w:shd w:val="clear" w:color="auto" w:fill="F2EFEA"/>
          </w:tcPr>
          <w:p>
            <w:r/>
            <w:r>
              <w:rPr>
                <w:color w:val="3A3835"/>
                <w:sz w:val="18"/>
              </w:rPr>
              <w:t>Voice-to-Site-Diary, Contract Risk Review Agent</w:t>
            </w:r>
          </w:p>
        </w:tc>
      </w:tr>
    </w:tbl>
    <w:p>
      <w:pPr>
        <w:pStyle w:val="BIKCaption"/>
        <w:jc w:val="center"/>
      </w:pPr>
      <w:r>
        <w:t>Source: docs/ai-tool-catalogue.md — 62 tools catalogued, 62 with full specifications drafted</w:t>
      </w:r>
    </w:p>
    <w:p>
      <w:pPr>
        <w:pStyle w:val="BIKH1"/>
      </w:pPr>
      <w:r>
        <w:t>Prioritisation Framework</w:t>
      </w:r>
    </w:p>
    <w:p>
      <w:pPr>
        <w:pStyle w:val="BIKBody"/>
        <w:jc w:val="both"/>
      </w:pPr>
      <w:r>
        <w:t>Each tool is prioritised using four inputs, in this order of weight: (1) commercial value score, (2) build effort, (3) legal/safety risk classification (Chapter 27), and (4) dependency on infrastructure not yet built (for example, tools that require photo upload or voice input are gated behind Phase 4 computer vision and speech-to-text capability). This is why the Phase 1 tool set — Quote Builder, Scope of Works, Variation Notice, Progress Claim, Site Diary, Defect Report, Toolbox Talk, SWMS, Payment Reminder, and Site Inspection Report — scores highest on value while remaining buildable with a static, client-side architecture and zero legal blockers (with SWMS the sole exception, held for safety review).</w:t>
      </w:r>
    </w:p>
    <w:p>
      <w:pPr>
        <w:pStyle w:val="BIKH1"/>
      </w:pPr>
      <w:r>
        <w:t>The Document Intelligence Engine</w:t>
      </w:r>
    </w:p>
    <w:p>
      <w:pPr>
        <w:pStyle w:val="BIKBody"/>
        <w:jc w:val="both"/>
      </w:pPr>
      <w:r>
        <w:t>Every BIK tool is built on the same shared engine rather than being a bespoke build: a FormEngine that renders the form, validates input and autosaves; a DocumentRenderer that turns form data into a styled, print-ready HTML document with an editable preview; an ExportManager for print/PDF and clipboard; and the AI Writer, which is the single, swappable integration point for generative AI across all tools. This shared-engine architecture means a new tool is three files and roughly 30 lines of wiring code, not a new build from scratch — the primary constraint on tool velocity is content and compliance review, not engineering.</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Engine component</w:t>
            </w:r>
          </w:p>
        </w:tc>
        <w:tc>
          <w:tcPr>
            <w:tcW w:type="dxa" w:w="4479"/>
            <w:shd w:val="clear" w:color="auto" w:fill="252320"/>
            <w:tcMar>
              <w:top w:w="60" w:type="dxa"/>
              <w:bottom w:w="60" w:type="dxa"/>
              <w:left w:w="100" w:type="dxa"/>
              <w:right w:w="100" w:type="dxa"/>
            </w:tcMar>
            <w:vAlign w:val="center"/>
          </w:tcPr>
          <w:p>
            <w:r/>
            <w:r>
              <w:rPr>
                <w:b/>
                <w:color w:val="FFFFFF"/>
                <w:sz w:val="18"/>
              </w:rPr>
              <w:t>Responsibility</w:t>
            </w:r>
          </w:p>
        </w:tc>
      </w:tr>
      <w:tr>
        <w:tc>
          <w:tcPr>
            <w:tcW w:type="dxa" w:w="4479"/>
            <w:tcMar>
              <w:top w:w="60" w:type="dxa"/>
              <w:bottom w:w="60" w:type="dxa"/>
              <w:left w:w="100" w:type="dxa"/>
              <w:right w:w="100" w:type="dxa"/>
            </w:tcMar>
            <w:vAlign w:val="center"/>
          </w:tcPr>
          <w:p>
            <w:r/>
            <w:r>
              <w:rPr>
                <w:color w:val="3A3835"/>
                <w:sz w:val="18"/>
              </w:rPr>
              <w:t>FormEngine</w:t>
            </w:r>
          </w:p>
        </w:tc>
        <w:tc>
          <w:tcPr>
            <w:tcW w:type="dxa" w:w="4479"/>
            <w:tcMar>
              <w:top w:w="60" w:type="dxa"/>
              <w:bottom w:w="60" w:type="dxa"/>
              <w:left w:w="100" w:type="dxa"/>
              <w:right w:w="100" w:type="dxa"/>
            </w:tcMar>
            <w:vAlign w:val="center"/>
          </w:tcPr>
          <w:p>
            <w:r/>
            <w:r>
              <w:rPr>
                <w:color w:val="3A3835"/>
                <w:sz w:val="18"/>
              </w:rPr>
              <w:t>Renders the SCHEMA-defined form, validates input, autosaves to localStorage, auto-fills from builder profile</w:t>
            </w:r>
          </w:p>
        </w:tc>
      </w:tr>
      <w:tr>
        <w:tc>
          <w:tcPr>
            <w:tcW w:type="dxa" w:w="4479"/>
            <w:tcMar>
              <w:top w:w="60" w:type="dxa"/>
              <w:bottom w:w="60" w:type="dxa"/>
              <w:left w:w="100" w:type="dxa"/>
              <w:right w:w="100" w:type="dxa"/>
            </w:tcMar>
            <w:vAlign w:val="center"/>
            <w:shd w:val="clear" w:color="auto" w:fill="F2EFEA"/>
          </w:tcPr>
          <w:p>
            <w:r/>
            <w:r>
              <w:rPr>
                <w:color w:val="3A3835"/>
                <w:sz w:val="18"/>
              </w:rPr>
              <w:t>DocumentRenderer</w:t>
            </w:r>
          </w:p>
        </w:tc>
        <w:tc>
          <w:tcPr>
            <w:tcW w:type="dxa" w:w="4479"/>
            <w:tcMar>
              <w:top w:w="60" w:type="dxa"/>
              <w:bottom w:w="60" w:type="dxa"/>
              <w:left w:w="100" w:type="dxa"/>
              <w:right w:w="100" w:type="dxa"/>
            </w:tcMar>
            <w:vAlign w:val="center"/>
            <w:shd w:val="clear" w:color="auto" w:fill="F2EFEA"/>
          </w:tcPr>
          <w:p>
            <w:r/>
            <w:r>
              <w:rPr>
                <w:color w:val="3A3835"/>
                <w:sz w:val="18"/>
              </w:rPr>
              <w:t>Converts form state into the branded HTML document, supports in-place contenteditable edit mode</w:t>
            </w:r>
          </w:p>
        </w:tc>
      </w:tr>
      <w:tr>
        <w:tc>
          <w:tcPr>
            <w:tcW w:type="dxa" w:w="4479"/>
            <w:tcMar>
              <w:top w:w="60" w:type="dxa"/>
              <w:bottom w:w="60" w:type="dxa"/>
              <w:left w:w="100" w:type="dxa"/>
              <w:right w:w="100" w:type="dxa"/>
            </w:tcMar>
            <w:vAlign w:val="center"/>
          </w:tcPr>
          <w:p>
            <w:r/>
            <w:r>
              <w:rPr>
                <w:color w:val="3A3835"/>
                <w:sz w:val="18"/>
              </w:rPr>
              <w:t>ExportManager</w:t>
            </w:r>
          </w:p>
        </w:tc>
        <w:tc>
          <w:tcPr>
            <w:tcW w:type="dxa" w:w="4479"/>
            <w:tcMar>
              <w:top w:w="60" w:type="dxa"/>
              <w:bottom w:w="60" w:type="dxa"/>
              <w:left w:w="100" w:type="dxa"/>
              <w:right w:w="100" w:type="dxa"/>
            </w:tcMar>
            <w:vAlign w:val="center"/>
          </w:tcPr>
          <w:p>
            <w:r/>
            <w:r>
              <w:rPr>
                <w:color w:val="3A3835"/>
                <w:sz w:val="18"/>
              </w:rPr>
              <w:t>Print-to-PDF via native browser dialog, clipboard copy</w:t>
            </w:r>
          </w:p>
        </w:tc>
      </w:tr>
      <w:tr>
        <w:tc>
          <w:tcPr>
            <w:tcW w:type="dxa" w:w="4479"/>
            <w:tcMar>
              <w:top w:w="60" w:type="dxa"/>
              <w:bottom w:w="60" w:type="dxa"/>
              <w:left w:w="100" w:type="dxa"/>
              <w:right w:w="100" w:type="dxa"/>
            </w:tcMar>
            <w:vAlign w:val="center"/>
            <w:shd w:val="clear" w:color="auto" w:fill="F2EFEA"/>
          </w:tcPr>
          <w:p>
            <w:r/>
            <w:r>
              <w:rPr>
                <w:color w:val="3A3835"/>
                <w:sz w:val="18"/>
              </w:rPr>
              <w:t>AI Writer</w:t>
            </w:r>
          </w:p>
        </w:tc>
        <w:tc>
          <w:tcPr>
            <w:tcW w:type="dxa" w:w="4479"/>
            <w:tcMar>
              <w:top w:w="60" w:type="dxa"/>
              <w:bottom w:w="60" w:type="dxa"/>
              <w:left w:w="100" w:type="dxa"/>
              <w:right w:w="100" w:type="dxa"/>
            </w:tcMar>
            <w:vAlign w:val="center"/>
            <w:shd w:val="clear" w:color="auto" w:fill="F2EFEA"/>
          </w:tcPr>
          <w:p>
            <w:r/>
            <w:r>
              <w:rPr>
                <w:color w:val="3A3835"/>
                <w:sz w:val="18"/>
              </w:rPr>
              <w:t>The sole AI integration point — six writing modes, Decision 001 enforced in every system prompt</w:t>
            </w:r>
          </w:p>
        </w:tc>
      </w:tr>
      <w:tr>
        <w:tc>
          <w:tcPr>
            <w:tcW w:type="dxa" w:w="4479"/>
            <w:tcMar>
              <w:top w:w="60" w:type="dxa"/>
              <w:bottom w:w="60" w:type="dxa"/>
              <w:left w:w="100" w:type="dxa"/>
              <w:right w:w="100" w:type="dxa"/>
            </w:tcMar>
            <w:vAlign w:val="center"/>
          </w:tcPr>
          <w:p>
            <w:r/>
            <w:r>
              <w:rPr>
                <w:color w:val="3A3835"/>
                <w:sz w:val="18"/>
              </w:rPr>
              <w:t>DocumentHistoryStore</w:t>
            </w:r>
          </w:p>
        </w:tc>
        <w:tc>
          <w:tcPr>
            <w:tcW w:type="dxa" w:w="4479"/>
            <w:tcMar>
              <w:top w:w="60" w:type="dxa"/>
              <w:bottom w:w="60" w:type="dxa"/>
              <w:left w:w="100" w:type="dxa"/>
              <w:right w:w="100" w:type="dxa"/>
            </w:tcMar>
            <w:vAlign w:val="center"/>
          </w:tcPr>
          <w:p>
            <w:r/>
            <w:r>
              <w:rPr>
                <w:color w:val="3A3835"/>
                <w:sz w:val="18"/>
              </w:rPr>
              <w:t>localStorage-backed CRUD for every generated document, with auto-numbering per document type</w:t>
            </w:r>
          </w:p>
        </w:tc>
      </w:tr>
    </w:tbl>
    <w:p>
      <w:pPr>
        <w:spacing w:after="120"/>
      </w:pPr>
    </w:p>
    <w:p>
      <w:pPr>
        <w:pStyle w:val="BIKH1"/>
      </w:pPr>
      <w:r>
        <w:t>Product Development Principles</w:t>
      </w:r>
    </w:p>
    <w:p>
      <w:pPr>
        <w:pStyle w:val="ListBullet"/>
      </w:pPr>
      <w:r>
        <w:rPr>
          <w:b/>
          <w:color w:val="252320"/>
        </w:rPr>
        <w:t xml:space="preserve">Shared engine, not bespoke builds. </w:t>
      </w:r>
      <w:r>
        <w:t>A new tool must fit the SCHEMA + DOC_CONFIG + generateDocument() pattern; exceptions are a signal to extend the engine, not fork it.</w:t>
      </w:r>
    </w:p>
    <w:p>
      <w:pPr>
        <w:pStyle w:val="ListBullet"/>
      </w:pPr>
      <w:r>
        <w:rPr>
          <w:b/>
          <w:color w:val="252320"/>
        </w:rPr>
        <w:t xml:space="preserve">Ship the highest-value, lowest-risk tools first. </w:t>
      </w:r>
      <w:r>
        <w:t>Commercial value and legal clearance jointly gate release — a high-value tool with unresolved legal risk (SWMS) does not ship ahead of a lower-value, cleared one.</w:t>
      </w:r>
    </w:p>
    <w:p>
      <w:pPr>
        <w:pStyle w:val="ListBullet"/>
      </w:pPr>
      <w:r>
        <w:rPr>
          <w:b/>
          <w:color w:val="252320"/>
        </w:rPr>
        <w:t xml:space="preserve">Every tool must work standalone. </w:t>
      </w:r>
      <w:r>
        <w:t>No tool may depend on a Phase 2+ capability to deliver its core value in Phase 1 — this is what keeps the zero-infrastructure-cost architecture viable for as long as it is useful.</w:t>
      </w:r>
    </w:p>
    <w:p>
      <w:pPr>
        <w:pStyle w:val="ListBullet"/>
      </w:pPr>
      <w:r>
        <w:rPr>
          <w:b/>
          <w:color w:val="252320"/>
        </w:rPr>
        <w:t xml:space="preserve">Real users before broad marketing. </w:t>
      </w:r>
      <w:r>
        <w:t>Each tool passes through a beta readiness review (Chapter 3) with real builder feedback before it is promoted from the toolkit's "coming soon" state.</w:t>
      </w:r>
    </w:p>
    <w:p>
      <w:pPr>
        <w:pStyle w:val="BIKH1"/>
      </w:pPr>
      <w:r>
        <w:t>Case Study in Product Depth: The Client Approval Portal</w:t>
      </w:r>
    </w:p>
    <w:p>
      <w:pPr>
        <w:pStyle w:val="BIKBody"/>
        <w:jc w:val="both"/>
      </w:pPr>
      <w:r>
        <w:t>The evolution of a single feature — client approval of a Variation Notice — illustrates how BIK's product strategy actually works in practice: ship the simplest version that delivers real value, then evolve it toward genuine infrastructure as commercial priority justifies the investment.</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Capability</w:t>
            </w:r>
          </w:p>
        </w:tc>
        <w:tc>
          <w:tcPr>
            <w:tcW w:type="dxa" w:w="2986"/>
            <w:shd w:val="clear" w:color="auto" w:fill="252320"/>
            <w:tcMar>
              <w:top w:w="60" w:type="dxa"/>
              <w:bottom w:w="60" w:type="dxa"/>
              <w:left w:w="100" w:type="dxa"/>
              <w:right w:w="100" w:type="dxa"/>
            </w:tcMar>
            <w:vAlign w:val="center"/>
          </w:tcPr>
          <w:p>
            <w:r/>
            <w:r>
              <w:rPr>
                <w:b/>
                <w:color w:val="FFFFFF"/>
                <w:sz w:val="18"/>
              </w:rPr>
              <w:t>V1 (live)</w:t>
            </w:r>
          </w:p>
        </w:tc>
        <w:tc>
          <w:tcPr>
            <w:tcW w:type="dxa" w:w="2986"/>
            <w:shd w:val="clear" w:color="auto" w:fill="252320"/>
            <w:tcMar>
              <w:top w:w="60" w:type="dxa"/>
              <w:bottom w:w="60" w:type="dxa"/>
              <w:left w:w="100" w:type="dxa"/>
              <w:right w:w="100" w:type="dxa"/>
            </w:tcMar>
            <w:vAlign w:val="center"/>
          </w:tcPr>
          <w:p>
            <w:r/>
            <w:r>
              <w:rPr>
                <w:b/>
                <w:color w:val="FFFFFF"/>
                <w:sz w:val="18"/>
              </w:rPr>
              <w:t>V2 (designed, not yet built)</w:t>
            </w:r>
          </w:p>
        </w:tc>
      </w:tr>
      <w:tr>
        <w:tc>
          <w:tcPr>
            <w:tcW w:type="dxa" w:w="2986"/>
            <w:tcMar>
              <w:top w:w="60" w:type="dxa"/>
              <w:bottom w:w="60" w:type="dxa"/>
              <w:left w:w="100" w:type="dxa"/>
              <w:right w:w="100" w:type="dxa"/>
            </w:tcMar>
            <w:vAlign w:val="center"/>
          </w:tcPr>
          <w:p>
            <w:r/>
            <w:r>
              <w:rPr>
                <w:color w:val="3A3835"/>
                <w:sz w:val="18"/>
              </w:rPr>
              <w:t>Send for approval</w:t>
            </w:r>
          </w:p>
        </w:tc>
        <w:tc>
          <w:tcPr>
            <w:tcW w:type="dxa" w:w="2986"/>
            <w:tcMar>
              <w:top w:w="60" w:type="dxa"/>
              <w:bottom w:w="60" w:type="dxa"/>
              <w:left w:w="100" w:type="dxa"/>
              <w:right w:w="100" w:type="dxa"/>
            </w:tcMar>
            <w:vAlign w:val="center"/>
          </w:tcPr>
          <w:p>
            <w:r/>
            <w:r>
              <w:rPr>
                <w:color w:val="3A3835"/>
                <w:sz w:val="18"/>
              </w:rPr>
              <w:t>Via mailto: link</w:t>
            </w:r>
          </w:p>
        </w:tc>
        <w:tc>
          <w:tcPr>
            <w:tcW w:type="dxa" w:w="2986"/>
            <w:tcMar>
              <w:top w:w="60" w:type="dxa"/>
              <w:bottom w:w="60" w:type="dxa"/>
              <w:left w:w="100" w:type="dxa"/>
              <w:right w:w="100" w:type="dxa"/>
            </w:tcMar>
            <w:vAlign w:val="center"/>
          </w:tcPr>
          <w:p>
            <w:r/>
            <w:r>
              <w:rPr>
                <w:color w:val="3A3835"/>
                <w:sz w:val="18"/>
              </w:rPr>
              <w:t>Via backend API</w:t>
            </w:r>
          </w:p>
        </w:tc>
      </w:tr>
      <w:tr>
        <w:tc>
          <w:tcPr>
            <w:tcW w:type="dxa" w:w="2986"/>
            <w:tcMar>
              <w:top w:w="60" w:type="dxa"/>
              <w:bottom w:w="60" w:type="dxa"/>
              <w:left w:w="100" w:type="dxa"/>
              <w:right w:w="100" w:type="dxa"/>
            </w:tcMar>
            <w:vAlign w:val="center"/>
            <w:shd w:val="clear" w:color="auto" w:fill="F2EFEA"/>
          </w:tcPr>
          <w:p>
            <w:r/>
            <w:r>
              <w:rPr>
                <w:color w:val="3A3835"/>
                <w:sz w:val="18"/>
              </w:rPr>
              <w:t>Track status</w:t>
            </w:r>
          </w:p>
        </w:tc>
        <w:tc>
          <w:tcPr>
            <w:tcW w:type="dxa" w:w="2986"/>
            <w:tcMar>
              <w:top w:w="60" w:type="dxa"/>
              <w:bottom w:w="60" w:type="dxa"/>
              <w:left w:w="100" w:type="dxa"/>
              <w:right w:w="100" w:type="dxa"/>
            </w:tcMar>
            <w:vAlign w:val="center"/>
            <w:shd w:val="clear" w:color="auto" w:fill="F2EFEA"/>
          </w:tcPr>
          <w:p>
            <w:r/>
            <w:r>
              <w:rPr>
                <w:color w:val="3A3835"/>
                <w:sz w:val="18"/>
              </w:rPr>
              <w:t>Manual builder update</w:t>
            </w:r>
          </w:p>
        </w:tc>
        <w:tc>
          <w:tcPr>
            <w:tcW w:type="dxa" w:w="2986"/>
            <w:tcMar>
              <w:top w:w="60" w:type="dxa"/>
              <w:bottom w:w="60" w:type="dxa"/>
              <w:left w:w="100" w:type="dxa"/>
              <w:right w:w="100" w:type="dxa"/>
            </w:tcMar>
            <w:vAlign w:val="center"/>
            <w:shd w:val="clear" w:color="auto" w:fill="F2EFEA"/>
          </w:tcPr>
          <w:p>
            <w:r/>
            <w:r>
              <w:rPr>
                <w:color w:val="3A3835"/>
                <w:sz w:val="18"/>
              </w:rPr>
              <w:t>Auto-updated when the client responds</w:t>
            </w:r>
          </w:p>
        </w:tc>
      </w:tr>
      <w:tr>
        <w:tc>
          <w:tcPr>
            <w:tcW w:type="dxa" w:w="2986"/>
            <w:tcMar>
              <w:top w:w="60" w:type="dxa"/>
              <w:bottom w:w="60" w:type="dxa"/>
              <w:left w:w="100" w:type="dxa"/>
              <w:right w:w="100" w:type="dxa"/>
            </w:tcMar>
            <w:vAlign w:val="center"/>
          </w:tcPr>
          <w:p>
            <w:r/>
            <w:r>
              <w:rPr>
                <w:color w:val="3A3835"/>
                <w:sz w:val="18"/>
              </w:rPr>
              <w:t>Client review experience</w:t>
            </w:r>
          </w:p>
        </w:tc>
        <w:tc>
          <w:tcPr>
            <w:tcW w:type="dxa" w:w="2986"/>
            <w:tcMar>
              <w:top w:w="60" w:type="dxa"/>
              <w:bottom w:w="60" w:type="dxa"/>
              <w:left w:w="100" w:type="dxa"/>
              <w:right w:w="100" w:type="dxa"/>
            </w:tcMar>
            <w:vAlign w:val="center"/>
          </w:tcPr>
          <w:p>
            <w:r/>
            <w:r>
              <w:rPr>
                <w:color w:val="3A3835"/>
                <w:sz w:val="18"/>
              </w:rPr>
              <w:t>None — client reviews an emailed PDF</w:t>
            </w:r>
          </w:p>
        </w:tc>
        <w:tc>
          <w:tcPr>
            <w:tcW w:type="dxa" w:w="2986"/>
            <w:tcMar>
              <w:top w:w="60" w:type="dxa"/>
              <w:bottom w:w="60" w:type="dxa"/>
              <w:left w:w="100" w:type="dxa"/>
              <w:right w:w="100" w:type="dxa"/>
            </w:tcMar>
            <w:vAlign w:val="center"/>
          </w:tcPr>
          <w:p>
            <w:r/>
            <w:r>
              <w:rPr>
                <w:color w:val="3A3835"/>
                <w:sz w:val="18"/>
              </w:rPr>
              <w:t>Secure, self-serve portal link, no login required</w:t>
            </w:r>
          </w:p>
        </w:tc>
      </w:tr>
      <w:tr>
        <w:tc>
          <w:tcPr>
            <w:tcW w:type="dxa" w:w="2986"/>
            <w:tcMar>
              <w:top w:w="60" w:type="dxa"/>
              <w:bottom w:w="60" w:type="dxa"/>
              <w:left w:w="100" w:type="dxa"/>
              <w:right w:w="100" w:type="dxa"/>
            </w:tcMar>
            <w:vAlign w:val="center"/>
            <w:shd w:val="clear" w:color="auto" w:fill="F2EFEA"/>
          </w:tcPr>
          <w:p>
            <w:r/>
            <w:r>
              <w:rPr>
                <w:color w:val="3A3835"/>
                <w:sz w:val="18"/>
              </w:rPr>
              <w:t>Digital signature</w:t>
            </w:r>
          </w:p>
        </w:tc>
        <w:tc>
          <w:tcPr>
            <w:tcW w:type="dxa" w:w="2986"/>
            <w:tcMar>
              <w:top w:w="60" w:type="dxa"/>
              <w:bottom w:w="60" w:type="dxa"/>
              <w:left w:w="100" w:type="dxa"/>
              <w:right w:w="100" w:type="dxa"/>
            </w:tcMar>
            <w:vAlign w:val="center"/>
            <w:shd w:val="clear" w:color="auto" w:fill="F2EFEA"/>
          </w:tcPr>
          <w:p>
            <w:r/>
            <w:r>
              <w:rPr>
                <w:color w:val="3A3835"/>
                <w:sz w:val="18"/>
              </w:rPr>
              <w:t>Not available</w:t>
            </w:r>
          </w:p>
        </w:tc>
        <w:tc>
          <w:tcPr>
            <w:tcW w:type="dxa" w:w="2986"/>
            <w:tcMar>
              <w:top w:w="60" w:type="dxa"/>
              <w:bottom w:w="60" w:type="dxa"/>
              <w:left w:w="100" w:type="dxa"/>
              <w:right w:w="100" w:type="dxa"/>
            </w:tcMar>
            <w:vAlign w:val="center"/>
            <w:shd w:val="clear" w:color="auto" w:fill="F2EFEA"/>
          </w:tcPr>
          <w:p>
            <w:r/>
            <w:r>
              <w:rPr>
                <w:color w:val="3A3835"/>
                <w:sz w:val="18"/>
              </w:rPr>
              <w:t>Signature-pad capture, IP and user-agent logged</w:t>
            </w:r>
          </w:p>
        </w:tc>
      </w:tr>
      <w:tr>
        <w:tc>
          <w:tcPr>
            <w:tcW w:type="dxa" w:w="2986"/>
            <w:tcMar>
              <w:top w:w="60" w:type="dxa"/>
              <w:bottom w:w="60" w:type="dxa"/>
              <w:left w:w="100" w:type="dxa"/>
              <w:right w:w="100" w:type="dxa"/>
            </w:tcMar>
            <w:vAlign w:val="center"/>
          </w:tcPr>
          <w:p>
            <w:r/>
            <w:r>
              <w:rPr>
                <w:color w:val="3A3835"/>
                <w:sz w:val="18"/>
              </w:rPr>
              <w:t>Audit trail</w:t>
            </w:r>
          </w:p>
        </w:tc>
        <w:tc>
          <w:tcPr>
            <w:tcW w:type="dxa" w:w="2986"/>
            <w:tcMar>
              <w:top w:w="60" w:type="dxa"/>
              <w:bottom w:w="60" w:type="dxa"/>
              <w:left w:w="100" w:type="dxa"/>
              <w:right w:w="100" w:type="dxa"/>
            </w:tcMar>
            <w:vAlign w:val="center"/>
          </w:tcPr>
          <w:p>
            <w:r/>
            <w:r>
              <w:rPr>
                <w:color w:val="3A3835"/>
                <w:sz w:val="18"/>
              </w:rPr>
              <w:t>Not available</w:t>
            </w:r>
          </w:p>
        </w:tc>
        <w:tc>
          <w:tcPr>
            <w:tcW w:type="dxa" w:w="2986"/>
            <w:tcMar>
              <w:top w:w="60" w:type="dxa"/>
              <w:bottom w:w="60" w:type="dxa"/>
              <w:left w:w="100" w:type="dxa"/>
              <w:right w:w="100" w:type="dxa"/>
            </w:tcMar>
            <w:vAlign w:val="center"/>
          </w:tcPr>
          <w:p>
            <w:r/>
            <w:r>
              <w:rPr>
                <w:color w:val="3A3835"/>
                <w:sz w:val="18"/>
              </w:rPr>
              <w:t>Timestamped, IP-logged audit entries</w:t>
            </w:r>
          </w:p>
        </w:tc>
      </w:tr>
      <w:tr>
        <w:tc>
          <w:tcPr>
            <w:tcW w:type="dxa" w:w="2986"/>
            <w:tcMar>
              <w:top w:w="60" w:type="dxa"/>
              <w:bottom w:w="60" w:type="dxa"/>
              <w:left w:w="100" w:type="dxa"/>
              <w:right w:w="100" w:type="dxa"/>
            </w:tcMar>
            <w:vAlign w:val="center"/>
            <w:shd w:val="clear" w:color="auto" w:fill="F2EFEA"/>
          </w:tcPr>
          <w:p>
            <w:r/>
            <w:r>
              <w:rPr>
                <w:color w:val="3A3835"/>
                <w:sz w:val="18"/>
              </w:rPr>
              <w:t>Document integrity</w:t>
            </w:r>
          </w:p>
        </w:tc>
        <w:tc>
          <w:tcPr>
            <w:tcW w:type="dxa" w:w="2986"/>
            <w:tcMar>
              <w:top w:w="60" w:type="dxa"/>
              <w:bottom w:w="60" w:type="dxa"/>
              <w:left w:w="100" w:type="dxa"/>
              <w:right w:w="100" w:type="dxa"/>
            </w:tcMar>
            <w:vAlign w:val="center"/>
            <w:shd w:val="clear" w:color="auto" w:fill="F2EFEA"/>
          </w:tcPr>
          <w:p>
            <w:r/>
            <w:r>
              <w:rPr>
                <w:color w:val="3A3835"/>
                <w:sz w:val="18"/>
              </w:rPr>
              <w:t>Not available</w:t>
            </w:r>
          </w:p>
        </w:tc>
        <w:tc>
          <w:tcPr>
            <w:tcW w:type="dxa" w:w="2986"/>
            <w:tcMar>
              <w:top w:w="60" w:type="dxa"/>
              <w:bottom w:w="60" w:type="dxa"/>
              <w:left w:w="100" w:type="dxa"/>
              <w:right w:w="100" w:type="dxa"/>
            </w:tcMar>
            <w:vAlign w:val="center"/>
            <w:shd w:val="clear" w:color="auto" w:fill="F2EFEA"/>
          </w:tcPr>
          <w:p>
            <w:r/>
            <w:r>
              <w:rPr>
                <w:color w:val="3A3835"/>
                <w:sz w:val="18"/>
              </w:rPr>
              <w:t>PDF locked on approval; SHA-256 hash stored</w:t>
            </w:r>
          </w:p>
        </w:tc>
      </w:tr>
      <w:tr>
        <w:tc>
          <w:tcPr>
            <w:tcW w:type="dxa" w:w="2986"/>
            <w:tcMar>
              <w:top w:w="60" w:type="dxa"/>
              <w:bottom w:w="60" w:type="dxa"/>
              <w:left w:w="100" w:type="dxa"/>
              <w:right w:w="100" w:type="dxa"/>
            </w:tcMar>
            <w:vAlign w:val="center"/>
          </w:tcPr>
          <w:p>
            <w:r/>
            <w:r>
              <w:rPr>
                <w:color w:val="3A3835"/>
                <w:sz w:val="18"/>
              </w:rPr>
              <w:t>Accounting handoff</w:t>
            </w:r>
          </w:p>
        </w:tc>
        <w:tc>
          <w:tcPr>
            <w:tcW w:type="dxa" w:w="2986"/>
            <w:tcMar>
              <w:top w:w="60" w:type="dxa"/>
              <w:bottom w:w="60" w:type="dxa"/>
              <w:left w:w="100" w:type="dxa"/>
              <w:right w:w="100" w:type="dxa"/>
            </w:tcMar>
            <w:vAlign w:val="center"/>
          </w:tcPr>
          <w:p>
            <w:r/>
            <w:r>
              <w:rPr>
                <w:color w:val="3A3835"/>
                <w:sz w:val="18"/>
              </w:rPr>
              <w:t>Not available</w:t>
            </w:r>
          </w:p>
        </w:tc>
        <w:tc>
          <w:tcPr>
            <w:tcW w:type="dxa" w:w="2986"/>
            <w:tcMar>
              <w:top w:w="60" w:type="dxa"/>
              <w:bottom w:w="60" w:type="dxa"/>
              <w:left w:w="100" w:type="dxa"/>
              <w:right w:w="100" w:type="dxa"/>
            </w:tcMar>
            <w:vAlign w:val="center"/>
          </w:tcPr>
          <w:p>
            <w:r/>
            <w:r>
              <w:rPr>
                <w:color w:val="3A3835"/>
                <w:sz w:val="18"/>
              </w:rPr>
              <w:t>Optional Xero invoice creation triggered on approval</w:t>
            </w:r>
          </w:p>
        </w:tc>
      </w:tr>
      <w:tr>
        <w:tc>
          <w:tcPr>
            <w:tcW w:type="dxa" w:w="2986"/>
            <w:tcMar>
              <w:top w:w="60" w:type="dxa"/>
              <w:bottom w:w="60" w:type="dxa"/>
              <w:left w:w="100" w:type="dxa"/>
              <w:right w:w="100" w:type="dxa"/>
            </w:tcMar>
            <w:vAlign w:val="center"/>
            <w:shd w:val="clear" w:color="auto" w:fill="F2EFEA"/>
          </w:tcPr>
          <w:p>
            <w:r/>
            <w:r>
              <w:rPr>
                <w:color w:val="3A3835"/>
                <w:sz w:val="18"/>
              </w:rPr>
              <w:t>Data storage</w:t>
            </w:r>
          </w:p>
        </w:tc>
        <w:tc>
          <w:tcPr>
            <w:tcW w:type="dxa" w:w="2986"/>
            <w:tcMar>
              <w:top w:w="60" w:type="dxa"/>
              <w:bottom w:w="60" w:type="dxa"/>
              <w:left w:w="100" w:type="dxa"/>
              <w:right w:w="100" w:type="dxa"/>
            </w:tcMar>
            <w:vAlign w:val="center"/>
            <w:shd w:val="clear" w:color="auto" w:fill="F2EFEA"/>
          </w:tcPr>
          <w:p>
            <w:r/>
            <w:r>
              <w:rPr>
                <w:color w:val="3A3835"/>
                <w:sz w:val="18"/>
              </w:rPr>
              <w:t>localStorage</w:t>
            </w:r>
          </w:p>
        </w:tc>
        <w:tc>
          <w:tcPr>
            <w:tcW w:type="dxa" w:w="2986"/>
            <w:tcMar>
              <w:top w:w="60" w:type="dxa"/>
              <w:bottom w:w="60" w:type="dxa"/>
              <w:left w:w="100" w:type="dxa"/>
              <w:right w:w="100" w:type="dxa"/>
            </w:tcMar>
            <w:vAlign w:val="center"/>
            <w:shd w:val="clear" w:color="auto" w:fill="F2EFEA"/>
          </w:tcPr>
          <w:p>
            <w:r/>
            <w:r>
              <w:rPr>
                <w:color w:val="3A3835"/>
                <w:sz w:val="18"/>
              </w:rPr>
              <w:t>Supabase (Postgres), enabling multi-device sync</w:t>
            </w:r>
          </w:p>
        </w:tc>
      </w:tr>
    </w:tbl>
    <w:p>
      <w:pPr>
        <w:spacing w:after="120"/>
      </w:pPr>
    </w:p>
    <w:p>
      <w:pPr>
        <w:pStyle w:val="BIKBody"/>
        <w:jc w:val="both"/>
      </w:pPr>
      <w:r>
        <w:t>The V1-to-V2 design is forward-compatible by construction: every field V2 requires already exists in the V1 data schema, written as null. This is a deliberate architectural discipline — it means the eventual backend migration (Chapter 6, data &amp; integration layer) requires no destructive data migration, only a switch in where those fields are populated from. The V2 build is scoped at approximately 6.5 engineering days excluding the Xero integration, which is treated as a separate, commercially-gated sprint — a concrete illustration of the phase-gated discipline described in Chapter 8.</w:t>
      </w:r>
    </w:p>
    <w:p>
      <w:pPr>
        <w:pStyle w:val="BIKChapterLabel"/>
      </w:pPr>
      <w:r>
        <w:t>PART D — PRODUCT &amp; GTM</w:t>
      </w:r>
    </w:p>
    <w:p>
      <w:pPr>
        <w:pStyle w:val="BIKChapterTitle"/>
        <w:pBdr>
          <w:bottom w:val="single" w:sz="18" w:space="8" w:color="D85A30"/>
        </w:pBdr>
      </w:pPr>
      <w:r>
        <w:t>13   Five-Year Product Roadmap</w:t>
      </w:r>
    </w:p>
    <w:p>
      <w:pPr>
        <w:pStyle w:val="BIKH1"/>
      </w:pPr>
      <w:r>
        <w:t>Roadmap Summary</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8"/>
              </w:rPr>
              <w:t>Phase</w:t>
            </w:r>
          </w:p>
        </w:tc>
        <w:tc>
          <w:tcPr>
            <w:tcW w:type="dxa" w:w="1792"/>
            <w:shd w:val="clear" w:color="auto" w:fill="252320"/>
            <w:tcMar>
              <w:top w:w="60" w:type="dxa"/>
              <w:bottom w:w="60" w:type="dxa"/>
              <w:left w:w="100" w:type="dxa"/>
              <w:right w:w="100" w:type="dxa"/>
            </w:tcMar>
            <w:vAlign w:val="center"/>
          </w:tcPr>
          <w:p>
            <w:r/>
            <w:r>
              <w:rPr>
                <w:b/>
                <w:color w:val="FFFFFF"/>
                <w:sz w:val="18"/>
              </w:rPr>
              <w:t>Tools live (cumulative)</w:t>
            </w:r>
          </w:p>
        </w:tc>
        <w:tc>
          <w:tcPr>
            <w:tcW w:type="dxa" w:w="1792"/>
            <w:shd w:val="clear" w:color="auto" w:fill="252320"/>
            <w:tcMar>
              <w:top w:w="60" w:type="dxa"/>
              <w:bottom w:w="60" w:type="dxa"/>
              <w:left w:w="100" w:type="dxa"/>
              <w:right w:w="100" w:type="dxa"/>
            </w:tcMar>
            <w:vAlign w:val="center"/>
          </w:tcPr>
          <w:p>
            <w:r/>
            <w:r>
              <w:rPr>
                <w:b/>
                <w:color w:val="FFFFFF"/>
                <w:sz w:val="18"/>
              </w:rPr>
              <w:t>Subscription range</w:t>
            </w:r>
          </w:p>
        </w:tc>
        <w:tc>
          <w:tcPr>
            <w:tcW w:type="dxa" w:w="1792"/>
            <w:shd w:val="clear" w:color="auto" w:fill="252320"/>
            <w:tcMar>
              <w:top w:w="60" w:type="dxa"/>
              <w:bottom w:w="60" w:type="dxa"/>
              <w:left w:w="100" w:type="dxa"/>
              <w:right w:w="100" w:type="dxa"/>
            </w:tcMar>
            <w:vAlign w:val="center"/>
          </w:tcPr>
          <w:p>
            <w:r/>
            <w:r>
              <w:rPr>
                <w:b/>
                <w:color w:val="FFFFFF"/>
                <w:sz w:val="18"/>
              </w:rPr>
              <w:t>Target window</w:t>
            </w:r>
          </w:p>
        </w:tc>
        <w:tc>
          <w:tcPr>
            <w:tcW w:type="dxa" w:w="1792"/>
            <w:shd w:val="clear" w:color="auto" w:fill="252320"/>
            <w:tcMar>
              <w:top w:w="60" w:type="dxa"/>
              <w:bottom w:w="60" w:type="dxa"/>
              <w:left w:w="100" w:type="dxa"/>
              <w:right w:w="100" w:type="dxa"/>
            </w:tcMar>
            <w:vAlign w:val="center"/>
          </w:tcPr>
          <w:p>
            <w:r/>
            <w:r>
              <w:rPr>
                <w:b/>
                <w:color w:val="FFFFFF"/>
                <w:sz w:val="18"/>
              </w:rPr>
              <w:t>Primary goal</w:t>
            </w:r>
          </w:p>
        </w:tc>
      </w:tr>
      <w:tr>
        <w:tc>
          <w:tcPr>
            <w:tcW w:type="dxa" w:w="1792"/>
            <w:tcMar>
              <w:top w:w="60" w:type="dxa"/>
              <w:bottom w:w="60" w:type="dxa"/>
              <w:left w:w="100" w:type="dxa"/>
              <w:right w:w="100" w:type="dxa"/>
            </w:tcMar>
            <w:vAlign w:val="center"/>
          </w:tcPr>
          <w:p>
            <w:r/>
            <w:r>
              <w:rPr>
                <w:color w:val="3A3835"/>
                <w:sz w:val="18"/>
              </w:rPr>
              <w:t>1 — Foundation</w:t>
            </w:r>
          </w:p>
        </w:tc>
        <w:tc>
          <w:tcPr>
            <w:tcW w:type="dxa" w:w="1792"/>
            <w:tcMar>
              <w:top w:w="60" w:type="dxa"/>
              <w:bottom w:w="60" w:type="dxa"/>
              <w:left w:w="100" w:type="dxa"/>
              <w:right w:w="100" w:type="dxa"/>
            </w:tcMar>
            <w:vAlign w:val="center"/>
          </w:tcPr>
          <w:p>
            <w:r/>
            <w:r>
              <w:rPr>
                <w:color w:val="3A3835"/>
                <w:sz w:val="18"/>
              </w:rPr>
              <w:t>10</w:t>
            </w:r>
          </w:p>
        </w:tc>
        <w:tc>
          <w:tcPr>
            <w:tcW w:type="dxa" w:w="1792"/>
            <w:tcMar>
              <w:top w:w="60" w:type="dxa"/>
              <w:bottom w:w="60" w:type="dxa"/>
              <w:left w:w="100" w:type="dxa"/>
              <w:right w:w="100" w:type="dxa"/>
            </w:tcMar>
            <w:vAlign w:val="center"/>
          </w:tcPr>
          <w:p>
            <w:r/>
            <w:r>
              <w:rPr>
                <w:color w:val="3A3835"/>
                <w:sz w:val="18"/>
              </w:rPr>
              <w:t>Free / $19–29/mo</w:t>
            </w:r>
          </w:p>
        </w:tc>
        <w:tc>
          <w:tcPr>
            <w:tcW w:type="dxa" w:w="1792"/>
            <w:tcMar>
              <w:top w:w="60" w:type="dxa"/>
              <w:bottom w:w="60" w:type="dxa"/>
              <w:left w:w="100" w:type="dxa"/>
              <w:right w:w="100" w:type="dxa"/>
            </w:tcMar>
            <w:vAlign w:val="center"/>
          </w:tcPr>
          <w:p>
            <w:r/>
            <w:r>
              <w:rPr>
                <w:color w:val="3A3835"/>
                <w:sz w:val="18"/>
              </w:rPr>
              <w:t>Q3 2026</w:t>
            </w:r>
          </w:p>
        </w:tc>
        <w:tc>
          <w:tcPr>
            <w:tcW w:type="dxa" w:w="1792"/>
            <w:tcMar>
              <w:top w:w="60" w:type="dxa"/>
              <w:bottom w:w="60" w:type="dxa"/>
              <w:left w:w="100" w:type="dxa"/>
              <w:right w:w="100" w:type="dxa"/>
            </w:tcMar>
            <w:vAlign w:val="center"/>
          </w:tcPr>
          <w:p>
            <w:r/>
            <w:r>
              <w:rPr>
                <w:color w:val="3A3835"/>
                <w:sz w:val="18"/>
              </w:rPr>
              <w:t>Launch, list-build, validate demand</w:t>
            </w:r>
          </w:p>
        </w:tc>
      </w:tr>
      <w:tr>
        <w:tc>
          <w:tcPr>
            <w:tcW w:type="dxa" w:w="1792"/>
            <w:tcMar>
              <w:top w:w="60" w:type="dxa"/>
              <w:bottom w:w="60" w:type="dxa"/>
              <w:left w:w="100" w:type="dxa"/>
              <w:right w:w="100" w:type="dxa"/>
            </w:tcMar>
            <w:vAlign w:val="center"/>
            <w:shd w:val="clear" w:color="auto" w:fill="F2EFEA"/>
          </w:tcPr>
          <w:p>
            <w:r/>
            <w:r>
              <w:rPr>
                <w:color w:val="3A3835"/>
                <w:sz w:val="18"/>
              </w:rPr>
              <w:t>2 — Growth</w:t>
            </w:r>
          </w:p>
        </w:tc>
        <w:tc>
          <w:tcPr>
            <w:tcW w:type="dxa" w:w="1792"/>
            <w:tcMar>
              <w:top w:w="60" w:type="dxa"/>
              <w:bottom w:w="60" w:type="dxa"/>
              <w:left w:w="100" w:type="dxa"/>
              <w:right w:w="100" w:type="dxa"/>
            </w:tcMar>
            <w:vAlign w:val="center"/>
            <w:shd w:val="clear" w:color="auto" w:fill="F2EFEA"/>
          </w:tcPr>
          <w:p>
            <w:r/>
            <w:r>
              <w:rPr>
                <w:color w:val="3A3835"/>
                <w:sz w:val="18"/>
              </w:rPr>
              <w:t>25</w:t>
            </w:r>
          </w:p>
        </w:tc>
        <w:tc>
          <w:tcPr>
            <w:tcW w:type="dxa" w:w="1792"/>
            <w:tcMar>
              <w:top w:w="60" w:type="dxa"/>
              <w:bottom w:w="60" w:type="dxa"/>
              <w:left w:w="100" w:type="dxa"/>
              <w:right w:w="100" w:type="dxa"/>
            </w:tcMar>
            <w:vAlign w:val="center"/>
            <w:shd w:val="clear" w:color="auto" w:fill="F2EFEA"/>
          </w:tcPr>
          <w:p>
            <w:r/>
            <w:r>
              <w:rPr>
                <w:color w:val="3A3835"/>
                <w:sz w:val="18"/>
              </w:rPr>
              <w:t>$19–49/mo</w:t>
            </w:r>
          </w:p>
        </w:tc>
        <w:tc>
          <w:tcPr>
            <w:tcW w:type="dxa" w:w="1792"/>
            <w:tcMar>
              <w:top w:w="60" w:type="dxa"/>
              <w:bottom w:w="60" w:type="dxa"/>
              <w:left w:w="100" w:type="dxa"/>
              <w:right w:w="100" w:type="dxa"/>
            </w:tcMar>
            <w:vAlign w:val="center"/>
            <w:shd w:val="clear" w:color="auto" w:fill="F2EFEA"/>
          </w:tcPr>
          <w:p>
            <w:r/>
            <w:r>
              <w:rPr>
                <w:color w:val="3A3835"/>
                <w:sz w:val="18"/>
              </w:rPr>
              <w:t>Q1 2027</w:t>
            </w:r>
          </w:p>
        </w:tc>
        <w:tc>
          <w:tcPr>
            <w:tcW w:type="dxa" w:w="1792"/>
            <w:tcMar>
              <w:top w:w="60" w:type="dxa"/>
              <w:bottom w:w="60" w:type="dxa"/>
              <w:left w:w="100" w:type="dxa"/>
              <w:right w:w="100" w:type="dxa"/>
            </w:tcMar>
            <w:vAlign w:val="center"/>
            <w:shd w:val="clear" w:color="auto" w:fill="F2EFEA"/>
          </w:tcPr>
          <w:p>
            <w:r/>
            <w:r>
              <w:rPr>
                <w:color w:val="3A3835"/>
                <w:sz w:val="18"/>
              </w:rPr>
              <w:t>500 paying subscribers</w:t>
            </w:r>
          </w:p>
        </w:tc>
      </w:tr>
      <w:tr>
        <w:tc>
          <w:tcPr>
            <w:tcW w:type="dxa" w:w="1792"/>
            <w:tcMar>
              <w:top w:w="60" w:type="dxa"/>
              <w:bottom w:w="60" w:type="dxa"/>
              <w:left w:w="100" w:type="dxa"/>
              <w:right w:w="100" w:type="dxa"/>
            </w:tcMar>
            <w:vAlign w:val="center"/>
          </w:tcPr>
          <w:p>
            <w:r/>
            <w:r>
              <w:rPr>
                <w:color w:val="3A3835"/>
                <w:sz w:val="18"/>
              </w:rPr>
              <w:t>3 — Expansion</w:t>
            </w:r>
          </w:p>
        </w:tc>
        <w:tc>
          <w:tcPr>
            <w:tcW w:type="dxa" w:w="1792"/>
            <w:tcMar>
              <w:top w:w="60" w:type="dxa"/>
              <w:bottom w:w="60" w:type="dxa"/>
              <w:left w:w="100" w:type="dxa"/>
              <w:right w:w="100" w:type="dxa"/>
            </w:tcMar>
            <w:vAlign w:val="center"/>
          </w:tcPr>
          <w:p>
            <w:r/>
            <w:r>
              <w:rPr>
                <w:color w:val="3A3835"/>
                <w:sz w:val="18"/>
              </w:rPr>
              <w:t>50</w:t>
            </w:r>
          </w:p>
        </w:tc>
        <w:tc>
          <w:tcPr>
            <w:tcW w:type="dxa" w:w="1792"/>
            <w:tcMar>
              <w:top w:w="60" w:type="dxa"/>
              <w:bottom w:w="60" w:type="dxa"/>
              <w:left w:w="100" w:type="dxa"/>
              <w:right w:w="100" w:type="dxa"/>
            </w:tcMar>
            <w:vAlign w:val="center"/>
          </w:tcPr>
          <w:p>
            <w:r/>
            <w:r>
              <w:rPr>
                <w:color w:val="3A3835"/>
                <w:sz w:val="18"/>
              </w:rPr>
              <w:t>$19–99/mo</w:t>
            </w:r>
          </w:p>
        </w:tc>
        <w:tc>
          <w:tcPr>
            <w:tcW w:type="dxa" w:w="1792"/>
            <w:tcMar>
              <w:top w:w="60" w:type="dxa"/>
              <w:bottom w:w="60" w:type="dxa"/>
              <w:left w:w="100" w:type="dxa"/>
              <w:right w:w="100" w:type="dxa"/>
            </w:tcMar>
            <w:vAlign w:val="center"/>
          </w:tcPr>
          <w:p>
            <w:r/>
            <w:r>
              <w:rPr>
                <w:color w:val="3A3835"/>
                <w:sz w:val="18"/>
              </w:rPr>
              <w:t>Q3 2027</w:t>
            </w:r>
          </w:p>
        </w:tc>
        <w:tc>
          <w:tcPr>
            <w:tcW w:type="dxa" w:w="1792"/>
            <w:tcMar>
              <w:top w:w="60" w:type="dxa"/>
              <w:bottom w:w="60" w:type="dxa"/>
              <w:left w:w="100" w:type="dxa"/>
              <w:right w:w="100" w:type="dxa"/>
            </w:tcMar>
            <w:vAlign w:val="center"/>
          </w:tcPr>
          <w:p>
            <w:r/>
            <w:r>
              <w:rPr>
                <w:color w:val="3A3835"/>
                <w:sz w:val="18"/>
              </w:rPr>
              <w:t>$50K MRR</w:t>
            </w:r>
          </w:p>
        </w:tc>
      </w:tr>
      <w:tr>
        <w:tc>
          <w:tcPr>
            <w:tcW w:type="dxa" w:w="1792"/>
            <w:tcMar>
              <w:top w:w="60" w:type="dxa"/>
              <w:bottom w:w="60" w:type="dxa"/>
              <w:left w:w="100" w:type="dxa"/>
              <w:right w:w="100" w:type="dxa"/>
            </w:tcMar>
            <w:vAlign w:val="center"/>
            <w:shd w:val="clear" w:color="auto" w:fill="F2EFEA"/>
          </w:tcPr>
          <w:p>
            <w:r/>
            <w:r>
              <w:rPr>
                <w:color w:val="3A3835"/>
                <w:sz w:val="18"/>
              </w:rPr>
              <w:t>4 — AI Operating System</w:t>
            </w:r>
          </w:p>
        </w:tc>
        <w:tc>
          <w:tcPr>
            <w:tcW w:type="dxa" w:w="1792"/>
            <w:tcMar>
              <w:top w:w="60" w:type="dxa"/>
              <w:bottom w:w="60" w:type="dxa"/>
              <w:left w:w="100" w:type="dxa"/>
              <w:right w:w="100" w:type="dxa"/>
            </w:tcMar>
            <w:vAlign w:val="center"/>
            <w:shd w:val="clear" w:color="auto" w:fill="F2EFEA"/>
          </w:tcPr>
          <w:p>
            <w:r/>
            <w:r>
              <w:rPr>
                <w:color w:val="3A3835"/>
                <w:sz w:val="18"/>
              </w:rPr>
              <w:t>100+</w:t>
            </w:r>
          </w:p>
        </w:tc>
        <w:tc>
          <w:tcPr>
            <w:tcW w:type="dxa" w:w="1792"/>
            <w:tcMar>
              <w:top w:w="60" w:type="dxa"/>
              <w:bottom w:w="60" w:type="dxa"/>
              <w:left w:w="100" w:type="dxa"/>
              <w:right w:w="100" w:type="dxa"/>
            </w:tcMar>
            <w:vAlign w:val="center"/>
            <w:shd w:val="clear" w:color="auto" w:fill="F2EFEA"/>
          </w:tcPr>
          <w:p>
            <w:r/>
            <w:r>
              <w:rPr>
                <w:color w:val="3A3835"/>
                <w:sz w:val="18"/>
              </w:rPr>
              <w:t>$19–199+/mo</w:t>
            </w:r>
          </w:p>
        </w:tc>
        <w:tc>
          <w:tcPr>
            <w:tcW w:type="dxa" w:w="1792"/>
            <w:tcMar>
              <w:top w:w="60" w:type="dxa"/>
              <w:bottom w:w="60" w:type="dxa"/>
              <w:left w:w="100" w:type="dxa"/>
              <w:right w:w="100" w:type="dxa"/>
            </w:tcMar>
            <w:vAlign w:val="center"/>
            <w:shd w:val="clear" w:color="auto" w:fill="F2EFEA"/>
          </w:tcPr>
          <w:p>
            <w:r/>
            <w:r>
              <w:rPr>
                <w:color w:val="3A3835"/>
                <w:sz w:val="18"/>
              </w:rPr>
              <w:t>2028+</w:t>
            </w:r>
          </w:p>
        </w:tc>
        <w:tc>
          <w:tcPr>
            <w:tcW w:type="dxa" w:w="1792"/>
            <w:tcMar>
              <w:top w:w="60" w:type="dxa"/>
              <w:bottom w:w="60" w:type="dxa"/>
              <w:left w:w="100" w:type="dxa"/>
              <w:right w:w="100" w:type="dxa"/>
            </w:tcMar>
            <w:vAlign w:val="center"/>
            <w:shd w:val="clear" w:color="auto" w:fill="F2EFEA"/>
          </w:tcPr>
          <w:p>
            <w:r/>
            <w:r>
              <w:rPr>
                <w:color w:val="3A3835"/>
                <w:sz w:val="18"/>
              </w:rPr>
              <w:t>Category leadership</w:t>
            </w:r>
          </w:p>
        </w:tc>
      </w:tr>
    </w:tbl>
    <w:p>
      <w:pPr>
        <w:spacing w:after="120"/>
      </w:pPr>
    </w:p>
    <w:p>
      <w:pPr>
        <w:pStyle w:val="BIKH2"/>
      </w:pPr>
      <w:r>
        <w:t>PHASE 1 — FOUNDATION (Q3 2026)</w:t>
      </w:r>
    </w:p>
    <w:p>
      <w:pPr>
        <w:pStyle w:val="BIKBody"/>
        <w:jc w:val="both"/>
      </w:pPr>
      <w:r>
        <w:t>Ship the platform shell and the ten highest-value tools; build the toolkit marketing pages (toolkit.html, ai-documents.html, templates.html, construction-resources.html, productivity.html, coming-soon.html); reach 500 email subscribers, 100 paying users, $2,000 MRR and an NPS above 40.</w:t>
      </w:r>
    </w:p>
    <w:p>
      <w:pPr>
        <w:pStyle w:val="BIKH2"/>
      </w:pPr>
      <w:r>
        <w:t>PHASE 2 — GROWTH (Q1 2027)</w:t>
      </w:r>
    </w:p>
    <w:p>
      <w:pPr>
        <w:pStyle w:val="BIKBody"/>
        <w:jc w:val="both"/>
      </w:pPr>
      <w:r>
        <w:t>Add 15 further tools (Subcontractor Agreement, Contract Variation Log, Handover Checklist, Safety Management Plan, Incident Report, Client Proposal, Project Completion Certificate, Material Schedule, Tender Response, Employee Onboarding Pack, JSA, Hire Contractor Checklist, Retention Claim Notice, Build Cost Tracker, Insurance Certificate Request). Build the infrastructure that turns a tool collection into a platform: user accounts, a dashboard with document history, branded PDF export, migration off Formspree to a real database, and lifecycle email automation.</w:t>
      </w:r>
    </w:p>
    <w:p>
      <w:pPr>
        <w:pStyle w:val="BIKH2"/>
      </w:pPr>
      <w:r>
        <w:t>PHASE 3 — EXPANSION (Q3 2027 – 2028)</w:t>
      </w:r>
    </w:p>
    <w:p>
      <w:pPr>
        <w:pStyle w:val="BIKBody"/>
        <w:jc w:val="both"/>
      </w:pPr>
      <w:r>
        <w:t>Add three full new tool categories (Client Communication, HR &amp; People, Subcontractor Management — 24 further tools), introduce team workspaces with role-based access, ship live Xero and ServiceM8 integrations, open API access for the Enterprise tier, and ship a PWA-first mobile experience.</w:t>
      </w:r>
    </w:p>
    <w:p>
      <w:pPr>
        <w:pStyle w:val="BIKH2"/>
      </w:pPr>
      <w:r>
        <w:t>PHASE 4 — AI OPERATING SYSTEM (2028 ONWARD)</w:t>
      </w:r>
    </w:p>
    <w:p>
      <w:pPr>
        <w:pStyle w:val="BIKBody"/>
        <w:jc w:val="both"/>
      </w:pPr>
      <w:r>
        <w:t>Move from document generation to autonomous action: voice-to-site-diary, photo-to-defect-report, invoice-to-progress-claim, automatic payment reminders triggered by ageing invoices, SWMS drafted from a plain-language job description, and a contract risk review agent that flags unfavourable clauses before signature. This is the phase in which acquisition and Series A conversations are explicitly targeted as a success criterion, not merely a possible outcome (Chapter 24).</w:t>
      </w:r>
    </w:p>
    <w:p>
      <w:pPr>
        <w:jc w:val="center"/>
      </w:pPr>
      <w:r>
        <w:drawing>
          <wp:inline xmlns:a="http://schemas.openxmlformats.org/drawingml/2006/main" xmlns:pic="http://schemas.openxmlformats.org/drawingml/2006/picture">
            <wp:extent cx="4937760" cy="4074122"/>
            <wp:docPr id="7" name="Picture 7"/>
            <wp:cNvGraphicFramePr>
              <a:graphicFrameLocks noChangeAspect="1"/>
            </wp:cNvGraphicFramePr>
            <a:graphic>
              <a:graphicData uri="http://schemas.openxmlformats.org/drawingml/2006/picture">
                <pic:pic>
                  <pic:nvPicPr>
                    <pic:cNvPr id="0" name="gtm_funnel.png"/>
                    <pic:cNvPicPr/>
                  </pic:nvPicPr>
                  <pic:blipFill>
                    <a:blip r:embed="rId17"/>
                    <a:stretch>
                      <a:fillRect/>
                    </a:stretch>
                  </pic:blipFill>
                  <pic:spPr>
                    <a:xfrm>
                      <a:off x="0" y="0"/>
                      <a:ext cx="4937760" cy="4074122"/>
                    </a:xfrm>
                    <a:prstGeom prst="rect"/>
                  </pic:spPr>
                </pic:pic>
              </a:graphicData>
            </a:graphic>
          </wp:inline>
        </w:drawing>
      </w:r>
    </w:p>
    <w:p>
      <w:pPr>
        <w:pStyle w:val="BIKCaption"/>
        <w:jc w:val="center"/>
      </w:pPr>
      <w:r>
        <w:t>Figure 13.1 — Illustrative annual go-to-market funnel cohort (see Chapter 14)</w:t>
      </w:r>
    </w:p>
    <w:p>
      <w:pPr>
        <w:pStyle w:val="BIKH1"/>
      </w:pPr>
      <w:r>
        <w:t>Dependency Map</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Capability</w:t>
            </w:r>
          </w:p>
        </w:tc>
        <w:tc>
          <w:tcPr>
            <w:tcW w:type="dxa" w:w="2986"/>
            <w:shd w:val="clear" w:color="auto" w:fill="252320"/>
            <w:tcMar>
              <w:top w:w="60" w:type="dxa"/>
              <w:bottom w:w="60" w:type="dxa"/>
              <w:left w:w="100" w:type="dxa"/>
              <w:right w:w="100" w:type="dxa"/>
            </w:tcMar>
            <w:vAlign w:val="center"/>
          </w:tcPr>
          <w:p>
            <w:r/>
            <w:r>
              <w:rPr>
                <w:b/>
                <w:color w:val="FFFFFF"/>
                <w:sz w:val="18"/>
              </w:rPr>
              <w:t>Required before</w:t>
            </w:r>
          </w:p>
        </w:tc>
        <w:tc>
          <w:tcPr>
            <w:tcW w:type="dxa" w:w="2986"/>
            <w:shd w:val="clear" w:color="auto" w:fill="252320"/>
            <w:tcMar>
              <w:top w:w="60" w:type="dxa"/>
              <w:bottom w:w="60" w:type="dxa"/>
              <w:left w:w="100" w:type="dxa"/>
              <w:right w:w="100" w:type="dxa"/>
            </w:tcMar>
            <w:vAlign w:val="center"/>
          </w:tcPr>
          <w:p>
            <w:r/>
            <w:r>
              <w:rPr>
                <w:b/>
                <w:color w:val="FFFFFF"/>
                <w:sz w:val="18"/>
              </w:rPr>
              <w:t>Phase introduced</w:t>
            </w:r>
          </w:p>
        </w:tc>
      </w:tr>
      <w:tr>
        <w:tc>
          <w:tcPr>
            <w:tcW w:type="dxa" w:w="2986"/>
            <w:tcMar>
              <w:top w:w="60" w:type="dxa"/>
              <w:bottom w:w="60" w:type="dxa"/>
              <w:left w:w="100" w:type="dxa"/>
              <w:right w:w="100" w:type="dxa"/>
            </w:tcMar>
            <w:vAlign w:val="center"/>
          </w:tcPr>
          <w:p>
            <w:r/>
            <w:r>
              <w:rPr>
                <w:color w:val="3A3835"/>
                <w:sz w:val="18"/>
              </w:rPr>
              <w:t>User accounts &amp; auth (Supabase)</w:t>
            </w:r>
          </w:p>
        </w:tc>
        <w:tc>
          <w:tcPr>
            <w:tcW w:type="dxa" w:w="2986"/>
            <w:tcMar>
              <w:top w:w="60" w:type="dxa"/>
              <w:bottom w:w="60" w:type="dxa"/>
              <w:left w:w="100" w:type="dxa"/>
              <w:right w:w="100" w:type="dxa"/>
            </w:tcMar>
            <w:vAlign w:val="center"/>
          </w:tcPr>
          <w:p>
            <w:r/>
            <w:r>
              <w:rPr>
                <w:color w:val="3A3835"/>
                <w:sz w:val="18"/>
              </w:rPr>
              <w:t>Document history, team plans, billing</w:t>
            </w:r>
          </w:p>
        </w:tc>
        <w:tc>
          <w:tcPr>
            <w:tcW w:type="dxa" w:w="2986"/>
            <w:tcMar>
              <w:top w:w="60" w:type="dxa"/>
              <w:bottom w:w="60" w:type="dxa"/>
              <w:left w:w="100" w:type="dxa"/>
              <w:right w:w="100" w:type="dxa"/>
            </w:tcMar>
            <w:vAlign w:val="center"/>
          </w:tcPr>
          <w:p>
            <w:r/>
            <w:r>
              <w:rPr>
                <w:color w:val="3A3835"/>
                <w:sz w:val="18"/>
              </w:rPr>
              <w:t>2</w:t>
            </w:r>
          </w:p>
        </w:tc>
      </w:tr>
      <w:tr>
        <w:tc>
          <w:tcPr>
            <w:tcW w:type="dxa" w:w="2986"/>
            <w:tcMar>
              <w:top w:w="60" w:type="dxa"/>
              <w:bottom w:w="60" w:type="dxa"/>
              <w:left w:w="100" w:type="dxa"/>
              <w:right w:w="100" w:type="dxa"/>
            </w:tcMar>
            <w:vAlign w:val="center"/>
            <w:shd w:val="clear" w:color="auto" w:fill="F2EFEA"/>
          </w:tcPr>
          <w:p>
            <w:r/>
            <w:r>
              <w:rPr>
                <w:color w:val="3A3835"/>
                <w:sz w:val="18"/>
              </w:rPr>
              <w:t>Stripe subscription billing</w:t>
            </w:r>
          </w:p>
        </w:tc>
        <w:tc>
          <w:tcPr>
            <w:tcW w:type="dxa" w:w="2986"/>
            <w:tcMar>
              <w:top w:w="60" w:type="dxa"/>
              <w:bottom w:w="60" w:type="dxa"/>
              <w:left w:w="100" w:type="dxa"/>
              <w:right w:w="100" w:type="dxa"/>
            </w:tcMar>
            <w:vAlign w:val="center"/>
            <w:shd w:val="clear" w:color="auto" w:fill="F2EFEA"/>
          </w:tcPr>
          <w:p>
            <w:r/>
            <w:r>
              <w:rPr>
                <w:color w:val="3A3835"/>
                <w:sz w:val="18"/>
              </w:rPr>
              <w:t>Any paid tier beyond manual invoicing</w:t>
            </w:r>
          </w:p>
        </w:tc>
        <w:tc>
          <w:tcPr>
            <w:tcW w:type="dxa" w:w="2986"/>
            <w:tcMar>
              <w:top w:w="60" w:type="dxa"/>
              <w:bottom w:w="60" w:type="dxa"/>
              <w:left w:w="100" w:type="dxa"/>
              <w:right w:w="100" w:type="dxa"/>
            </w:tcMar>
            <w:vAlign w:val="center"/>
            <w:shd w:val="clear" w:color="auto" w:fill="F2EFEA"/>
          </w:tcPr>
          <w:p>
            <w:r/>
            <w:r>
              <w:rPr>
                <w:color w:val="3A3835"/>
                <w:sz w:val="18"/>
              </w:rPr>
              <w:t>2</w:t>
            </w:r>
          </w:p>
        </w:tc>
      </w:tr>
      <w:tr>
        <w:tc>
          <w:tcPr>
            <w:tcW w:type="dxa" w:w="2986"/>
            <w:tcMar>
              <w:top w:w="60" w:type="dxa"/>
              <w:bottom w:w="60" w:type="dxa"/>
              <w:left w:w="100" w:type="dxa"/>
              <w:right w:w="100" w:type="dxa"/>
            </w:tcMar>
            <w:vAlign w:val="center"/>
          </w:tcPr>
          <w:p>
            <w:r/>
            <w:r>
              <w:rPr>
                <w:color w:val="3A3835"/>
                <w:sz w:val="18"/>
              </w:rPr>
              <w:t>Xero / MYOB / QuickBooks live integration</w:t>
            </w:r>
          </w:p>
        </w:tc>
        <w:tc>
          <w:tcPr>
            <w:tcW w:type="dxa" w:w="2986"/>
            <w:tcMar>
              <w:top w:w="60" w:type="dxa"/>
              <w:bottom w:w="60" w:type="dxa"/>
              <w:left w:w="100" w:type="dxa"/>
              <w:right w:w="100" w:type="dxa"/>
            </w:tcMar>
            <w:vAlign w:val="center"/>
          </w:tcPr>
          <w:p>
            <w:r/>
            <w:r>
              <w:rPr>
                <w:color w:val="3A3835"/>
                <w:sz w:val="18"/>
              </w:rPr>
              <w:t>Enterprise upsell, white-label motion</w:t>
            </w:r>
          </w:p>
        </w:tc>
        <w:tc>
          <w:tcPr>
            <w:tcW w:type="dxa" w:w="2986"/>
            <w:tcMar>
              <w:top w:w="60" w:type="dxa"/>
              <w:bottom w:w="60" w:type="dxa"/>
              <w:left w:w="100" w:type="dxa"/>
              <w:right w:w="100" w:type="dxa"/>
            </w:tcMar>
            <w:vAlign w:val="center"/>
          </w:tcPr>
          <w:p>
            <w:r/>
            <w:r>
              <w:rPr>
                <w:color w:val="3A3835"/>
                <w:sz w:val="18"/>
              </w:rPr>
              <w:t>3</w:t>
            </w:r>
          </w:p>
        </w:tc>
      </w:tr>
      <w:tr>
        <w:tc>
          <w:tcPr>
            <w:tcW w:type="dxa" w:w="2986"/>
            <w:tcMar>
              <w:top w:w="60" w:type="dxa"/>
              <w:bottom w:w="60" w:type="dxa"/>
              <w:left w:w="100" w:type="dxa"/>
              <w:right w:w="100" w:type="dxa"/>
            </w:tcMar>
            <w:vAlign w:val="center"/>
            <w:shd w:val="clear" w:color="auto" w:fill="F2EFEA"/>
          </w:tcPr>
          <w:p>
            <w:r/>
            <w:r>
              <w:rPr>
                <w:color w:val="3A3835"/>
                <w:sz w:val="18"/>
              </w:rPr>
              <w:t>Team workspaces &amp; RBAC</w:t>
            </w:r>
          </w:p>
        </w:tc>
        <w:tc>
          <w:tcPr>
            <w:tcW w:type="dxa" w:w="2986"/>
            <w:tcMar>
              <w:top w:w="60" w:type="dxa"/>
              <w:bottom w:w="60" w:type="dxa"/>
              <w:left w:w="100" w:type="dxa"/>
              <w:right w:w="100" w:type="dxa"/>
            </w:tcMar>
            <w:vAlign w:val="center"/>
            <w:shd w:val="clear" w:color="auto" w:fill="F2EFEA"/>
          </w:tcPr>
          <w:p>
            <w:r/>
            <w:r>
              <w:rPr>
                <w:color w:val="3A3835"/>
                <w:sz w:val="18"/>
              </w:rPr>
              <w:t>Business tier, subcontractor management tools</w:t>
            </w:r>
          </w:p>
        </w:tc>
        <w:tc>
          <w:tcPr>
            <w:tcW w:type="dxa" w:w="2986"/>
            <w:tcMar>
              <w:top w:w="60" w:type="dxa"/>
              <w:bottom w:w="60" w:type="dxa"/>
              <w:left w:w="100" w:type="dxa"/>
              <w:right w:w="100" w:type="dxa"/>
            </w:tcMar>
            <w:vAlign w:val="center"/>
            <w:shd w:val="clear" w:color="auto" w:fill="F2EFEA"/>
          </w:tcPr>
          <w:p>
            <w:r/>
            <w:r>
              <w:rPr>
                <w:color w:val="3A3835"/>
                <w:sz w:val="18"/>
              </w:rPr>
              <w:t>3</w:t>
            </w:r>
          </w:p>
        </w:tc>
      </w:tr>
      <w:tr>
        <w:tc>
          <w:tcPr>
            <w:tcW w:type="dxa" w:w="2986"/>
            <w:tcMar>
              <w:top w:w="60" w:type="dxa"/>
              <w:bottom w:w="60" w:type="dxa"/>
              <w:left w:w="100" w:type="dxa"/>
              <w:right w:w="100" w:type="dxa"/>
            </w:tcMar>
            <w:vAlign w:val="center"/>
          </w:tcPr>
          <w:p>
            <w:r/>
            <w:r>
              <w:rPr>
                <w:color w:val="3A3835"/>
                <w:sz w:val="18"/>
              </w:rPr>
              <w:t>Computer vision (photo input)</w:t>
            </w:r>
          </w:p>
        </w:tc>
        <w:tc>
          <w:tcPr>
            <w:tcW w:type="dxa" w:w="2986"/>
            <w:tcMar>
              <w:top w:w="60" w:type="dxa"/>
              <w:bottom w:w="60" w:type="dxa"/>
              <w:left w:w="100" w:type="dxa"/>
              <w:right w:w="100" w:type="dxa"/>
            </w:tcMar>
            <w:vAlign w:val="center"/>
          </w:tcPr>
          <w:p>
            <w:r/>
            <w:r>
              <w:rPr>
                <w:color w:val="3A3835"/>
                <w:sz w:val="18"/>
              </w:rPr>
              <w:t>Photo-to-Defect-Report Agent, SWMS-from-Photo Agent</w:t>
            </w:r>
          </w:p>
        </w:tc>
        <w:tc>
          <w:tcPr>
            <w:tcW w:type="dxa" w:w="2986"/>
            <w:tcMar>
              <w:top w:w="60" w:type="dxa"/>
              <w:bottom w:w="60" w:type="dxa"/>
              <w:left w:w="100" w:type="dxa"/>
              <w:right w:w="100" w:type="dxa"/>
            </w:tcMar>
            <w:vAlign w:val="center"/>
          </w:tcPr>
          <w:p>
            <w:r/>
            <w:r>
              <w:rPr>
                <w:color w:val="3A3835"/>
                <w:sz w:val="18"/>
              </w:rPr>
              <w:t>4</w:t>
            </w:r>
          </w:p>
        </w:tc>
      </w:tr>
      <w:tr>
        <w:tc>
          <w:tcPr>
            <w:tcW w:type="dxa" w:w="2986"/>
            <w:tcMar>
              <w:top w:w="60" w:type="dxa"/>
              <w:bottom w:w="60" w:type="dxa"/>
              <w:left w:w="100" w:type="dxa"/>
              <w:right w:w="100" w:type="dxa"/>
            </w:tcMar>
            <w:vAlign w:val="center"/>
            <w:shd w:val="clear" w:color="auto" w:fill="F2EFEA"/>
          </w:tcPr>
          <w:p>
            <w:r/>
            <w:r>
              <w:rPr>
                <w:color w:val="3A3835"/>
                <w:sz w:val="18"/>
              </w:rPr>
              <w:t>Speech-to-text (voice input)</w:t>
            </w:r>
          </w:p>
        </w:tc>
        <w:tc>
          <w:tcPr>
            <w:tcW w:type="dxa" w:w="2986"/>
            <w:tcMar>
              <w:top w:w="60" w:type="dxa"/>
              <w:bottom w:w="60" w:type="dxa"/>
              <w:left w:w="100" w:type="dxa"/>
              <w:right w:w="100" w:type="dxa"/>
            </w:tcMar>
            <w:vAlign w:val="center"/>
            <w:shd w:val="clear" w:color="auto" w:fill="F2EFEA"/>
          </w:tcPr>
          <w:p>
            <w:r/>
            <w:r>
              <w:rPr>
                <w:color w:val="3A3835"/>
                <w:sz w:val="18"/>
              </w:rPr>
              <w:t>Voice-to-Site-Diary Agent</w:t>
            </w:r>
          </w:p>
        </w:tc>
        <w:tc>
          <w:tcPr>
            <w:tcW w:type="dxa" w:w="2986"/>
            <w:tcMar>
              <w:top w:w="60" w:type="dxa"/>
              <w:bottom w:w="60" w:type="dxa"/>
              <w:left w:w="100" w:type="dxa"/>
              <w:right w:w="100" w:type="dxa"/>
            </w:tcMar>
            <w:vAlign w:val="center"/>
            <w:shd w:val="clear" w:color="auto" w:fill="F2EFEA"/>
          </w:tcPr>
          <w:p>
            <w:r/>
            <w:r>
              <w:rPr>
                <w:color w:val="3A3835"/>
                <w:sz w:val="18"/>
              </w:rPr>
              <w:t>4</w:t>
            </w:r>
          </w:p>
        </w:tc>
      </w:tr>
    </w:tbl>
    <w:p>
      <w:pPr>
        <w:spacing w:after="120"/>
      </w:pPr>
    </w:p>
    <w:p>
      <w:pPr>
        <w:pStyle w:val="BIKH1"/>
      </w:pPr>
      <w:r>
        <w:t>Mobile Strategy</w:t>
      </w:r>
    </w:p>
    <w:p>
      <w:pPr>
        <w:pStyle w:val="BIKBody"/>
        <w:jc w:val="both"/>
      </w:pPr>
      <w:r>
        <w:t>BIK's Phase 1 architecture was deliberately assessed against native mobile requirements before it was built, not as an afterthought. The current codebase separates business logic from UI cleanly enough that an estimated 60% of existing business logic — GST and currency calculation, the AI Writer class, and tool schemas — is reusable in a native mobile app with no changes at all.</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Layer</w:t>
            </w:r>
          </w:p>
        </w:tc>
        <w:tc>
          <w:tcPr>
            <w:tcW w:type="dxa" w:w="4479"/>
            <w:shd w:val="clear" w:color="auto" w:fill="252320"/>
            <w:tcMar>
              <w:top w:w="60" w:type="dxa"/>
              <w:bottom w:w="60" w:type="dxa"/>
              <w:left w:w="100" w:type="dxa"/>
              <w:right w:w="100" w:type="dxa"/>
            </w:tcMar>
            <w:vAlign w:val="center"/>
          </w:tcPr>
          <w:p>
            <w:r/>
            <w:r>
              <w:rPr>
                <w:b/>
                <w:color w:val="FFFFFF"/>
                <w:sz w:val="18"/>
              </w:rPr>
              <w:t>Reuse in a native mobile app</w:t>
            </w:r>
          </w:p>
        </w:tc>
      </w:tr>
      <w:tr>
        <w:tc>
          <w:tcPr>
            <w:tcW w:type="dxa" w:w="4479"/>
            <w:tcMar>
              <w:top w:w="60" w:type="dxa"/>
              <w:bottom w:w="60" w:type="dxa"/>
              <w:left w:w="100" w:type="dxa"/>
              <w:right w:w="100" w:type="dxa"/>
            </w:tcMar>
            <w:vAlign w:val="center"/>
          </w:tcPr>
          <w:p>
            <w:r/>
            <w:r>
              <w:rPr>
                <w:color w:val="3A3835"/>
                <w:sz w:val="18"/>
              </w:rPr>
              <w:t>Calculator (GST, currency, dates)</w:t>
            </w:r>
          </w:p>
        </w:tc>
        <w:tc>
          <w:tcPr>
            <w:tcW w:type="dxa" w:w="4479"/>
            <w:tcMar>
              <w:top w:w="60" w:type="dxa"/>
              <w:bottom w:w="60" w:type="dxa"/>
              <w:left w:w="100" w:type="dxa"/>
              <w:right w:w="100" w:type="dxa"/>
            </w:tcMar>
            <w:vAlign w:val="center"/>
          </w:tcPr>
          <w:p>
            <w:r/>
            <w:r>
              <w:rPr>
                <w:color w:val="3A3835"/>
                <w:sz w:val="18"/>
              </w:rPr>
              <w:t>100% reusable — pure functions, zero DOM dependency</w:t>
            </w:r>
          </w:p>
        </w:tc>
      </w:tr>
      <w:tr>
        <w:tc>
          <w:tcPr>
            <w:tcW w:type="dxa" w:w="4479"/>
            <w:tcMar>
              <w:top w:w="60" w:type="dxa"/>
              <w:bottom w:w="60" w:type="dxa"/>
              <w:left w:w="100" w:type="dxa"/>
              <w:right w:w="100" w:type="dxa"/>
            </w:tcMar>
            <w:vAlign w:val="center"/>
            <w:shd w:val="clear" w:color="auto" w:fill="F2EFEA"/>
          </w:tcPr>
          <w:p>
            <w:r/>
            <w:r>
              <w:rPr>
                <w:color w:val="3A3835"/>
                <w:sz w:val="18"/>
              </w:rPr>
              <w:t>AI Writer</w:t>
            </w:r>
          </w:p>
        </w:tc>
        <w:tc>
          <w:tcPr>
            <w:tcW w:type="dxa" w:w="4479"/>
            <w:tcMar>
              <w:top w:w="60" w:type="dxa"/>
              <w:bottom w:w="60" w:type="dxa"/>
              <w:left w:w="100" w:type="dxa"/>
              <w:right w:w="100" w:type="dxa"/>
            </w:tcMar>
            <w:vAlign w:val="center"/>
            <w:shd w:val="clear" w:color="auto" w:fill="F2EFEA"/>
          </w:tcPr>
          <w:p>
            <w:r/>
            <w:r>
              <w:rPr>
                <w:color w:val="3A3835"/>
                <w:sz w:val="18"/>
              </w:rPr>
              <w:t>100% reusable — uses fetch, which works identically in React Native</w:t>
            </w:r>
          </w:p>
        </w:tc>
      </w:tr>
      <w:tr>
        <w:tc>
          <w:tcPr>
            <w:tcW w:type="dxa" w:w="4479"/>
            <w:tcMar>
              <w:top w:w="60" w:type="dxa"/>
              <w:bottom w:w="60" w:type="dxa"/>
              <w:left w:w="100" w:type="dxa"/>
              <w:right w:w="100" w:type="dxa"/>
            </w:tcMar>
            <w:vAlign w:val="center"/>
          </w:tcPr>
          <w:p>
            <w:r/>
            <w:r>
              <w:rPr>
                <w:color w:val="3A3835"/>
                <w:sz w:val="18"/>
              </w:rPr>
              <w:t>Tool schemas (form field definitions)</w:t>
            </w:r>
          </w:p>
        </w:tc>
        <w:tc>
          <w:tcPr>
            <w:tcW w:type="dxa" w:w="4479"/>
            <w:tcMar>
              <w:top w:w="60" w:type="dxa"/>
              <w:bottom w:w="60" w:type="dxa"/>
              <w:left w:w="100" w:type="dxa"/>
              <w:right w:w="100" w:type="dxa"/>
            </w:tcMar>
            <w:vAlign w:val="center"/>
          </w:tcPr>
          <w:p>
            <w:r/>
            <w:r>
              <w:rPr>
                <w:color w:val="3A3835"/>
                <w:sz w:val="18"/>
              </w:rPr>
              <w:t>Reusable with minor adaptation — DOM-dependent default-value functions need replacing</w:t>
            </w:r>
          </w:p>
        </w:tc>
      </w:tr>
      <w:tr>
        <w:tc>
          <w:tcPr>
            <w:tcW w:type="dxa" w:w="4479"/>
            <w:tcMar>
              <w:top w:w="60" w:type="dxa"/>
              <w:bottom w:w="60" w:type="dxa"/>
              <w:left w:w="100" w:type="dxa"/>
              <w:right w:w="100" w:type="dxa"/>
            </w:tcMar>
            <w:vAlign w:val="center"/>
            <w:shd w:val="clear" w:color="auto" w:fill="F2EFEA"/>
          </w:tcPr>
          <w:p>
            <w:r/>
            <w:r>
              <w:rPr>
                <w:color w:val="3A3835"/>
                <w:sz w:val="18"/>
              </w:rPr>
              <w:t>FormEngine (form rendering)</w:t>
            </w:r>
          </w:p>
        </w:tc>
        <w:tc>
          <w:tcPr>
            <w:tcW w:type="dxa" w:w="4479"/>
            <w:tcMar>
              <w:top w:w="60" w:type="dxa"/>
              <w:bottom w:w="60" w:type="dxa"/>
              <w:left w:w="100" w:type="dxa"/>
              <w:right w:w="100" w:type="dxa"/>
            </w:tcMar>
            <w:vAlign w:val="center"/>
            <w:shd w:val="clear" w:color="auto" w:fill="F2EFEA"/>
          </w:tcPr>
          <w:p>
            <w:r/>
            <w:r>
              <w:rPr>
                <w:color w:val="3A3835"/>
                <w:sz w:val="18"/>
              </w:rPr>
              <w:t>Not reusable as-is — tightly coupled to the DOM; validation and state logic extracted into framework-agnostic classes</w:t>
            </w:r>
          </w:p>
        </w:tc>
      </w:tr>
      <w:tr>
        <w:tc>
          <w:tcPr>
            <w:tcW w:type="dxa" w:w="4479"/>
            <w:tcMar>
              <w:top w:w="60" w:type="dxa"/>
              <w:bottom w:w="60" w:type="dxa"/>
              <w:left w:w="100" w:type="dxa"/>
              <w:right w:w="100" w:type="dxa"/>
            </w:tcMar>
            <w:vAlign w:val="center"/>
          </w:tcPr>
          <w:p>
            <w:r/>
            <w:r>
              <w:rPr>
                <w:color w:val="3A3835"/>
                <w:sz w:val="18"/>
              </w:rPr>
              <w:t>DocumentRenderer / ExportManager</w:t>
            </w:r>
          </w:p>
        </w:tc>
        <w:tc>
          <w:tcPr>
            <w:tcW w:type="dxa" w:w="4479"/>
            <w:tcMar>
              <w:top w:w="60" w:type="dxa"/>
              <w:bottom w:w="60" w:type="dxa"/>
              <w:left w:w="100" w:type="dxa"/>
              <w:right w:w="100" w:type="dxa"/>
            </w:tcMar>
            <w:vAlign w:val="center"/>
          </w:tcPr>
          <w:p>
            <w:r/>
            <w:r>
              <w:rPr>
                <w:color w:val="3A3835"/>
                <w:sz w:val="18"/>
              </w:rPr>
              <w:t>Not reusable as-is — `window.print()` and `contenteditable` have no mobile equivalent; replaced by native PDF generation and text input components</w:t>
            </w:r>
          </w:p>
        </w:tc>
      </w:tr>
    </w:tbl>
    <w:p>
      <w:pPr>
        <w:spacing w:after="120"/>
      </w:pPr>
    </w:p>
    <w:p>
      <w:pPr>
        <w:pStyle w:val="BIKBody"/>
        <w:jc w:val="both"/>
      </w:pPr>
      <w:r>
        <w:t>The recommended path, assessed and costed at approximately 6–10 weeks for a feature-equivalent app, is a React Native application (via Expo) built around a shared `@bik/core` package — extracting the reusable business logic into a package both the website and the future mobile app import from, so the two platforms never drift out of sync on GST logic, AI prompts, or tool schemas. This is consistent with the Phase 3 "Mobile PWA" roadmap item (Chapter 13 summary table) and is treated as planning-only until Phase 3 commercial priority confirms the investment.</w:t>
      </w:r>
    </w:p>
    <w:p>
      <w:pPr>
        <w:pStyle w:val="BIKChapterLabel"/>
      </w:pPr>
      <w:r>
        <w:t>PART D — PRODUCT &amp; GTM</w:t>
      </w:r>
    </w:p>
    <w:p>
      <w:pPr>
        <w:pStyle w:val="BIKChapterTitle"/>
        <w:pBdr>
          <w:bottom w:val="single" w:sz="18" w:space="8" w:color="D85A30"/>
        </w:pBdr>
      </w:pPr>
      <w:r>
        <w:t>14   Go-To-Market Strategy</w:t>
      </w:r>
    </w:p>
    <w:p>
      <w:pPr>
        <w:pStyle w:val="BIKH1"/>
      </w:pPr>
      <w:r>
        <w:t>Brand Positioning</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CORE MESSAGE</w:t>
            </w:r>
          </w:p>
          <w:p>
            <w:r>
              <w:rPr>
                <w:color w:val="FFFFFF"/>
                <w:sz w:val="20"/>
              </w:rPr>
              <w:t>BIK Solutions is the platform that treats your construction business like the professional operation it is — giving you the documents, tools and systems that the big builders have, without the enterprise price tag.</w:t>
            </w:r>
          </w:p>
        </w:tc>
      </w:tr>
    </w:tbl>
    <w:p>
      <w:pPr>
        <w:spacing w:after="80"/>
      </w:pPr>
    </w:p>
    <w:p>
      <w:pPr>
        <w:pStyle w:val="BIKBody"/>
        <w:jc w:val="both"/>
      </w:pPr>
      <w:r>
        <w:t>Tone is direct, confident, practical, and never condescending. BIK's explicit positioning is that it is not a tech startup talking down to tradies — it is from the industry. This is not a marketing affectation; it is the same founder-market-fit advantage described in Chapter 7, expressed through voice and channel choice.</w:t>
      </w:r>
    </w:p>
    <w:p>
      <w:pPr>
        <w:pStyle w:val="BIKH1"/>
      </w:pPr>
      <w:r>
        <w:t>Target Segments and Messaging</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Segment</w:t>
            </w:r>
          </w:p>
        </w:tc>
        <w:tc>
          <w:tcPr>
            <w:tcW w:type="dxa" w:w="2986"/>
            <w:shd w:val="clear" w:color="auto" w:fill="252320"/>
            <w:tcMar>
              <w:top w:w="60" w:type="dxa"/>
              <w:bottom w:w="60" w:type="dxa"/>
              <w:left w:w="100" w:type="dxa"/>
              <w:right w:w="100" w:type="dxa"/>
            </w:tcMar>
            <w:vAlign w:val="center"/>
          </w:tcPr>
          <w:p>
            <w:r/>
            <w:r>
              <w:rPr>
                <w:b/>
                <w:color w:val="FFFFFF"/>
                <w:sz w:val="18"/>
              </w:rPr>
              <w:t>Pain point</w:t>
            </w:r>
          </w:p>
        </w:tc>
        <w:tc>
          <w:tcPr>
            <w:tcW w:type="dxa" w:w="2986"/>
            <w:shd w:val="clear" w:color="auto" w:fill="252320"/>
            <w:tcMar>
              <w:top w:w="60" w:type="dxa"/>
              <w:bottom w:w="60" w:type="dxa"/>
              <w:left w:w="100" w:type="dxa"/>
              <w:right w:w="100" w:type="dxa"/>
            </w:tcMar>
            <w:vAlign w:val="center"/>
          </w:tcPr>
          <w:p>
            <w:r/>
            <w:r>
              <w:rPr>
                <w:b/>
                <w:color w:val="FFFFFF"/>
                <w:sz w:val="18"/>
              </w:rPr>
              <w:t>Message</w:t>
            </w:r>
          </w:p>
        </w:tc>
      </w:tr>
      <w:tr>
        <w:tc>
          <w:tcPr>
            <w:tcW w:type="dxa" w:w="2986"/>
            <w:tcMar>
              <w:top w:w="60" w:type="dxa"/>
              <w:bottom w:w="60" w:type="dxa"/>
              <w:left w:w="100" w:type="dxa"/>
              <w:right w:w="100" w:type="dxa"/>
            </w:tcMar>
            <w:vAlign w:val="center"/>
          </w:tcPr>
          <w:p>
            <w:r/>
            <w:r>
              <w:rPr>
                <w:color w:val="3A3835"/>
                <w:sz w:val="18"/>
              </w:rPr>
              <w:t>Sole traders / small trades</w:t>
            </w:r>
          </w:p>
        </w:tc>
        <w:tc>
          <w:tcPr>
            <w:tcW w:type="dxa" w:w="2986"/>
            <w:tcMar>
              <w:top w:w="60" w:type="dxa"/>
              <w:bottom w:w="60" w:type="dxa"/>
              <w:left w:w="100" w:type="dxa"/>
              <w:right w:w="100" w:type="dxa"/>
            </w:tcMar>
            <w:vAlign w:val="center"/>
          </w:tcPr>
          <w:p>
            <w:r/>
            <w:r>
              <w:rPr>
                <w:color w:val="3A3835"/>
                <w:sz w:val="18"/>
              </w:rPr>
              <w:t>"Admin is killing my evenings"</w:t>
            </w:r>
          </w:p>
        </w:tc>
        <w:tc>
          <w:tcPr>
            <w:tcW w:type="dxa" w:w="2986"/>
            <w:tcMar>
              <w:top w:w="60" w:type="dxa"/>
              <w:bottom w:w="60" w:type="dxa"/>
              <w:left w:w="100" w:type="dxa"/>
              <w:right w:w="100" w:type="dxa"/>
            </w:tcMar>
            <w:vAlign w:val="center"/>
          </w:tcPr>
          <w:p>
            <w:r/>
            <w:r>
              <w:rPr>
                <w:color w:val="3A3835"/>
                <w:sz w:val="18"/>
              </w:rPr>
              <w:t>Save 2+ hours every week on paperwork</w:t>
            </w:r>
          </w:p>
        </w:tc>
      </w:tr>
      <w:tr>
        <w:tc>
          <w:tcPr>
            <w:tcW w:type="dxa" w:w="2986"/>
            <w:tcMar>
              <w:top w:w="60" w:type="dxa"/>
              <w:bottom w:w="60" w:type="dxa"/>
              <w:left w:w="100" w:type="dxa"/>
              <w:right w:w="100" w:type="dxa"/>
            </w:tcMar>
            <w:vAlign w:val="center"/>
            <w:shd w:val="clear" w:color="auto" w:fill="F2EFEA"/>
          </w:tcPr>
          <w:p>
            <w:r/>
            <w:r>
              <w:rPr>
                <w:color w:val="3A3835"/>
                <w:sz w:val="18"/>
              </w:rPr>
              <w:t>Builders (5–20 staff)</w:t>
            </w:r>
          </w:p>
        </w:tc>
        <w:tc>
          <w:tcPr>
            <w:tcW w:type="dxa" w:w="2986"/>
            <w:tcMar>
              <w:top w:w="60" w:type="dxa"/>
              <w:bottom w:w="60" w:type="dxa"/>
              <w:left w:w="100" w:type="dxa"/>
              <w:right w:w="100" w:type="dxa"/>
            </w:tcMar>
            <w:vAlign w:val="center"/>
            <w:shd w:val="clear" w:color="auto" w:fill="F2EFEA"/>
          </w:tcPr>
          <w:p>
            <w:r/>
            <w:r>
              <w:rPr>
                <w:color w:val="3A3835"/>
                <w:sz w:val="18"/>
              </w:rPr>
              <w:t>"Quote writing and variations eat my time"</w:t>
            </w:r>
          </w:p>
        </w:tc>
        <w:tc>
          <w:tcPr>
            <w:tcW w:type="dxa" w:w="2986"/>
            <w:tcMar>
              <w:top w:w="60" w:type="dxa"/>
              <w:bottom w:w="60" w:type="dxa"/>
              <w:left w:w="100" w:type="dxa"/>
              <w:right w:w="100" w:type="dxa"/>
            </w:tcMar>
            <w:vAlign w:val="center"/>
            <w:shd w:val="clear" w:color="auto" w:fill="F2EFEA"/>
          </w:tcPr>
          <w:p>
            <w:r/>
            <w:r>
              <w:rPr>
                <w:color w:val="3A3835"/>
                <w:sz w:val="18"/>
              </w:rPr>
              <w:t>Professional documents in minutes, not hours</w:t>
            </w:r>
          </w:p>
        </w:tc>
      </w:tr>
      <w:tr>
        <w:tc>
          <w:tcPr>
            <w:tcW w:type="dxa" w:w="2986"/>
            <w:tcMar>
              <w:top w:w="60" w:type="dxa"/>
              <w:bottom w:w="60" w:type="dxa"/>
              <w:left w:w="100" w:type="dxa"/>
              <w:right w:w="100" w:type="dxa"/>
            </w:tcMar>
            <w:vAlign w:val="center"/>
          </w:tcPr>
          <w:p>
            <w:r/>
            <w:r>
              <w:rPr>
                <w:color w:val="3A3835"/>
                <w:sz w:val="18"/>
              </w:rPr>
              <w:t>Property managers</w:t>
            </w:r>
          </w:p>
        </w:tc>
        <w:tc>
          <w:tcPr>
            <w:tcW w:type="dxa" w:w="2986"/>
            <w:tcMar>
              <w:top w:w="60" w:type="dxa"/>
              <w:bottom w:w="60" w:type="dxa"/>
              <w:left w:w="100" w:type="dxa"/>
              <w:right w:w="100" w:type="dxa"/>
            </w:tcMar>
            <w:vAlign w:val="center"/>
          </w:tcPr>
          <w:p>
            <w:r/>
            <w:r>
              <w:rPr>
                <w:color w:val="3A3835"/>
                <w:sz w:val="18"/>
              </w:rPr>
              <w:t>"Coordinating make-goods is chaos"</w:t>
            </w:r>
          </w:p>
        </w:tc>
        <w:tc>
          <w:tcPr>
            <w:tcW w:type="dxa" w:w="2986"/>
            <w:tcMar>
              <w:top w:w="60" w:type="dxa"/>
              <w:bottom w:w="60" w:type="dxa"/>
              <w:left w:w="100" w:type="dxa"/>
              <w:right w:w="100" w:type="dxa"/>
            </w:tcMar>
            <w:vAlign w:val="center"/>
          </w:tcPr>
          <w:p>
            <w:r/>
            <w:r>
              <w:rPr>
                <w:color w:val="3A3835"/>
                <w:sz w:val="18"/>
              </w:rPr>
              <w:t>One call, one team, done right</w:t>
            </w:r>
          </w:p>
        </w:tc>
      </w:tr>
      <w:tr>
        <w:tc>
          <w:tcPr>
            <w:tcW w:type="dxa" w:w="2986"/>
            <w:tcMar>
              <w:top w:w="60" w:type="dxa"/>
              <w:bottom w:w="60" w:type="dxa"/>
              <w:left w:w="100" w:type="dxa"/>
              <w:right w:w="100" w:type="dxa"/>
            </w:tcMar>
            <w:vAlign w:val="center"/>
            <w:shd w:val="clear" w:color="auto" w:fill="F2EFEA"/>
          </w:tcPr>
          <w:p>
            <w:r/>
            <w:r>
              <w:rPr>
                <w:color w:val="3A3835"/>
                <w:sz w:val="18"/>
              </w:rPr>
              <w:t>Safety officers</w:t>
            </w:r>
          </w:p>
        </w:tc>
        <w:tc>
          <w:tcPr>
            <w:tcW w:type="dxa" w:w="2986"/>
            <w:tcMar>
              <w:top w:w="60" w:type="dxa"/>
              <w:bottom w:w="60" w:type="dxa"/>
              <w:left w:w="100" w:type="dxa"/>
              <w:right w:w="100" w:type="dxa"/>
            </w:tcMar>
            <w:vAlign w:val="center"/>
            <w:shd w:val="clear" w:color="auto" w:fill="F2EFEA"/>
          </w:tcPr>
          <w:p>
            <w:r/>
            <w:r>
              <w:rPr>
                <w:color w:val="3A3835"/>
                <w:sz w:val="18"/>
              </w:rPr>
              <w:t>"SWMS and toolbox talks are never consistent"</w:t>
            </w:r>
          </w:p>
        </w:tc>
        <w:tc>
          <w:tcPr>
            <w:tcW w:type="dxa" w:w="2986"/>
            <w:tcMar>
              <w:top w:w="60" w:type="dxa"/>
              <w:bottom w:w="60" w:type="dxa"/>
              <w:left w:w="100" w:type="dxa"/>
              <w:right w:w="100" w:type="dxa"/>
            </w:tcMar>
            <w:vAlign w:val="center"/>
            <w:shd w:val="clear" w:color="auto" w:fill="F2EFEA"/>
          </w:tcPr>
          <w:p>
            <w:r/>
            <w:r>
              <w:rPr>
                <w:color w:val="3A3835"/>
                <w:sz w:val="18"/>
              </w:rPr>
              <w:t>Compliant safety docs without starting from scratch</w:t>
            </w:r>
          </w:p>
        </w:tc>
      </w:tr>
      <w:tr>
        <w:tc>
          <w:tcPr>
            <w:tcW w:type="dxa" w:w="2986"/>
            <w:tcMar>
              <w:top w:w="60" w:type="dxa"/>
              <w:bottom w:w="60" w:type="dxa"/>
              <w:left w:w="100" w:type="dxa"/>
              <w:right w:w="100" w:type="dxa"/>
            </w:tcMar>
            <w:vAlign w:val="center"/>
          </w:tcPr>
          <w:p>
            <w:r/>
            <w:r>
              <w:rPr>
                <w:color w:val="3A3835"/>
                <w:sz w:val="18"/>
              </w:rPr>
              <w:t>Owner-builders</w:t>
            </w:r>
          </w:p>
        </w:tc>
        <w:tc>
          <w:tcPr>
            <w:tcW w:type="dxa" w:w="2986"/>
            <w:tcMar>
              <w:top w:w="60" w:type="dxa"/>
              <w:bottom w:w="60" w:type="dxa"/>
              <w:left w:w="100" w:type="dxa"/>
              <w:right w:w="100" w:type="dxa"/>
            </w:tcMar>
            <w:vAlign w:val="center"/>
          </w:tcPr>
          <w:p>
            <w:r/>
            <w:r>
              <w:rPr>
                <w:color w:val="3A3835"/>
                <w:sz w:val="18"/>
              </w:rPr>
              <w:t>"I don't know what forms I need"</w:t>
            </w:r>
          </w:p>
        </w:tc>
        <w:tc>
          <w:tcPr>
            <w:tcW w:type="dxa" w:w="2986"/>
            <w:tcMar>
              <w:top w:w="60" w:type="dxa"/>
              <w:bottom w:w="60" w:type="dxa"/>
              <w:left w:w="100" w:type="dxa"/>
              <w:right w:w="100" w:type="dxa"/>
            </w:tcMar>
            <w:vAlign w:val="center"/>
          </w:tcPr>
          <w:p>
            <w:r/>
            <w:r>
              <w:rPr>
                <w:color w:val="3A3835"/>
                <w:sz w:val="18"/>
              </w:rPr>
              <w:t>Everything you need in one place</w:t>
            </w:r>
          </w:p>
        </w:tc>
      </w:tr>
    </w:tbl>
    <w:p>
      <w:pPr>
        <w:spacing w:after="120"/>
      </w:pPr>
    </w:p>
    <w:p>
      <w:pPr>
        <w:pStyle w:val="BIKH1"/>
      </w:pPr>
      <w:r>
        <w:t>Channel Strategy by Phase</w:t>
      </w:r>
    </w:p>
    <w:p>
      <w:pPr>
        <w:pStyle w:val="BIKH2"/>
      </w:pPr>
      <w:r>
        <w:t>PHASE 1 CHANNELS</w:t>
      </w:r>
    </w:p>
    <w:p>
      <w:pPr>
        <w:pStyle w:val="ListBullet"/>
      </w:pPr>
      <w:r>
        <w:rPr>
          <w:b/>
          <w:color w:val="252320"/>
        </w:rPr>
        <w:t xml:space="preserve">Organic search. </w:t>
      </w:r>
      <w:r>
        <w:t>Resource pages with downloadable templates gated by email; priority keywords include "SWMS template Queensland", "builder quote template Australia", "progress claim template builder".</w:t>
      </w:r>
    </w:p>
    <w:p>
      <w:pPr>
        <w:pStyle w:val="ListBullet"/>
      </w:pPr>
      <w:r>
        <w:rPr>
          <w:b/>
          <w:color w:val="252320"/>
        </w:rPr>
        <w:t xml:space="preserve">Email marketing. </w:t>
      </w:r>
      <w:r>
        <w:t>Free tool usage requires email signup; lead magnets are gated template bundles; a 3-email welcome sequence and an ongoing nurture sequence build trust ahead of any paid ask.</w:t>
      </w:r>
    </w:p>
    <w:p>
      <w:pPr>
        <w:pStyle w:val="ListBullet"/>
      </w:pPr>
      <w:r>
        <w:rPr>
          <w:b/>
          <w:color w:val="252320"/>
        </w:rPr>
        <w:t xml:space="preserve">Facebook / Instagram. </w:t>
      </w:r>
      <w:r>
        <w:t>Before/after time-savings content ("This took 3 hours. Now it takes 3 minutes."), behind-the-scenes content from the trades business, and targeted paid ads to Australian trades and property managers.</w:t>
      </w:r>
    </w:p>
    <w:p>
      <w:pPr>
        <w:pStyle w:val="ListBullet"/>
      </w:pPr>
      <w:r>
        <w:rPr>
          <w:b/>
          <w:color w:val="252320"/>
        </w:rPr>
        <w:t xml:space="preserve">LinkedIn. </w:t>
      </w:r>
      <w:r>
        <w:t>Founder-led thought leadership, case studies, and product announcements aimed at builders, project managers and developers.</w:t>
      </w:r>
    </w:p>
    <w:p>
      <w:pPr>
        <w:pStyle w:val="ListBullet"/>
      </w:pPr>
      <w:r>
        <w:rPr>
          <w:b/>
          <w:color w:val="252320"/>
        </w:rPr>
        <w:t xml:space="preserve">Trade Facebook groups. </w:t>
      </w:r>
      <w:r>
        <w:t>Genuine participation in Queensland Builders &amp; Contractors, Australian Tradies Network and Property Managers Australia — sharing tools and resources, explicitly avoiding overt selling.</w:t>
      </w:r>
    </w:p>
    <w:p>
      <w:pPr>
        <w:pStyle w:val="ListBullet"/>
      </w:pPr>
      <w:r>
        <w:rPr>
          <w:b/>
          <w:color w:val="252320"/>
        </w:rPr>
        <w:t xml:space="preserve">Word of mouth. </w:t>
      </w:r>
      <w:r>
        <w:t>A subtle "Made with BIK Toolkit" footer on generated documents, and a Phase 2 refer-a-friend credit programme.</w:t>
      </w:r>
    </w:p>
    <w:p>
      <w:pPr>
        <w:pStyle w:val="BIKH2"/>
      </w:pPr>
      <w:r>
        <w:t>PHASE 2+ CHANNELS</w:t>
      </w:r>
    </w:p>
    <w:p>
      <w:pPr>
        <w:pStyle w:val="ListBullet"/>
      </w:pPr>
      <w:r>
        <w:t>Google Ads against high-intent keywords ("SWMS generator", "builder quote software")</w:t>
      </w:r>
    </w:p>
    <w:p>
      <w:pPr>
        <w:pStyle w:val="ListBullet"/>
      </w:pPr>
      <w:r>
        <w:t>YouTube tool-tutorial content that compounds as both trust-building and SEO</w:t>
      </w:r>
    </w:p>
    <w:p>
      <w:pPr>
        <w:pStyle w:val="ListBullet"/>
      </w:pPr>
      <w:r>
        <w:t>Industry association partnerships — Master Builders, HIA, QBCC</w:t>
      </w:r>
    </w:p>
    <w:p>
      <w:pPr>
        <w:pStyle w:val="ListBullet"/>
      </w:pPr>
      <w:r>
        <w:t>Podcast sponsorships on Australian construction podcasts</w:t>
      </w:r>
    </w:p>
    <w:p>
      <w:pPr>
        <w:pStyle w:val="ListBullet"/>
      </w:pPr>
      <w:r>
        <w:t>An affiliate programme for bookkeepers and business advisors who already serve trades</w:t>
      </w:r>
    </w:p>
    <w:p>
      <w:pPr>
        <w:pStyle w:val="BIKH1"/>
      </w:pPr>
      <w:r>
        <w:t>Launch Sequencing</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Stage</w:t>
            </w:r>
          </w:p>
        </w:tc>
        <w:tc>
          <w:tcPr>
            <w:tcW w:type="dxa" w:w="4479"/>
            <w:shd w:val="clear" w:color="auto" w:fill="252320"/>
            <w:tcMar>
              <w:top w:w="60" w:type="dxa"/>
              <w:bottom w:w="60" w:type="dxa"/>
              <w:left w:w="100" w:type="dxa"/>
              <w:right w:w="100" w:type="dxa"/>
            </w:tcMar>
            <w:vAlign w:val="center"/>
          </w:tcPr>
          <w:p>
            <w:r/>
            <w:r>
              <w:rPr>
                <w:b/>
                <w:color w:val="FFFFFF"/>
                <w:sz w:val="18"/>
              </w:rPr>
              <w:t>Activity</w:t>
            </w:r>
          </w:p>
        </w:tc>
      </w:tr>
      <w:tr>
        <w:tc>
          <w:tcPr>
            <w:tcW w:type="dxa" w:w="4479"/>
            <w:tcMar>
              <w:top w:w="60" w:type="dxa"/>
              <w:bottom w:w="60" w:type="dxa"/>
              <w:left w:w="100" w:type="dxa"/>
              <w:right w:w="100" w:type="dxa"/>
            </w:tcMar>
            <w:vAlign w:val="center"/>
          </w:tcPr>
          <w:p>
            <w:r/>
            <w:r>
              <w:rPr>
                <w:color w:val="3A3835"/>
                <w:sz w:val="18"/>
              </w:rPr>
              <w:t>Pre-launch</w:t>
            </w:r>
          </w:p>
        </w:tc>
        <w:tc>
          <w:tcPr>
            <w:tcW w:type="dxa" w:w="4479"/>
            <w:tcMar>
              <w:top w:w="60" w:type="dxa"/>
              <w:bottom w:w="60" w:type="dxa"/>
              <w:left w:w="100" w:type="dxa"/>
              <w:right w:w="100" w:type="dxa"/>
            </w:tcMar>
            <w:vAlign w:val="center"/>
          </w:tcPr>
          <w:p>
            <w:r/>
            <w:r>
              <w:rPr>
                <w:color w:val="3A3835"/>
                <w:sz w:val="18"/>
              </w:rPr>
              <w:t>Build the email list via free templates and toolkit pages; publish a public roadmap and waitlist page</w:t>
            </w:r>
          </w:p>
        </w:tc>
      </w:tr>
      <w:tr>
        <w:tc>
          <w:tcPr>
            <w:tcW w:type="dxa" w:w="4479"/>
            <w:tcMar>
              <w:top w:w="60" w:type="dxa"/>
              <w:bottom w:w="60" w:type="dxa"/>
              <w:left w:w="100" w:type="dxa"/>
              <w:right w:w="100" w:type="dxa"/>
            </w:tcMar>
            <w:vAlign w:val="center"/>
            <w:shd w:val="clear" w:color="auto" w:fill="F2EFEA"/>
          </w:tcPr>
          <w:p>
            <w:r/>
            <w:r>
              <w:rPr>
                <w:color w:val="3A3835"/>
                <w:sz w:val="18"/>
              </w:rPr>
              <w:t>Soft launch</w:t>
            </w:r>
          </w:p>
        </w:tc>
        <w:tc>
          <w:tcPr>
            <w:tcW w:type="dxa" w:w="4479"/>
            <w:tcMar>
              <w:top w:w="60" w:type="dxa"/>
              <w:bottom w:w="60" w:type="dxa"/>
              <w:left w:w="100" w:type="dxa"/>
              <w:right w:w="100" w:type="dxa"/>
            </w:tcMar>
            <w:vAlign w:val="center"/>
            <w:shd w:val="clear" w:color="auto" w:fill="F2EFEA"/>
          </w:tcPr>
          <w:p>
            <w:r/>
            <w:r>
              <w:rPr>
                <w:color w:val="3A3835"/>
                <w:sz w:val="18"/>
              </w:rPr>
              <w:t>Email the existing list with early access; 30-day launch discount (Pro at $19, normal $29); "we're live" social posts with tool demos</w:t>
            </w:r>
          </w:p>
        </w:tc>
      </w:tr>
      <w:tr>
        <w:tc>
          <w:tcPr>
            <w:tcW w:type="dxa" w:w="4479"/>
            <w:tcMar>
              <w:top w:w="60" w:type="dxa"/>
              <w:bottom w:w="60" w:type="dxa"/>
              <w:left w:w="100" w:type="dxa"/>
              <w:right w:w="100" w:type="dxa"/>
            </w:tcMar>
            <w:vAlign w:val="center"/>
          </w:tcPr>
          <w:p>
            <w:r/>
            <w:r>
              <w:rPr>
                <w:color w:val="3A3835"/>
                <w:sz w:val="18"/>
              </w:rPr>
              <w:t>Growth phase</w:t>
            </w:r>
          </w:p>
        </w:tc>
        <w:tc>
          <w:tcPr>
            <w:tcW w:type="dxa" w:w="4479"/>
            <w:tcMar>
              <w:top w:w="60" w:type="dxa"/>
              <w:bottom w:w="60" w:type="dxa"/>
              <w:left w:w="100" w:type="dxa"/>
              <w:right w:w="100" w:type="dxa"/>
            </w:tcMar>
            <w:vAlign w:val="center"/>
          </w:tcPr>
          <w:p>
            <w:r/>
            <w:r>
              <w:rPr>
                <w:color w:val="3A3835"/>
                <w:sz w:val="18"/>
              </w:rPr>
              <w:t>Case study content ("Builder saves 4 hours/week with BIK"); referral campaign launch; SEO content expansion</w:t>
            </w:r>
          </w:p>
        </w:tc>
      </w:tr>
    </w:tbl>
    <w:p>
      <w:pPr>
        <w:spacing w:after="120"/>
      </w:pPr>
    </w:p>
    <w:p>
      <w:pPr>
        <w:pStyle w:val="BIKH1"/>
      </w:pPr>
      <w:r>
        <w:t>Objection Handling</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Objection</w:t>
            </w:r>
          </w:p>
        </w:tc>
        <w:tc>
          <w:tcPr>
            <w:tcW w:type="dxa" w:w="4479"/>
            <w:shd w:val="clear" w:color="auto" w:fill="252320"/>
            <w:tcMar>
              <w:top w:w="60" w:type="dxa"/>
              <w:bottom w:w="60" w:type="dxa"/>
              <w:left w:w="100" w:type="dxa"/>
              <w:right w:w="100" w:type="dxa"/>
            </w:tcMar>
            <w:vAlign w:val="center"/>
          </w:tcPr>
          <w:p>
            <w:r/>
            <w:r>
              <w:rPr>
                <w:b/>
                <w:color w:val="FFFFFF"/>
                <w:sz w:val="18"/>
              </w:rPr>
              <w:t>Response</w:t>
            </w:r>
          </w:p>
        </w:tc>
      </w:tr>
      <w:tr>
        <w:tc>
          <w:tcPr>
            <w:tcW w:type="dxa" w:w="4479"/>
            <w:tcMar>
              <w:top w:w="60" w:type="dxa"/>
              <w:bottom w:w="60" w:type="dxa"/>
              <w:left w:w="100" w:type="dxa"/>
              <w:right w:w="100" w:type="dxa"/>
            </w:tcMar>
            <w:vAlign w:val="center"/>
          </w:tcPr>
          <w:p>
            <w:r/>
            <w:r>
              <w:rPr>
                <w:color w:val="3A3835"/>
                <w:sz w:val="18"/>
              </w:rPr>
              <w:t>"I don't trust AI for legal documents"</w:t>
            </w:r>
          </w:p>
        </w:tc>
        <w:tc>
          <w:tcPr>
            <w:tcW w:type="dxa" w:w="4479"/>
            <w:tcMar>
              <w:top w:w="60" w:type="dxa"/>
              <w:bottom w:w="60" w:type="dxa"/>
              <w:left w:w="100" w:type="dxa"/>
              <w:right w:w="100" w:type="dxa"/>
            </w:tcMar>
            <w:vAlign w:val="center"/>
          </w:tcPr>
          <w:p>
            <w:r/>
            <w:r>
              <w:rPr>
                <w:color w:val="3A3835"/>
                <w:sz w:val="18"/>
              </w:rPr>
              <w:t>All documents include a review note. AI handles the structure; you handle the sign-off.</w:t>
            </w:r>
          </w:p>
        </w:tc>
      </w:tr>
      <w:tr>
        <w:tc>
          <w:tcPr>
            <w:tcW w:type="dxa" w:w="4479"/>
            <w:tcMar>
              <w:top w:w="60" w:type="dxa"/>
              <w:bottom w:w="60" w:type="dxa"/>
              <w:left w:w="100" w:type="dxa"/>
              <w:right w:w="100" w:type="dxa"/>
            </w:tcMar>
            <w:vAlign w:val="center"/>
            <w:shd w:val="clear" w:color="auto" w:fill="F2EFEA"/>
          </w:tcPr>
          <w:p>
            <w:r/>
            <w:r>
              <w:rPr>
                <w:color w:val="3A3835"/>
                <w:sz w:val="18"/>
              </w:rPr>
              <w:t>"I'm not tech-savvy"</w:t>
            </w:r>
          </w:p>
        </w:tc>
        <w:tc>
          <w:tcPr>
            <w:tcW w:type="dxa" w:w="4479"/>
            <w:tcMar>
              <w:top w:w="60" w:type="dxa"/>
              <w:bottom w:w="60" w:type="dxa"/>
              <w:left w:w="100" w:type="dxa"/>
              <w:right w:w="100" w:type="dxa"/>
            </w:tcMar>
            <w:vAlign w:val="center"/>
            <w:shd w:val="clear" w:color="auto" w:fill="F2EFEA"/>
          </w:tcPr>
          <w:p>
            <w:r/>
            <w:r>
              <w:rPr>
                <w:color w:val="3A3835"/>
                <w:sz w:val="18"/>
              </w:rPr>
              <w:t>If you can fill in a form, you can use BIK Toolkit. Takes 3 minutes.</w:t>
            </w:r>
          </w:p>
        </w:tc>
      </w:tr>
      <w:tr>
        <w:tc>
          <w:tcPr>
            <w:tcW w:type="dxa" w:w="4479"/>
            <w:tcMar>
              <w:top w:w="60" w:type="dxa"/>
              <w:bottom w:w="60" w:type="dxa"/>
              <w:left w:w="100" w:type="dxa"/>
              <w:right w:w="100" w:type="dxa"/>
            </w:tcMar>
            <w:vAlign w:val="center"/>
          </w:tcPr>
          <w:p>
            <w:r/>
            <w:r>
              <w:rPr>
                <w:color w:val="3A3835"/>
                <w:sz w:val="18"/>
              </w:rPr>
              <w:t>"Too expensive"</w:t>
            </w:r>
          </w:p>
        </w:tc>
        <w:tc>
          <w:tcPr>
            <w:tcW w:type="dxa" w:w="4479"/>
            <w:tcMar>
              <w:top w:w="60" w:type="dxa"/>
              <w:bottom w:w="60" w:type="dxa"/>
              <w:left w:w="100" w:type="dxa"/>
              <w:right w:w="100" w:type="dxa"/>
            </w:tcMar>
            <w:vAlign w:val="center"/>
          </w:tcPr>
          <w:p>
            <w:r/>
            <w:r>
              <w:rPr>
                <w:color w:val="3A3835"/>
                <w:sz w:val="18"/>
              </w:rPr>
              <w:t>At $29/month, one saved hour per week more than pays for it.</w:t>
            </w:r>
          </w:p>
        </w:tc>
      </w:tr>
      <w:tr>
        <w:tc>
          <w:tcPr>
            <w:tcW w:type="dxa" w:w="4479"/>
            <w:tcMar>
              <w:top w:w="60" w:type="dxa"/>
              <w:bottom w:w="60" w:type="dxa"/>
              <w:left w:w="100" w:type="dxa"/>
              <w:right w:w="100" w:type="dxa"/>
            </w:tcMar>
            <w:vAlign w:val="center"/>
            <w:shd w:val="clear" w:color="auto" w:fill="F2EFEA"/>
          </w:tcPr>
          <w:p>
            <w:r/>
            <w:r>
              <w:rPr>
                <w:color w:val="3A3835"/>
                <w:sz w:val="18"/>
              </w:rPr>
              <w:t>"I already use Word templates"</w:t>
            </w:r>
          </w:p>
        </w:tc>
        <w:tc>
          <w:tcPr>
            <w:tcW w:type="dxa" w:w="4479"/>
            <w:tcMar>
              <w:top w:w="60" w:type="dxa"/>
              <w:bottom w:w="60" w:type="dxa"/>
              <w:left w:w="100" w:type="dxa"/>
              <w:right w:w="100" w:type="dxa"/>
            </w:tcMar>
            <w:vAlign w:val="center"/>
            <w:shd w:val="clear" w:color="auto" w:fill="F2EFEA"/>
          </w:tcPr>
          <w:p>
            <w:r/>
            <w:r>
              <w:rPr>
                <w:color w:val="3A3835"/>
                <w:sz w:val="18"/>
              </w:rPr>
              <w:t>Our templates update when regulations change. Yours might not.</w:t>
            </w:r>
          </w:p>
        </w:tc>
      </w:tr>
    </w:tbl>
    <w:p>
      <w:pPr>
        <w:spacing w:after="120"/>
      </w:pPr>
    </w:p>
    <w:p>
      <w:pPr>
        <w:pStyle w:val="BIKH1"/>
      </w:pPr>
      <w:r>
        <w:t>Illustrative Customer Personas</w:t>
      </w:r>
    </w:p>
    <w:p>
      <w:pPr>
        <w:pStyle w:val="BIKBody"/>
        <w:jc w:val="both"/>
      </w:pPr>
      <w:r>
        <w:t>These four personas are composites drawn from the customer base BIK's own trades business serves directly — they are used internally to keep product and messaging decisions grounded in a specific person rather than an abstract "user."</w:t>
      </w:r>
    </w:p>
    <w:p>
      <w:pPr>
        <w:pStyle w:val="BIKH2"/>
      </w:pPr>
      <w:r>
        <w:t>DAVE — SOLE TRADER CARPENTER, GOLD COAST</w:t>
      </w:r>
    </w:p>
    <w:p>
      <w:pPr>
        <w:pStyle w:val="BIKBody"/>
        <w:jc w:val="both"/>
      </w:pPr>
      <w:r>
        <w:t>Runs a one-man renovation business, 15 years' experience, no admin support. Quotes on the tailgate of his ute, writes variations on the back of a delivery docket, and has been burned once by an unpaid variation because he never documented it properly. Wants speed above all else — anything that takes more than three minutes will not survive contact with a real workday. Converts on the free Site Diary and Toolbox Talk tools, upgrades to Starter within 30 days once he sees a professional Variation Notice land in a client's inbox.</w:t>
      </w:r>
    </w:p>
    <w:p>
      <w:pPr>
        <w:pStyle w:val="BIKH2"/>
      </w:pPr>
      <w:r>
        <w:t>MICHELLE — BUILDER, 12 STAFF, BRISBANE</w:t>
      </w:r>
    </w:p>
    <w:p>
      <w:pPr>
        <w:pStyle w:val="BIKBody"/>
        <w:jc w:val="both"/>
      </w:pPr>
      <w:r>
        <w:t>Runs a small residential building company. Has an office admin person two days a week who is permanently behind on progress claims and variations. Cares about consistency across jobs and staff, and about the business looking as professional as a much larger builder to clients and head contractors. The Business tier's team seats and shared document history are the specific reason she upgrades past Pro.</w:t>
      </w:r>
    </w:p>
    <w:p>
      <w:pPr>
        <w:pStyle w:val="BIKH2"/>
      </w:pPr>
      <w:r>
        <w:t>PRIYA — PROPERTY MANAGER, STRATA PORTFOLIO</w:t>
      </w:r>
    </w:p>
    <w:p>
      <w:pPr>
        <w:pStyle w:val="BIKBody"/>
        <w:jc w:val="both"/>
      </w:pPr>
      <w:r>
        <w:t>Manages make-good and maintenance coordination across a portfolio of 40+ properties for multiple owners. Doesn't do the trade work herself but needs consistent, professional documentation from every trade she engages, for owner reporting and dispute avoidance. Values the Defect Report and Inspection Checklist tools specifically because they create a paper trail she can hand to an owners' corporation without editing.</w:t>
      </w:r>
    </w:p>
    <w:p>
      <w:pPr>
        <w:pStyle w:val="BIKH2"/>
      </w:pPr>
      <w:r>
        <w:t>TOM — OWNER-BUILDER, FIRST RENOVATION</w:t>
      </w:r>
    </w:p>
    <w:p>
      <w:pPr>
        <w:pStyle w:val="BIKBody"/>
        <w:jc w:val="both"/>
      </w:pPr>
      <w:r>
        <w:t>Managing his own renovation for the first time, engaging trades directly. Has no idea what documents he actually needs — scope of works, variations, handover checklist — until something goes wrong. Represents the segment BIK's free tier and template library are built to capture early, well before he is a candidate for a paid tier, because his next renovation (or referral to a friend doing one) is the real commercial value.</w:t>
      </w:r>
    </w:p>
    <w:p>
      <w:pPr>
        <w:pStyle w:val="BIKChapterLabel"/>
      </w:pPr>
      <w:r>
        <w:t>PART D — PRODUCT &amp; GTM</w:t>
      </w:r>
    </w:p>
    <w:p>
      <w:pPr>
        <w:pStyle w:val="BIKChapterTitle"/>
        <w:pBdr>
          <w:bottom w:val="single" w:sz="18" w:space="8" w:color="D85A30"/>
        </w:pBdr>
      </w:pPr>
      <w:r>
        <w:t>15   Commercial Model</w:t>
      </w:r>
    </w:p>
    <w:p>
      <w:pPr>
        <w:pStyle w:val="BIKH1"/>
      </w:pPr>
      <w:r>
        <w:t>Subscription Tiers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Tier</w:t>
            </w:r>
          </w:p>
        </w:tc>
        <w:tc>
          <w:tcPr>
            <w:tcW w:type="dxa" w:w="2986"/>
            <w:shd w:val="clear" w:color="auto" w:fill="252320"/>
            <w:tcMar>
              <w:top w:w="60" w:type="dxa"/>
              <w:bottom w:w="60" w:type="dxa"/>
              <w:left w:w="100" w:type="dxa"/>
              <w:right w:w="100" w:type="dxa"/>
            </w:tcMar>
            <w:vAlign w:val="center"/>
          </w:tcPr>
          <w:p>
            <w:r/>
            <w:r>
              <w:rPr>
                <w:b/>
                <w:color w:val="FFFFFF"/>
                <w:sz w:val="18"/>
              </w:rPr>
              <w:t>Price</w:t>
            </w:r>
          </w:p>
        </w:tc>
        <w:tc>
          <w:tcPr>
            <w:tcW w:type="dxa" w:w="2986"/>
            <w:shd w:val="clear" w:color="auto" w:fill="252320"/>
            <w:tcMar>
              <w:top w:w="60" w:type="dxa"/>
              <w:bottom w:w="60" w:type="dxa"/>
              <w:left w:w="100" w:type="dxa"/>
              <w:right w:w="100" w:type="dxa"/>
            </w:tcMar>
            <w:vAlign w:val="center"/>
          </w:tcPr>
          <w:p>
            <w:r/>
            <w:r>
              <w:rPr>
                <w:b/>
                <w:color w:val="FFFFFF"/>
                <w:sz w:val="18"/>
              </w:rPr>
              <w:t>Includes</w:t>
            </w:r>
          </w:p>
        </w:tc>
      </w:tr>
      <w:tr>
        <w:tc>
          <w:tcPr>
            <w:tcW w:type="dxa" w:w="2986"/>
            <w:tcMar>
              <w:top w:w="60" w:type="dxa"/>
              <w:bottom w:w="60" w:type="dxa"/>
              <w:left w:w="100" w:type="dxa"/>
              <w:right w:w="100" w:type="dxa"/>
            </w:tcMar>
            <w:vAlign w:val="center"/>
          </w:tcPr>
          <w:p>
            <w:r/>
            <w:r>
              <w:rPr>
                <w:color w:val="3A3835"/>
                <w:sz w:val="18"/>
              </w:rPr>
              <w:t>Free</w:t>
            </w:r>
          </w:p>
        </w:tc>
        <w:tc>
          <w:tcPr>
            <w:tcW w:type="dxa" w:w="2986"/>
            <w:tcMar>
              <w:top w:w="60" w:type="dxa"/>
              <w:bottom w:w="60" w:type="dxa"/>
              <w:left w:w="100" w:type="dxa"/>
              <w:right w:w="100" w:type="dxa"/>
            </w:tcMar>
            <w:vAlign w:val="center"/>
          </w:tcPr>
          <w:p>
            <w:r/>
            <w:r>
              <w:rPr>
                <w:color w:val="3A3835"/>
                <w:sz w:val="18"/>
              </w:rPr>
              <w:t>$0/mo</w:t>
            </w:r>
          </w:p>
        </w:tc>
        <w:tc>
          <w:tcPr>
            <w:tcW w:type="dxa" w:w="2986"/>
            <w:tcMar>
              <w:top w:w="60" w:type="dxa"/>
              <w:bottom w:w="60" w:type="dxa"/>
              <w:left w:w="100" w:type="dxa"/>
              <w:right w:w="100" w:type="dxa"/>
            </w:tcMar>
            <w:vAlign w:val="center"/>
          </w:tcPr>
          <w:p>
            <w:r/>
            <w:r>
              <w:rPr>
                <w:color w:val="3A3835"/>
                <w:sz w:val="18"/>
              </w:rPr>
              <w:t>3 AI tools, 5 generations/month (watermarked), free template library, newsletter</w:t>
            </w:r>
          </w:p>
        </w:tc>
      </w:tr>
      <w:tr>
        <w:tc>
          <w:tcPr>
            <w:tcW w:type="dxa" w:w="2986"/>
            <w:tcMar>
              <w:top w:w="60" w:type="dxa"/>
              <w:bottom w:w="60" w:type="dxa"/>
              <w:left w:w="100" w:type="dxa"/>
              <w:right w:w="100" w:type="dxa"/>
            </w:tcMar>
            <w:vAlign w:val="center"/>
            <w:shd w:val="clear" w:color="auto" w:fill="F2EFEA"/>
          </w:tcPr>
          <w:p>
            <w:r/>
            <w:r>
              <w:rPr>
                <w:color w:val="3A3835"/>
                <w:sz w:val="18"/>
              </w:rPr>
              <w:t>Starter</w:t>
            </w:r>
          </w:p>
        </w:tc>
        <w:tc>
          <w:tcPr>
            <w:tcW w:type="dxa" w:w="2986"/>
            <w:tcMar>
              <w:top w:w="60" w:type="dxa"/>
              <w:bottom w:w="60" w:type="dxa"/>
              <w:left w:w="100" w:type="dxa"/>
              <w:right w:w="100" w:type="dxa"/>
            </w:tcMar>
            <w:vAlign w:val="center"/>
            <w:shd w:val="clear" w:color="auto" w:fill="F2EFEA"/>
          </w:tcPr>
          <w:p>
            <w:r/>
            <w:r>
              <w:rPr>
                <w:color w:val="3A3835"/>
                <w:sz w:val="18"/>
              </w:rPr>
              <w:t>$19/mo ($190/yr)</w:t>
            </w:r>
          </w:p>
        </w:tc>
        <w:tc>
          <w:tcPr>
            <w:tcW w:type="dxa" w:w="2986"/>
            <w:tcMar>
              <w:top w:w="60" w:type="dxa"/>
              <w:bottom w:w="60" w:type="dxa"/>
              <w:left w:w="100" w:type="dxa"/>
              <w:right w:w="100" w:type="dxa"/>
            </w:tcMar>
            <w:vAlign w:val="center"/>
            <w:shd w:val="clear" w:color="auto" w:fill="F2EFEA"/>
          </w:tcPr>
          <w:p>
            <w:r/>
            <w:r>
              <w:rPr>
                <w:color w:val="3A3835"/>
                <w:sz w:val="18"/>
              </w:rPr>
              <w:t>Everything in Free + 3 AI tools of choice, 20 generations/month, PDF export (no watermark), email support</w:t>
            </w:r>
          </w:p>
        </w:tc>
      </w:tr>
      <w:tr>
        <w:tc>
          <w:tcPr>
            <w:tcW w:type="dxa" w:w="2986"/>
            <w:tcMar>
              <w:top w:w="60" w:type="dxa"/>
              <w:bottom w:w="60" w:type="dxa"/>
              <w:left w:w="100" w:type="dxa"/>
              <w:right w:w="100" w:type="dxa"/>
            </w:tcMar>
            <w:vAlign w:val="center"/>
          </w:tcPr>
          <w:p>
            <w:r/>
            <w:r>
              <w:rPr>
                <w:color w:val="3A3835"/>
                <w:sz w:val="18"/>
              </w:rPr>
              <w:t>Pro</w:t>
            </w:r>
          </w:p>
        </w:tc>
        <w:tc>
          <w:tcPr>
            <w:tcW w:type="dxa" w:w="2986"/>
            <w:tcMar>
              <w:top w:w="60" w:type="dxa"/>
              <w:bottom w:w="60" w:type="dxa"/>
              <w:left w:w="100" w:type="dxa"/>
              <w:right w:w="100" w:type="dxa"/>
            </w:tcMar>
            <w:vAlign w:val="center"/>
          </w:tcPr>
          <w:p>
            <w:r/>
            <w:r>
              <w:rPr>
                <w:color w:val="3A3835"/>
                <w:sz w:val="18"/>
              </w:rPr>
              <w:t>$29/mo ($290/yr)</w:t>
            </w:r>
          </w:p>
        </w:tc>
        <w:tc>
          <w:tcPr>
            <w:tcW w:type="dxa" w:w="2986"/>
            <w:tcMar>
              <w:top w:w="60" w:type="dxa"/>
              <w:bottom w:w="60" w:type="dxa"/>
              <w:left w:w="100" w:type="dxa"/>
              <w:right w:w="100" w:type="dxa"/>
            </w:tcMar>
            <w:vAlign w:val="center"/>
          </w:tcPr>
          <w:p>
            <w:r/>
            <w:r>
              <w:rPr>
                <w:color w:val="3A3835"/>
                <w:sz w:val="18"/>
              </w:rPr>
              <w:t>Everything in Starter + all 10 Phase 1 tools, unlimited generations, branded PDF export, priority email support</w:t>
            </w:r>
          </w:p>
        </w:tc>
      </w:tr>
      <w:tr>
        <w:tc>
          <w:tcPr>
            <w:tcW w:type="dxa" w:w="2986"/>
            <w:tcMar>
              <w:top w:w="60" w:type="dxa"/>
              <w:bottom w:w="60" w:type="dxa"/>
              <w:left w:w="100" w:type="dxa"/>
              <w:right w:w="100" w:type="dxa"/>
            </w:tcMar>
            <w:vAlign w:val="center"/>
            <w:shd w:val="clear" w:color="auto" w:fill="F2EFEA"/>
          </w:tcPr>
          <w:p>
            <w:r/>
            <w:r>
              <w:rPr>
                <w:color w:val="3A3835"/>
                <w:sz w:val="18"/>
              </w:rPr>
              <w:t>Business</w:t>
            </w:r>
          </w:p>
        </w:tc>
        <w:tc>
          <w:tcPr>
            <w:tcW w:type="dxa" w:w="2986"/>
            <w:tcMar>
              <w:top w:w="60" w:type="dxa"/>
              <w:bottom w:w="60" w:type="dxa"/>
              <w:left w:w="100" w:type="dxa"/>
              <w:right w:w="100" w:type="dxa"/>
            </w:tcMar>
            <w:vAlign w:val="center"/>
            <w:shd w:val="clear" w:color="auto" w:fill="F2EFEA"/>
          </w:tcPr>
          <w:p>
            <w:r/>
            <w:r>
              <w:rPr>
                <w:color w:val="3A3835"/>
                <w:sz w:val="18"/>
              </w:rPr>
              <w:t>$49/mo ($490/yr)</w:t>
            </w:r>
          </w:p>
        </w:tc>
        <w:tc>
          <w:tcPr>
            <w:tcW w:type="dxa" w:w="2986"/>
            <w:tcMar>
              <w:top w:w="60" w:type="dxa"/>
              <w:bottom w:w="60" w:type="dxa"/>
              <w:left w:w="100" w:type="dxa"/>
              <w:right w:w="100" w:type="dxa"/>
            </w:tcMar>
            <w:vAlign w:val="center"/>
            <w:shd w:val="clear" w:color="auto" w:fill="F2EFEA"/>
          </w:tcPr>
          <w:p>
            <w:r/>
            <w:r>
              <w:rPr>
                <w:color w:val="3A3835"/>
                <w:sz w:val="18"/>
              </w:rPr>
              <w:t>Everything in Pro + all Phase 1+2 tools (25), up to 3 team members, shared document history, Xero integration, AU-hours phone support</w:t>
            </w:r>
          </w:p>
        </w:tc>
      </w:tr>
      <w:tr>
        <w:tc>
          <w:tcPr>
            <w:tcW w:type="dxa" w:w="2986"/>
            <w:tcMar>
              <w:top w:w="60" w:type="dxa"/>
              <w:bottom w:w="60" w:type="dxa"/>
              <w:left w:w="100" w:type="dxa"/>
              <w:right w:w="100" w:type="dxa"/>
            </w:tcMar>
            <w:vAlign w:val="center"/>
          </w:tcPr>
          <w:p>
            <w:r/>
            <w:r>
              <w:rPr>
                <w:color w:val="3A3835"/>
                <w:sz w:val="18"/>
              </w:rPr>
              <w:t>Enterprise</w:t>
            </w:r>
          </w:p>
        </w:tc>
        <w:tc>
          <w:tcPr>
            <w:tcW w:type="dxa" w:w="2986"/>
            <w:tcMar>
              <w:top w:w="60" w:type="dxa"/>
              <w:bottom w:w="60" w:type="dxa"/>
              <w:left w:w="100" w:type="dxa"/>
              <w:right w:w="100" w:type="dxa"/>
            </w:tcMar>
            <w:vAlign w:val="center"/>
          </w:tcPr>
          <w:p>
            <w:r/>
            <w:r>
              <w:rPr>
                <w:color w:val="3A3835"/>
                <w:sz w:val="18"/>
              </w:rPr>
              <w:t>$99+/mo (custom)</w:t>
            </w:r>
          </w:p>
        </w:tc>
        <w:tc>
          <w:tcPr>
            <w:tcW w:type="dxa" w:w="2986"/>
            <w:tcMar>
              <w:top w:w="60" w:type="dxa"/>
              <w:bottom w:w="60" w:type="dxa"/>
              <w:left w:w="100" w:type="dxa"/>
              <w:right w:w="100" w:type="dxa"/>
            </w:tcMar>
            <w:vAlign w:val="center"/>
          </w:tcPr>
          <w:p>
            <w:r/>
            <w:r>
              <w:rPr>
                <w:color w:val="3A3835"/>
                <w:sz w:val="18"/>
              </w:rPr>
              <w:t>Everything in Business + unlimited team members, API access, white-label option, dedicated account manager, custom tool development</w:t>
            </w:r>
          </w:p>
        </w:tc>
      </w:tr>
    </w:tbl>
    <w:p>
      <w:pPr>
        <w:pStyle w:val="BIKCaption"/>
        <w:jc w:val="center"/>
      </w:pPr>
      <w:r>
        <w:t>Source: docs/pricing-strategy.md. Annual pricing reflects a ~17% discount (two months free), standard SaaS convention.</w:t>
      </w:r>
    </w:p>
    <w:p>
      <w:pPr>
        <w:pStyle w:val="BIKH1"/>
      </w:pPr>
      <w:r>
        <w:t>Pricing Rationale</w:t>
      </w:r>
    </w:p>
    <w:p>
      <w:pPr>
        <w:pStyle w:val="BIKBody"/>
        <w:jc w:val="both"/>
      </w:pPr>
      <w:r>
        <w:t>BIK's pricing is anchored explicitly to time saved, not to feature count. A sole trader or builder's assistant earning roughly $35/hour who saves two hours per week on admin saves approximately $280 per month; at $29/month, the payback period is under one day of saved time, and even the most conservative estimate (30 minutes saved per week) implies a 5:1 return. The construction industry is price-sensitive and structurally sceptical of software claims, so BIK has deliberately priced Pro at a level — "the price of two coffees a week" — designed to reduce the purchase decision to near-zero friction, with the explicit intention of raising prices only as demonstrated value accumulates (document history depth, integration reliance, team usage).</w:t>
      </w:r>
    </w:p>
    <w:p>
      <w:pPr>
        <w:pStyle w:val="BIKH1"/>
      </w:pPr>
      <w:r>
        <w:t>Digital Product Revenue (Complementary Line)</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Product</w:t>
            </w:r>
          </w:p>
        </w:tc>
        <w:tc>
          <w:tcPr>
            <w:tcW w:type="dxa" w:w="2986"/>
            <w:shd w:val="clear" w:color="auto" w:fill="252320"/>
            <w:tcMar>
              <w:top w:w="60" w:type="dxa"/>
              <w:bottom w:w="60" w:type="dxa"/>
              <w:left w:w="100" w:type="dxa"/>
              <w:right w:w="100" w:type="dxa"/>
            </w:tcMar>
            <w:vAlign w:val="center"/>
          </w:tcPr>
          <w:p>
            <w:r/>
            <w:r>
              <w:rPr>
                <w:b/>
                <w:color w:val="FFFFFF"/>
                <w:sz w:val="18"/>
              </w:rPr>
              <w:t>Price</w:t>
            </w:r>
          </w:p>
        </w:tc>
        <w:tc>
          <w:tcPr>
            <w:tcW w:type="dxa" w:w="2986"/>
            <w:shd w:val="clear" w:color="auto" w:fill="252320"/>
            <w:tcMar>
              <w:top w:w="60" w:type="dxa"/>
              <w:bottom w:w="60" w:type="dxa"/>
              <w:left w:w="100" w:type="dxa"/>
              <w:right w:w="100" w:type="dxa"/>
            </w:tcMar>
            <w:vAlign w:val="center"/>
          </w:tcPr>
          <w:p>
            <w:r/>
            <w:r>
              <w:rPr>
                <w:b/>
                <w:color w:val="FFFFFF"/>
                <w:sz w:val="18"/>
              </w:rPr>
              <w:t>Notes</w:t>
            </w:r>
          </w:p>
        </w:tc>
      </w:tr>
      <w:tr>
        <w:tc>
          <w:tcPr>
            <w:tcW w:type="dxa" w:w="2986"/>
            <w:tcMar>
              <w:top w:w="60" w:type="dxa"/>
              <w:bottom w:w="60" w:type="dxa"/>
              <w:left w:w="100" w:type="dxa"/>
              <w:right w:w="100" w:type="dxa"/>
            </w:tcMar>
            <w:vAlign w:val="center"/>
          </w:tcPr>
          <w:p>
            <w:r/>
            <w:r>
              <w:rPr>
                <w:color w:val="3A3835"/>
                <w:sz w:val="18"/>
              </w:rPr>
              <w:t>Individual templates</w:t>
            </w:r>
          </w:p>
        </w:tc>
        <w:tc>
          <w:tcPr>
            <w:tcW w:type="dxa" w:w="2986"/>
            <w:tcMar>
              <w:top w:w="60" w:type="dxa"/>
              <w:bottom w:w="60" w:type="dxa"/>
              <w:left w:w="100" w:type="dxa"/>
              <w:right w:w="100" w:type="dxa"/>
            </w:tcMar>
            <w:vAlign w:val="center"/>
          </w:tcPr>
          <w:p>
            <w:r/>
            <w:r>
              <w:rPr>
                <w:color w:val="3A3835"/>
                <w:sz w:val="18"/>
              </w:rPr>
              <w:t>$9–$19 each</w:t>
            </w:r>
          </w:p>
        </w:tc>
        <w:tc>
          <w:tcPr>
            <w:tcW w:type="dxa" w:w="2986"/>
            <w:tcMar>
              <w:top w:w="60" w:type="dxa"/>
              <w:bottom w:w="60" w:type="dxa"/>
              <w:left w:w="100" w:type="dxa"/>
              <w:right w:w="100" w:type="dxa"/>
            </w:tcMar>
            <w:vAlign w:val="center"/>
          </w:tcPr>
          <w:p>
            <w:r/>
            <w:r>
              <w:rPr>
                <w:color w:val="3A3835"/>
                <w:sz w:val="18"/>
              </w:rPr>
              <w:t>DOCX/XLSX/PDF, sold via Gumroad</w:t>
            </w:r>
          </w:p>
        </w:tc>
      </w:tr>
      <w:tr>
        <w:tc>
          <w:tcPr>
            <w:tcW w:type="dxa" w:w="2986"/>
            <w:tcMar>
              <w:top w:w="60" w:type="dxa"/>
              <w:bottom w:w="60" w:type="dxa"/>
              <w:left w:w="100" w:type="dxa"/>
              <w:right w:w="100" w:type="dxa"/>
            </w:tcMar>
            <w:vAlign w:val="center"/>
            <w:shd w:val="clear" w:color="auto" w:fill="F2EFEA"/>
          </w:tcPr>
          <w:p>
            <w:r/>
            <w:r>
              <w:rPr>
                <w:color w:val="3A3835"/>
                <w:sz w:val="18"/>
              </w:rPr>
              <w:t>Document bundle (5 templates)</w:t>
            </w:r>
          </w:p>
        </w:tc>
        <w:tc>
          <w:tcPr>
            <w:tcW w:type="dxa" w:w="2986"/>
            <w:tcMar>
              <w:top w:w="60" w:type="dxa"/>
              <w:bottom w:w="60" w:type="dxa"/>
              <w:left w:w="100" w:type="dxa"/>
              <w:right w:w="100" w:type="dxa"/>
            </w:tcMar>
            <w:vAlign w:val="center"/>
            <w:shd w:val="clear" w:color="auto" w:fill="F2EFEA"/>
          </w:tcPr>
          <w:p>
            <w:r/>
            <w:r>
              <w:rPr>
                <w:color w:val="3A3835"/>
                <w:sz w:val="18"/>
              </w:rPr>
              <w:t>$29</w:t>
            </w:r>
          </w:p>
        </w:tc>
        <w:tc>
          <w:tcPr>
            <w:tcW w:type="dxa" w:w="2986"/>
            <w:tcMar>
              <w:top w:w="60" w:type="dxa"/>
              <w:bottom w:w="60" w:type="dxa"/>
              <w:left w:w="100" w:type="dxa"/>
              <w:right w:w="100" w:type="dxa"/>
            </w:tcMar>
            <w:vAlign w:val="center"/>
            <w:shd w:val="clear" w:color="auto" w:fill="F2EFEA"/>
          </w:tcPr>
          <w:p>
            <w:r/>
            <w:r>
              <w:rPr>
                <w:color w:val="3A3835"/>
                <w:sz w:val="18"/>
              </w:rPr>
              <w:t>Popular category bundle</w:t>
            </w:r>
          </w:p>
        </w:tc>
      </w:tr>
      <w:tr>
        <w:tc>
          <w:tcPr>
            <w:tcW w:type="dxa" w:w="2986"/>
            <w:tcMar>
              <w:top w:w="60" w:type="dxa"/>
              <w:bottom w:w="60" w:type="dxa"/>
              <w:left w:w="100" w:type="dxa"/>
              <w:right w:w="100" w:type="dxa"/>
            </w:tcMar>
            <w:vAlign w:val="center"/>
          </w:tcPr>
          <w:p>
            <w:r/>
            <w:r>
              <w:rPr>
                <w:color w:val="3A3835"/>
                <w:sz w:val="18"/>
              </w:rPr>
              <w:t>Complete template library</w:t>
            </w:r>
          </w:p>
        </w:tc>
        <w:tc>
          <w:tcPr>
            <w:tcW w:type="dxa" w:w="2986"/>
            <w:tcMar>
              <w:top w:w="60" w:type="dxa"/>
              <w:bottom w:w="60" w:type="dxa"/>
              <w:left w:w="100" w:type="dxa"/>
              <w:right w:w="100" w:type="dxa"/>
            </w:tcMar>
            <w:vAlign w:val="center"/>
          </w:tcPr>
          <w:p>
            <w:r/>
            <w:r>
              <w:rPr>
                <w:color w:val="3A3835"/>
                <w:sz w:val="18"/>
              </w:rPr>
              <w:t>$79</w:t>
            </w:r>
          </w:p>
        </w:tc>
        <w:tc>
          <w:tcPr>
            <w:tcW w:type="dxa" w:w="2986"/>
            <w:tcMar>
              <w:top w:w="60" w:type="dxa"/>
              <w:bottom w:w="60" w:type="dxa"/>
              <w:left w:w="100" w:type="dxa"/>
              <w:right w:w="100" w:type="dxa"/>
            </w:tcMar>
            <w:vAlign w:val="center"/>
          </w:tcPr>
          <w:p>
            <w:r/>
            <w:r>
              <w:rPr>
                <w:color w:val="3A3835"/>
                <w:sz w:val="18"/>
              </w:rPr>
              <w:t>One-time; includes all templates</w:t>
            </w:r>
          </w:p>
        </w:tc>
      </w:tr>
      <w:tr>
        <w:tc>
          <w:tcPr>
            <w:tcW w:type="dxa" w:w="2986"/>
            <w:tcMar>
              <w:top w:w="60" w:type="dxa"/>
              <w:bottom w:w="60" w:type="dxa"/>
              <w:left w:w="100" w:type="dxa"/>
              <w:right w:w="100" w:type="dxa"/>
            </w:tcMar>
            <w:vAlign w:val="center"/>
            <w:shd w:val="clear" w:color="auto" w:fill="F2EFEA"/>
          </w:tcPr>
          <w:p>
            <w:r/>
            <w:r>
              <w:rPr>
                <w:color w:val="3A3835"/>
                <w:sz w:val="18"/>
              </w:rPr>
              <w:t>Safety pack (SWMS + Toolbox Talks)</w:t>
            </w:r>
          </w:p>
        </w:tc>
        <w:tc>
          <w:tcPr>
            <w:tcW w:type="dxa" w:w="2986"/>
            <w:tcMar>
              <w:top w:w="60" w:type="dxa"/>
              <w:bottom w:w="60" w:type="dxa"/>
              <w:left w:w="100" w:type="dxa"/>
              <w:right w:w="100" w:type="dxa"/>
            </w:tcMar>
            <w:vAlign w:val="center"/>
            <w:shd w:val="clear" w:color="auto" w:fill="F2EFEA"/>
          </w:tcPr>
          <w:p>
            <w:r/>
            <w:r>
              <w:rPr>
                <w:color w:val="3A3835"/>
                <w:sz w:val="18"/>
              </w:rPr>
              <w:t>$49</w:t>
            </w:r>
          </w:p>
        </w:tc>
        <w:tc>
          <w:tcPr>
            <w:tcW w:type="dxa" w:w="2986"/>
            <w:tcMar>
              <w:top w:w="60" w:type="dxa"/>
              <w:bottom w:w="60" w:type="dxa"/>
              <w:left w:w="100" w:type="dxa"/>
              <w:right w:w="100" w:type="dxa"/>
            </w:tcMar>
            <w:vAlign w:val="center"/>
            <w:shd w:val="clear" w:color="auto" w:fill="F2EFEA"/>
          </w:tcPr>
          <w:p>
            <w:r/>
            <w:r>
              <w:rPr>
                <w:color w:val="3A3835"/>
                <w:sz w:val="18"/>
              </w:rPr>
              <w:t>Trade-specific</w:t>
            </w:r>
          </w:p>
        </w:tc>
      </w:tr>
      <w:tr>
        <w:tc>
          <w:tcPr>
            <w:tcW w:type="dxa" w:w="2986"/>
            <w:tcMar>
              <w:top w:w="60" w:type="dxa"/>
              <w:bottom w:w="60" w:type="dxa"/>
              <w:left w:w="100" w:type="dxa"/>
              <w:right w:w="100" w:type="dxa"/>
            </w:tcMar>
            <w:vAlign w:val="center"/>
          </w:tcPr>
          <w:p>
            <w:r/>
            <w:r>
              <w:rPr>
                <w:color w:val="3A3835"/>
                <w:sz w:val="18"/>
              </w:rPr>
              <w:t>Builder admin pack</w:t>
            </w:r>
          </w:p>
        </w:tc>
        <w:tc>
          <w:tcPr>
            <w:tcW w:type="dxa" w:w="2986"/>
            <w:tcMar>
              <w:top w:w="60" w:type="dxa"/>
              <w:bottom w:w="60" w:type="dxa"/>
              <w:left w:w="100" w:type="dxa"/>
              <w:right w:w="100" w:type="dxa"/>
            </w:tcMar>
            <w:vAlign w:val="center"/>
          </w:tcPr>
          <w:p>
            <w:r/>
            <w:r>
              <w:rPr>
                <w:color w:val="3A3835"/>
                <w:sz w:val="18"/>
              </w:rPr>
              <w:t>$59</w:t>
            </w:r>
          </w:p>
        </w:tc>
        <w:tc>
          <w:tcPr>
            <w:tcW w:type="dxa" w:w="2986"/>
            <w:tcMar>
              <w:top w:w="60" w:type="dxa"/>
              <w:bottom w:w="60" w:type="dxa"/>
              <w:left w:w="100" w:type="dxa"/>
              <w:right w:w="100" w:type="dxa"/>
            </w:tcMar>
            <w:vAlign w:val="center"/>
          </w:tcPr>
          <w:p>
            <w:r/>
            <w:r>
              <w:rPr>
                <w:color w:val="3A3835"/>
                <w:sz w:val="18"/>
              </w:rPr>
              <w:t>Quote + Scope of Works + Progress Claim + Variation</w:t>
            </w:r>
          </w:p>
        </w:tc>
      </w:tr>
    </w:tbl>
    <w:p>
      <w:pPr>
        <w:spacing w:after="120"/>
      </w:pPr>
    </w:p>
    <w:p>
      <w:pPr>
        <w:pStyle w:val="BIKH1"/>
      </w:pPr>
      <w:r>
        <w:t>Conversion Strategy</w:t>
      </w:r>
    </w:p>
    <w:p>
      <w:pPr>
        <w:pStyle w:val="ListBullet"/>
      </w:pPr>
      <w:r>
        <w:rPr>
          <w:b/>
          <w:color w:val="252320"/>
        </w:rPr>
        <w:t xml:space="preserve">Free → Starter. </w:t>
      </w:r>
      <w:r>
        <w:t>In-app upsell triggered the moment a user hits the free generation limit.</w:t>
      </w:r>
    </w:p>
    <w:p>
      <w:pPr>
        <w:pStyle w:val="ListBullet"/>
      </w:pPr>
      <w:r>
        <w:rPr>
          <w:b/>
          <w:color w:val="252320"/>
        </w:rPr>
        <w:t xml:space="preserve">Starter → Pro. </w:t>
      </w:r>
      <w:r>
        <w:t>After 30 days, show the tools the user is locked out of, supported by an ROI-focused email sequence.</w:t>
      </w:r>
    </w:p>
    <w:p>
      <w:pPr>
        <w:pStyle w:val="ListBullet"/>
      </w:pPr>
      <w:r>
        <w:rPr>
          <w:b/>
          <w:color w:val="252320"/>
        </w:rPr>
        <w:t xml:space="preserve">Pro → Business. </w:t>
      </w:r>
      <w:r>
        <w:t>Triggered when a Pro user attempts to invite a team member and hits the seat limit.</w:t>
      </w:r>
    </w:p>
    <w:p>
      <w:pPr>
        <w:pStyle w:val="ListBullet"/>
      </w:pPr>
      <w:r>
        <w:rPr>
          <w:b/>
          <w:color w:val="252320"/>
        </w:rPr>
        <w:t xml:space="preserve">Annual upsell. </w:t>
      </w:r>
      <w:r>
        <w:t>Shown at signup and again in subscription management, converting monthly cash flow into annual, lower-churn cash flow.</w:t>
      </w:r>
    </w:p>
    <w:p>
      <w:pPr>
        <w:pStyle w:val="BIKH1"/>
      </w:pPr>
      <w:r>
        <w:t>Free Trial Policy</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Tier</w:t>
            </w:r>
          </w:p>
        </w:tc>
        <w:tc>
          <w:tcPr>
            <w:tcW w:type="dxa" w:w="4479"/>
            <w:shd w:val="clear" w:color="auto" w:fill="252320"/>
            <w:tcMar>
              <w:top w:w="60" w:type="dxa"/>
              <w:bottom w:w="60" w:type="dxa"/>
              <w:left w:w="100" w:type="dxa"/>
              <w:right w:w="100" w:type="dxa"/>
            </w:tcMar>
            <w:vAlign w:val="center"/>
          </w:tcPr>
          <w:p>
            <w:r/>
            <w:r>
              <w:rPr>
                <w:b/>
                <w:color w:val="FFFFFF"/>
                <w:sz w:val="18"/>
              </w:rPr>
              <w:t>Trial policy</w:t>
            </w:r>
          </w:p>
        </w:tc>
      </w:tr>
      <w:tr>
        <w:tc>
          <w:tcPr>
            <w:tcW w:type="dxa" w:w="4479"/>
            <w:tcMar>
              <w:top w:w="60" w:type="dxa"/>
              <w:bottom w:w="60" w:type="dxa"/>
              <w:left w:w="100" w:type="dxa"/>
              <w:right w:w="100" w:type="dxa"/>
            </w:tcMar>
            <w:vAlign w:val="center"/>
          </w:tcPr>
          <w:p>
            <w:r/>
            <w:r>
              <w:rPr>
                <w:color w:val="3A3835"/>
                <w:sz w:val="18"/>
              </w:rPr>
              <w:t>Free</w:t>
            </w:r>
          </w:p>
        </w:tc>
        <w:tc>
          <w:tcPr>
            <w:tcW w:type="dxa" w:w="4479"/>
            <w:tcMar>
              <w:top w:w="60" w:type="dxa"/>
              <w:bottom w:w="60" w:type="dxa"/>
              <w:left w:w="100" w:type="dxa"/>
              <w:right w:w="100" w:type="dxa"/>
            </w:tcMar>
            <w:vAlign w:val="center"/>
          </w:tcPr>
          <w:p>
            <w:r/>
            <w:r>
              <w:rPr>
                <w:color w:val="3A3835"/>
                <w:sz w:val="18"/>
              </w:rPr>
              <w:t>No credit card required, ongoing</w:t>
            </w:r>
          </w:p>
        </w:tc>
      </w:tr>
      <w:tr>
        <w:tc>
          <w:tcPr>
            <w:tcW w:type="dxa" w:w="4479"/>
            <w:tcMar>
              <w:top w:w="60" w:type="dxa"/>
              <w:bottom w:w="60" w:type="dxa"/>
              <w:left w:w="100" w:type="dxa"/>
              <w:right w:w="100" w:type="dxa"/>
            </w:tcMar>
            <w:vAlign w:val="center"/>
            <w:shd w:val="clear" w:color="auto" w:fill="F2EFEA"/>
          </w:tcPr>
          <w:p>
            <w:r/>
            <w:r>
              <w:rPr>
                <w:color w:val="3A3835"/>
                <w:sz w:val="18"/>
              </w:rPr>
              <w:t>Pro</w:t>
            </w:r>
          </w:p>
        </w:tc>
        <w:tc>
          <w:tcPr>
            <w:tcW w:type="dxa" w:w="4479"/>
            <w:tcMar>
              <w:top w:w="60" w:type="dxa"/>
              <w:bottom w:w="60" w:type="dxa"/>
              <w:left w:w="100" w:type="dxa"/>
              <w:right w:w="100" w:type="dxa"/>
            </w:tcMar>
            <w:vAlign w:val="center"/>
            <w:shd w:val="clear" w:color="auto" w:fill="F2EFEA"/>
          </w:tcPr>
          <w:p>
            <w:r/>
            <w:r>
              <w:rPr>
                <w:color w:val="3A3835"/>
                <w:sz w:val="18"/>
              </w:rPr>
              <w:t>14-day free trial; credit card required; auto-converts</w:t>
            </w:r>
          </w:p>
        </w:tc>
      </w:tr>
      <w:tr>
        <w:tc>
          <w:tcPr>
            <w:tcW w:type="dxa" w:w="4479"/>
            <w:tcMar>
              <w:top w:w="60" w:type="dxa"/>
              <w:bottom w:w="60" w:type="dxa"/>
              <w:left w:w="100" w:type="dxa"/>
              <w:right w:w="100" w:type="dxa"/>
            </w:tcMar>
            <w:vAlign w:val="center"/>
          </w:tcPr>
          <w:p>
            <w:r/>
            <w:r>
              <w:rPr>
                <w:color w:val="3A3835"/>
                <w:sz w:val="18"/>
              </w:rPr>
              <w:t>Enterprise</w:t>
            </w:r>
          </w:p>
        </w:tc>
        <w:tc>
          <w:tcPr>
            <w:tcW w:type="dxa" w:w="4479"/>
            <w:tcMar>
              <w:top w:w="60" w:type="dxa"/>
              <w:bottom w:w="60" w:type="dxa"/>
              <w:left w:w="100" w:type="dxa"/>
              <w:right w:w="100" w:type="dxa"/>
            </w:tcMar>
            <w:vAlign w:val="center"/>
          </w:tcPr>
          <w:p>
            <w:r/>
            <w:r>
              <w:rPr>
                <w:color w:val="3A3835"/>
                <w:sz w:val="18"/>
              </w:rPr>
              <w:t>30-day free trial with guided demo</w:t>
            </w:r>
          </w:p>
        </w:tc>
      </w:tr>
    </w:tbl>
    <w:p>
      <w:pPr>
        <w:spacing w:after="120"/>
      </w:pPr>
    </w:p>
    <w:p>
      <w:pPr>
        <w:jc w:val="center"/>
      </w:pPr>
      <w:r>
        <w:drawing>
          <wp:inline xmlns:a="http://schemas.openxmlformats.org/drawingml/2006/main" xmlns:pic="http://schemas.openxmlformats.org/drawingml/2006/picture">
            <wp:extent cx="5943600" cy="4281496"/>
            <wp:docPr id="8" name="Picture 8"/>
            <wp:cNvGraphicFramePr>
              <a:graphicFrameLocks noChangeAspect="1"/>
            </wp:cNvGraphicFramePr>
            <a:graphic>
              <a:graphicData uri="http://schemas.openxmlformats.org/drawingml/2006/picture">
                <pic:pic>
                  <pic:nvPicPr>
                    <pic:cNvPr id="0" name="lean_canvas.png"/>
                    <pic:cNvPicPr/>
                  </pic:nvPicPr>
                  <pic:blipFill>
                    <a:blip r:embed="rId18"/>
                    <a:stretch>
                      <a:fillRect/>
                    </a:stretch>
                  </pic:blipFill>
                  <pic:spPr>
                    <a:xfrm>
                      <a:off x="0" y="0"/>
                      <a:ext cx="5943600" cy="4281496"/>
                    </a:xfrm>
                    <a:prstGeom prst="rect"/>
                  </pic:spPr>
                </pic:pic>
              </a:graphicData>
            </a:graphic>
          </wp:inline>
        </w:drawing>
      </w:r>
    </w:p>
    <w:p>
      <w:pPr>
        <w:pStyle w:val="BIKCaption"/>
        <w:jc w:val="center"/>
      </w:pPr>
      <w:r>
        <w:t>Figure 15.1 — Lean Canvas, BIK Business Toolkit</w:t>
      </w:r>
    </w:p>
    <w:p>
      <w:r>
        <w:br w:type="page"/>
      </w:r>
    </w:p>
    <w:p/>
    <w:p/>
    <w:p/>
    <w:p/>
    <w:p/>
    <w:p/>
    <w:p>
      <w:pPr>
        <w:jc w:val="center"/>
      </w:pPr>
      <w:r>
        <w:rPr>
          <w:b/>
          <w:color w:val="D85A30"/>
          <w:sz w:val="26"/>
        </w:rPr>
        <w:t>PART E — MARKET &amp; COMPETITION</w:t>
      </w:r>
    </w:p>
    <w:p>
      <w:pPr>
        <w:jc w:val="center"/>
      </w:pPr>
      <w:r>
        <w:rPr>
          <w:b/>
          <w:color w:val="252320"/>
          <w:sz w:val="60"/>
        </w:rPr>
        <w:t>Market Analysis, Competitor Analysis and Competitive Positioning</w:t>
      </w:r>
    </w:p>
    <w:p>
      <w:pPr>
        <w:jc w:val="center"/>
      </w:pPr>
      <w:r>
        <w:rPr>
          <w:i/>
          <w:color w:val="888780"/>
          <w:sz w:val="23"/>
        </w:rPr>
        <w:t>How large the opportunity is, who else is in the field, and where BIK wins</w:t>
      </w:r>
    </w:p>
    <w:p>
      <w:r>
        <w:br w:type="page"/>
      </w:r>
    </w:p>
    <w:p>
      <w:pPr>
        <w:pStyle w:val="BIKChapterLabel"/>
      </w:pPr>
      <w:r>
        <w:t>PART E — MARKET &amp; COMPETITION</w:t>
      </w:r>
    </w:p>
    <w:p>
      <w:pPr>
        <w:pStyle w:val="BIKChapterTitle"/>
        <w:pBdr>
          <w:bottom w:val="single" w:sz="18" w:space="8" w:color="D85A30"/>
        </w:pBdr>
      </w:pPr>
      <w:r>
        <w:t>16   Market Analysis</w:t>
      </w:r>
    </w:p>
    <w:p>
      <w:pPr>
        <w:pStyle w:val="BIKH1"/>
      </w:pPr>
      <w:r>
        <w:t>Market Sizing — TAM / SAM / SOM</w:t>
      </w:r>
    </w:p>
    <w:p>
      <w:pPr>
        <w:jc w:val="center"/>
      </w:pPr>
      <w:r>
        <w:drawing>
          <wp:inline xmlns:a="http://schemas.openxmlformats.org/drawingml/2006/main" xmlns:pic="http://schemas.openxmlformats.org/drawingml/2006/picture">
            <wp:extent cx="4572000" cy="4481601"/>
            <wp:docPr id="9" name="Picture 9"/>
            <wp:cNvGraphicFramePr>
              <a:graphicFrameLocks noChangeAspect="1"/>
            </wp:cNvGraphicFramePr>
            <a:graphic>
              <a:graphicData uri="http://schemas.openxmlformats.org/drawingml/2006/picture">
                <pic:pic>
                  <pic:nvPicPr>
                    <pic:cNvPr id="0" name="tam_sam_som.png"/>
                    <pic:cNvPicPr/>
                  </pic:nvPicPr>
                  <pic:blipFill>
                    <a:blip r:embed="rId11"/>
                    <a:stretch>
                      <a:fillRect/>
                    </a:stretch>
                  </pic:blipFill>
                  <pic:spPr>
                    <a:xfrm>
                      <a:off x="0" y="0"/>
                      <a:ext cx="4572000" cy="4481601"/>
                    </a:xfrm>
                    <a:prstGeom prst="rect"/>
                  </pic:spPr>
                </pic:pic>
              </a:graphicData>
            </a:graphic>
          </wp:inline>
        </w:drawing>
      </w:r>
    </w:p>
    <w:p>
      <w:pPr>
        <w:pStyle w:val="BIKCaption"/>
        <w:jc w:val="center"/>
      </w:pPr>
      <w:r>
        <w:t>Figure 16.1 — TAM / SAM / SOM (repeated from Chapter 1 for reference)</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Layer</w:t>
            </w:r>
          </w:p>
        </w:tc>
        <w:tc>
          <w:tcPr>
            <w:tcW w:type="dxa" w:w="2239"/>
            <w:shd w:val="clear" w:color="auto" w:fill="252320"/>
            <w:tcMar>
              <w:top w:w="60" w:type="dxa"/>
              <w:bottom w:w="60" w:type="dxa"/>
              <w:left w:w="100" w:type="dxa"/>
              <w:right w:w="100" w:type="dxa"/>
            </w:tcMar>
            <w:vAlign w:val="center"/>
          </w:tcPr>
          <w:p>
            <w:r/>
            <w:r>
              <w:rPr>
                <w:b/>
                <w:color w:val="FFFFFF"/>
                <w:sz w:val="18"/>
              </w:rPr>
              <w:t>Definition</w:t>
            </w:r>
          </w:p>
        </w:tc>
        <w:tc>
          <w:tcPr>
            <w:tcW w:type="dxa" w:w="2239"/>
            <w:shd w:val="clear" w:color="auto" w:fill="252320"/>
            <w:tcMar>
              <w:top w:w="60" w:type="dxa"/>
              <w:bottom w:w="60" w:type="dxa"/>
              <w:left w:w="100" w:type="dxa"/>
              <w:right w:w="100" w:type="dxa"/>
            </w:tcMar>
            <w:vAlign w:val="center"/>
          </w:tcPr>
          <w:p>
            <w:r/>
            <w:r>
              <w:rPr>
                <w:b/>
                <w:color w:val="FFFFFF"/>
                <w:sz w:val="18"/>
              </w:rPr>
              <w:t>Illustrative value</w:t>
            </w:r>
          </w:p>
        </w:tc>
        <w:tc>
          <w:tcPr>
            <w:tcW w:type="dxa" w:w="2239"/>
            <w:shd w:val="clear" w:color="auto" w:fill="252320"/>
            <w:tcMar>
              <w:top w:w="60" w:type="dxa"/>
              <w:bottom w:w="60" w:type="dxa"/>
              <w:left w:w="100" w:type="dxa"/>
              <w:right w:w="100" w:type="dxa"/>
            </w:tcMar>
            <w:vAlign w:val="center"/>
          </w:tcPr>
          <w:p>
            <w:r/>
            <w:r>
              <w:rPr>
                <w:b/>
                <w:color w:val="FFFFFF"/>
                <w:sz w:val="18"/>
              </w:rPr>
              <w:t>Basis</w:t>
            </w:r>
          </w:p>
        </w:tc>
      </w:tr>
      <w:tr>
        <w:tc>
          <w:tcPr>
            <w:tcW w:type="dxa" w:w="2239"/>
            <w:tcMar>
              <w:top w:w="60" w:type="dxa"/>
              <w:bottom w:w="60" w:type="dxa"/>
              <w:left w:w="100" w:type="dxa"/>
              <w:right w:w="100" w:type="dxa"/>
            </w:tcMar>
            <w:vAlign w:val="center"/>
          </w:tcPr>
          <w:p>
            <w:r/>
            <w:r>
              <w:rPr>
                <w:color w:val="3A3835"/>
                <w:sz w:val="18"/>
              </w:rPr>
              <w:t>TAM</w:t>
            </w:r>
          </w:p>
        </w:tc>
        <w:tc>
          <w:tcPr>
            <w:tcW w:type="dxa" w:w="2239"/>
            <w:tcMar>
              <w:top w:w="60" w:type="dxa"/>
              <w:bottom w:w="60" w:type="dxa"/>
              <w:left w:w="100" w:type="dxa"/>
              <w:right w:w="100" w:type="dxa"/>
            </w:tcMar>
            <w:vAlign w:val="center"/>
          </w:tcPr>
          <w:p>
            <w:r/>
            <w:r>
              <w:rPr>
                <w:color w:val="3A3835"/>
                <w:sz w:val="18"/>
              </w:rPr>
              <w:t>Australian construction industry contribution to GDP</w:t>
            </w:r>
          </w:p>
        </w:tc>
        <w:tc>
          <w:tcPr>
            <w:tcW w:type="dxa" w:w="2239"/>
            <w:tcMar>
              <w:top w:w="60" w:type="dxa"/>
              <w:bottom w:w="60" w:type="dxa"/>
              <w:left w:w="100" w:type="dxa"/>
              <w:right w:w="100" w:type="dxa"/>
            </w:tcMar>
            <w:vAlign w:val="center"/>
          </w:tcPr>
          <w:p>
            <w:r/>
            <w:r>
              <w:rPr>
                <w:color w:val="3A3835"/>
                <w:sz w:val="18"/>
              </w:rPr>
              <w:t>$360B+ annually</w:t>
            </w:r>
          </w:p>
        </w:tc>
        <w:tc>
          <w:tcPr>
            <w:tcW w:type="dxa" w:w="2239"/>
            <w:tcMar>
              <w:top w:w="60" w:type="dxa"/>
              <w:bottom w:w="60" w:type="dxa"/>
              <w:left w:w="100" w:type="dxa"/>
              <w:right w:w="100" w:type="dxa"/>
            </w:tcMar>
            <w:vAlign w:val="center"/>
          </w:tcPr>
          <w:p>
            <w:r/>
            <w:r>
              <w:rPr>
                <w:color w:val="3A3835"/>
                <w:sz w:val="18"/>
              </w:rPr>
              <w:t>BIK Product Vision, industry GDP contribution estimate</w:t>
            </w:r>
          </w:p>
        </w:tc>
      </w:tr>
      <w:tr>
        <w:tc>
          <w:tcPr>
            <w:tcW w:type="dxa" w:w="2239"/>
            <w:tcMar>
              <w:top w:w="60" w:type="dxa"/>
              <w:bottom w:w="60" w:type="dxa"/>
              <w:left w:w="100" w:type="dxa"/>
              <w:right w:w="100" w:type="dxa"/>
            </w:tcMar>
            <w:vAlign w:val="center"/>
            <w:shd w:val="clear" w:color="auto" w:fill="F2EFEA"/>
          </w:tcPr>
          <w:p>
            <w:r/>
            <w:r>
              <w:rPr>
                <w:color w:val="3A3835"/>
                <w:sz w:val="18"/>
              </w:rPr>
              <w:t>SAM</w:t>
            </w:r>
          </w:p>
        </w:tc>
        <w:tc>
          <w:tcPr>
            <w:tcW w:type="dxa" w:w="2239"/>
            <w:tcMar>
              <w:top w:w="60" w:type="dxa"/>
              <w:bottom w:w="60" w:type="dxa"/>
              <w:left w:w="100" w:type="dxa"/>
              <w:right w:w="100" w:type="dxa"/>
            </w:tcMar>
            <w:vAlign w:val="center"/>
            <w:shd w:val="clear" w:color="auto" w:fill="F2EFEA"/>
          </w:tcPr>
          <w:p>
            <w:r/>
            <w:r>
              <w:rPr>
                <w:color w:val="3A3835"/>
                <w:sz w:val="18"/>
              </w:rPr>
              <w:t>Realistic software spend by 1–50 staff AU/NZ trade and building businesses on document, safety and finance tooling</w:t>
            </w:r>
          </w:p>
        </w:tc>
        <w:tc>
          <w:tcPr>
            <w:tcW w:type="dxa" w:w="2239"/>
            <w:tcMar>
              <w:top w:w="60" w:type="dxa"/>
              <w:bottom w:w="60" w:type="dxa"/>
              <w:left w:w="100" w:type="dxa"/>
              <w:right w:w="100" w:type="dxa"/>
            </w:tcMar>
            <w:vAlign w:val="center"/>
            <w:shd w:val="clear" w:color="auto" w:fill="F2EFEA"/>
          </w:tcPr>
          <w:p>
            <w:r/>
            <w:r>
              <w:rPr>
                <w:color w:val="3A3835"/>
                <w:sz w:val="18"/>
              </w:rPr>
              <w:t>~$1.8B</w:t>
            </w:r>
          </w:p>
        </w:tc>
        <w:tc>
          <w:tcPr>
            <w:tcW w:type="dxa" w:w="2239"/>
            <w:tcMar>
              <w:top w:w="60" w:type="dxa"/>
              <w:bottom w:w="60" w:type="dxa"/>
              <w:left w:w="100" w:type="dxa"/>
              <w:right w:w="100" w:type="dxa"/>
            </w:tcMar>
            <w:vAlign w:val="center"/>
            <w:shd w:val="clear" w:color="auto" w:fill="F2EFEA"/>
          </w:tcPr>
          <w:p>
            <w:r/>
            <w:r>
              <w:rPr>
                <w:color w:val="3A3835"/>
                <w:sz w:val="18"/>
              </w:rPr>
              <w:t>Illustrative — derived from an assumed ~0.5% of TAM allocated to SME back-office software spend across an estimated 350,000+ AU trade businesses</w:t>
            </w:r>
          </w:p>
        </w:tc>
      </w:tr>
      <w:tr>
        <w:tc>
          <w:tcPr>
            <w:tcW w:type="dxa" w:w="2239"/>
            <w:tcMar>
              <w:top w:w="60" w:type="dxa"/>
              <w:bottom w:w="60" w:type="dxa"/>
              <w:left w:w="100" w:type="dxa"/>
              <w:right w:w="100" w:type="dxa"/>
            </w:tcMar>
            <w:vAlign w:val="center"/>
          </w:tcPr>
          <w:p>
            <w:r/>
            <w:r>
              <w:rPr>
                <w:color w:val="3A3835"/>
                <w:sz w:val="18"/>
              </w:rPr>
              <w:t>SOM</w:t>
            </w:r>
          </w:p>
        </w:tc>
        <w:tc>
          <w:tcPr>
            <w:tcW w:type="dxa" w:w="2239"/>
            <w:tcMar>
              <w:top w:w="60" w:type="dxa"/>
              <w:bottom w:w="60" w:type="dxa"/>
              <w:left w:w="100" w:type="dxa"/>
              <w:right w:w="100" w:type="dxa"/>
            </w:tcMar>
            <w:vAlign w:val="center"/>
          </w:tcPr>
          <w:p>
            <w:r/>
            <w:r>
              <w:rPr>
                <w:color w:val="3A3835"/>
                <w:sz w:val="18"/>
              </w:rPr>
              <w:t>BIK's serviceable share within five years via a digital-first, Australia-specific go-to-market</w:t>
            </w:r>
          </w:p>
        </w:tc>
        <w:tc>
          <w:tcPr>
            <w:tcW w:type="dxa" w:w="2239"/>
            <w:tcMar>
              <w:top w:w="60" w:type="dxa"/>
              <w:bottom w:w="60" w:type="dxa"/>
              <w:left w:w="100" w:type="dxa"/>
              <w:right w:w="100" w:type="dxa"/>
            </w:tcMar>
            <w:vAlign w:val="center"/>
          </w:tcPr>
          <w:p>
            <w:r/>
            <w:r>
              <w:rPr>
                <w:color w:val="3A3835"/>
                <w:sz w:val="18"/>
              </w:rPr>
              <w:t>~$91M</w:t>
            </w:r>
          </w:p>
        </w:tc>
        <w:tc>
          <w:tcPr>
            <w:tcW w:type="dxa" w:w="2239"/>
            <w:tcMar>
              <w:top w:w="60" w:type="dxa"/>
              <w:bottom w:w="60" w:type="dxa"/>
              <w:left w:w="100" w:type="dxa"/>
              <w:right w:w="100" w:type="dxa"/>
            </w:tcMar>
            <w:vAlign w:val="center"/>
          </w:tcPr>
          <w:p>
            <w:r/>
            <w:r>
              <w:rPr>
                <w:color w:val="3A3835"/>
                <w:sz w:val="18"/>
              </w:rPr>
              <w:t>Illustrative — modelled at ~5% share of SAM at Phase 4 maturity</w:t>
            </w:r>
          </w:p>
        </w:tc>
      </w:tr>
    </w:tbl>
    <w:p>
      <w:pPr>
        <w:spacing w:after="120"/>
      </w:pPr>
    </w:p>
    <w:p>
      <w:pPr>
        <w:pStyle w:val="BIKBody"/>
        <w:jc w:val="both"/>
      </w:pPr>
      <w:r>
        <w:t>These SAM and SOM figures are explicitly illustrative planning assumptions, not third-party market research, and are presented as directional sizing to test the shape of the opportunity rather than as audited numbers. The TAM figure is grounded directly in BIK's own product-vision documentation. A banking partner or grant assessor relying on this document for a specific decision should treat the SAM/SOM figures as a modelled scenario (fully disclosed in Appendix C) rather than as verified market research.</w:t>
      </w:r>
    </w:p>
    <w:p>
      <w:pPr>
        <w:pStyle w:val="BIKH1"/>
      </w:pPr>
      <w:r>
        <w:t>Porter's Five Forces</w:t>
      </w:r>
    </w:p>
    <w:p>
      <w:pPr>
        <w:jc w:val="center"/>
      </w:pPr>
      <w:r>
        <w:drawing>
          <wp:inline xmlns:a="http://schemas.openxmlformats.org/drawingml/2006/main" xmlns:pic="http://schemas.openxmlformats.org/drawingml/2006/picture">
            <wp:extent cx="6035040" cy="5940686"/>
            <wp:docPr id="10" name="Picture 10"/>
            <wp:cNvGraphicFramePr>
              <a:graphicFrameLocks noChangeAspect="1"/>
            </wp:cNvGraphicFramePr>
            <a:graphic>
              <a:graphicData uri="http://schemas.openxmlformats.org/drawingml/2006/picture">
                <pic:pic>
                  <pic:nvPicPr>
                    <pic:cNvPr id="0" name="porters_five_forces.png"/>
                    <pic:cNvPicPr/>
                  </pic:nvPicPr>
                  <pic:blipFill>
                    <a:blip r:embed="rId19"/>
                    <a:stretch>
                      <a:fillRect/>
                    </a:stretch>
                  </pic:blipFill>
                  <pic:spPr>
                    <a:xfrm>
                      <a:off x="0" y="0"/>
                      <a:ext cx="6035040" cy="5940686"/>
                    </a:xfrm>
                    <a:prstGeom prst="rect"/>
                  </pic:spPr>
                </pic:pic>
              </a:graphicData>
            </a:graphic>
          </wp:inline>
        </w:drawing>
      </w:r>
    </w:p>
    <w:p>
      <w:pPr>
        <w:pStyle w:val="BIKCaption"/>
        <w:jc w:val="center"/>
      </w:pPr>
      <w:r>
        <w:t>Figure 16.2 — Porter's Five Forces, BIK Business Toolkit</w:t>
      </w:r>
    </w:p>
    <w:p>
      <w:pPr>
        <w:pStyle w:val="BIKBody"/>
        <w:jc w:val="both"/>
      </w:pPr>
      <w:r>
        <w:t>The most important strategic reading of this framework is that BIK's real competitor, in volume terms, is not another SaaS product — it is the status quo: Word, Excel, and "just wing it." Threat of substitutes is rated high for exactly this reason. Buyer power is moderate-to-high today (an individual trade business can walk away at zero cost) but is designed to fall over time as document history, integrations and team workflows accumulate switching cost — which is the central logic of the operating-model sequencing in Chapter 6.</w:t>
      </w:r>
    </w:p>
    <w:p>
      <w:pPr>
        <w:pStyle w:val="BIKH1"/>
      </w:pPr>
      <w:r>
        <w:t>PESTLE Snapshot</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Factor</w:t>
            </w:r>
          </w:p>
        </w:tc>
        <w:tc>
          <w:tcPr>
            <w:tcW w:type="dxa" w:w="4479"/>
            <w:shd w:val="clear" w:color="auto" w:fill="252320"/>
            <w:tcMar>
              <w:top w:w="60" w:type="dxa"/>
              <w:bottom w:w="60" w:type="dxa"/>
              <w:left w:w="100" w:type="dxa"/>
              <w:right w:w="100" w:type="dxa"/>
            </w:tcMar>
            <w:vAlign w:val="center"/>
          </w:tcPr>
          <w:p>
            <w:r/>
            <w:r>
              <w:rPr>
                <w:b/>
                <w:color w:val="FFFFFF"/>
                <w:sz w:val="18"/>
              </w:rPr>
              <w:t>Relevance to BIK</w:t>
            </w:r>
          </w:p>
        </w:tc>
      </w:tr>
      <w:tr>
        <w:tc>
          <w:tcPr>
            <w:tcW w:type="dxa" w:w="4479"/>
            <w:tcMar>
              <w:top w:w="60" w:type="dxa"/>
              <w:bottom w:w="60" w:type="dxa"/>
              <w:left w:w="100" w:type="dxa"/>
              <w:right w:w="100" w:type="dxa"/>
            </w:tcMar>
            <w:vAlign w:val="center"/>
          </w:tcPr>
          <w:p>
            <w:r/>
            <w:r>
              <w:rPr>
                <w:color w:val="3A3835"/>
                <w:sz w:val="18"/>
              </w:rPr>
              <w:t>Political</w:t>
            </w:r>
          </w:p>
        </w:tc>
        <w:tc>
          <w:tcPr>
            <w:tcW w:type="dxa" w:w="4479"/>
            <w:tcMar>
              <w:top w:w="60" w:type="dxa"/>
              <w:bottom w:w="60" w:type="dxa"/>
              <w:left w:w="100" w:type="dxa"/>
              <w:right w:w="100" w:type="dxa"/>
            </w:tcMar>
            <w:vAlign w:val="center"/>
          </w:tcPr>
          <w:p>
            <w:r/>
            <w:r>
              <w:rPr>
                <w:color w:val="3A3835"/>
                <w:sz w:val="18"/>
              </w:rPr>
              <w:t>Government productivity and digitisation agendas for the construction sector; potential grant eligibility for AI-enabled SME productivity tooling</w:t>
            </w:r>
          </w:p>
        </w:tc>
      </w:tr>
      <w:tr>
        <w:tc>
          <w:tcPr>
            <w:tcW w:type="dxa" w:w="4479"/>
            <w:tcMar>
              <w:top w:w="60" w:type="dxa"/>
              <w:bottom w:w="60" w:type="dxa"/>
              <w:left w:w="100" w:type="dxa"/>
              <w:right w:w="100" w:type="dxa"/>
            </w:tcMar>
            <w:vAlign w:val="center"/>
            <w:shd w:val="clear" w:color="auto" w:fill="F2EFEA"/>
          </w:tcPr>
          <w:p>
            <w:r/>
            <w:r>
              <w:rPr>
                <w:color w:val="3A3835"/>
                <w:sz w:val="18"/>
              </w:rPr>
              <w:t>Economic</w:t>
            </w:r>
          </w:p>
        </w:tc>
        <w:tc>
          <w:tcPr>
            <w:tcW w:type="dxa" w:w="4479"/>
            <w:tcMar>
              <w:top w:w="60" w:type="dxa"/>
              <w:bottom w:w="60" w:type="dxa"/>
              <w:left w:w="100" w:type="dxa"/>
              <w:right w:w="100" w:type="dxa"/>
            </w:tcMar>
            <w:vAlign w:val="center"/>
            <w:shd w:val="clear" w:color="auto" w:fill="F2EFEA"/>
          </w:tcPr>
          <w:p>
            <w:r/>
            <w:r>
              <w:rPr>
                <w:color w:val="3A3835"/>
                <w:sz w:val="18"/>
              </w:rPr>
              <w:t>Construction is cyclical; a downturn reduces new project volume but does not reduce the compliance and administrative burden on active projects — a partial natural hedge</w:t>
            </w:r>
          </w:p>
        </w:tc>
      </w:tr>
      <w:tr>
        <w:tc>
          <w:tcPr>
            <w:tcW w:type="dxa" w:w="4479"/>
            <w:tcMar>
              <w:top w:w="60" w:type="dxa"/>
              <w:bottom w:w="60" w:type="dxa"/>
              <w:left w:w="100" w:type="dxa"/>
              <w:right w:w="100" w:type="dxa"/>
            </w:tcMar>
            <w:vAlign w:val="center"/>
          </w:tcPr>
          <w:p>
            <w:r/>
            <w:r>
              <w:rPr>
                <w:color w:val="3A3835"/>
                <w:sz w:val="18"/>
              </w:rPr>
              <w:t>Social</w:t>
            </w:r>
          </w:p>
        </w:tc>
        <w:tc>
          <w:tcPr>
            <w:tcW w:type="dxa" w:w="4479"/>
            <w:tcMar>
              <w:top w:w="60" w:type="dxa"/>
              <w:bottom w:w="60" w:type="dxa"/>
              <w:left w:w="100" w:type="dxa"/>
              <w:right w:w="100" w:type="dxa"/>
            </w:tcMar>
            <w:vAlign w:val="center"/>
          </w:tcPr>
          <w:p>
            <w:r/>
            <w:r>
              <w:rPr>
                <w:color w:val="3A3835"/>
                <w:sz w:val="18"/>
              </w:rPr>
              <w:t>Persistent skills shortages in construction increase the value of software that lets existing staff do more administrative work in less time</w:t>
            </w:r>
          </w:p>
        </w:tc>
      </w:tr>
      <w:tr>
        <w:tc>
          <w:tcPr>
            <w:tcW w:type="dxa" w:w="4479"/>
            <w:tcMar>
              <w:top w:w="60" w:type="dxa"/>
              <w:bottom w:w="60" w:type="dxa"/>
              <w:left w:w="100" w:type="dxa"/>
              <w:right w:w="100" w:type="dxa"/>
            </w:tcMar>
            <w:vAlign w:val="center"/>
            <w:shd w:val="clear" w:color="auto" w:fill="F2EFEA"/>
          </w:tcPr>
          <w:p>
            <w:r/>
            <w:r>
              <w:rPr>
                <w:color w:val="3A3835"/>
                <w:sz w:val="18"/>
              </w:rPr>
              <w:t>Technological</w:t>
            </w:r>
          </w:p>
        </w:tc>
        <w:tc>
          <w:tcPr>
            <w:tcW w:type="dxa" w:w="4479"/>
            <w:tcMar>
              <w:top w:w="60" w:type="dxa"/>
              <w:bottom w:w="60" w:type="dxa"/>
              <w:left w:w="100" w:type="dxa"/>
              <w:right w:w="100" w:type="dxa"/>
            </w:tcMar>
            <w:vAlign w:val="center"/>
            <w:shd w:val="clear" w:color="auto" w:fill="F2EFEA"/>
          </w:tcPr>
          <w:p>
            <w:r/>
            <w:r>
              <w:rPr>
                <w:color w:val="3A3835"/>
                <w:sz w:val="18"/>
              </w:rPr>
              <w:t>Falling foundation-model inference costs make real-time AI document generation commercially viable at consumer SaaS price points</w:t>
            </w:r>
          </w:p>
        </w:tc>
      </w:tr>
      <w:tr>
        <w:tc>
          <w:tcPr>
            <w:tcW w:type="dxa" w:w="4479"/>
            <w:tcMar>
              <w:top w:w="60" w:type="dxa"/>
              <w:bottom w:w="60" w:type="dxa"/>
              <w:left w:w="100" w:type="dxa"/>
              <w:right w:w="100" w:type="dxa"/>
            </w:tcMar>
            <w:vAlign w:val="center"/>
          </w:tcPr>
          <w:p>
            <w:r/>
            <w:r>
              <w:rPr>
                <w:color w:val="3A3835"/>
                <w:sz w:val="18"/>
              </w:rPr>
              <w:t>Legal</w:t>
            </w:r>
          </w:p>
        </w:tc>
        <w:tc>
          <w:tcPr>
            <w:tcW w:type="dxa" w:w="4479"/>
            <w:tcMar>
              <w:top w:w="60" w:type="dxa"/>
              <w:bottom w:w="60" w:type="dxa"/>
              <w:left w:w="100" w:type="dxa"/>
              <w:right w:w="100" w:type="dxa"/>
            </w:tcMar>
            <w:vAlign w:val="center"/>
          </w:tcPr>
          <w:p>
            <w:r/>
            <w:r>
              <w:rPr>
                <w:color w:val="3A3835"/>
                <w:sz w:val="18"/>
              </w:rPr>
              <w:t>State-based security-of-payment legislation (BIF Act and equivalents), WHS Regulation, and Fair Work obligations create both the compliance need BIK addresses and the legal risk BIK must manage in its own output (Chapter 27)</w:t>
            </w:r>
          </w:p>
        </w:tc>
      </w:tr>
      <w:tr>
        <w:tc>
          <w:tcPr>
            <w:tcW w:type="dxa" w:w="4479"/>
            <w:tcMar>
              <w:top w:w="60" w:type="dxa"/>
              <w:bottom w:w="60" w:type="dxa"/>
              <w:left w:w="100" w:type="dxa"/>
              <w:right w:w="100" w:type="dxa"/>
            </w:tcMar>
            <w:vAlign w:val="center"/>
            <w:shd w:val="clear" w:color="auto" w:fill="F2EFEA"/>
          </w:tcPr>
          <w:p>
            <w:r/>
            <w:r>
              <w:rPr>
                <w:color w:val="3A3835"/>
                <w:sz w:val="18"/>
              </w:rPr>
              <w:t>Environmental</w:t>
            </w:r>
          </w:p>
        </w:tc>
        <w:tc>
          <w:tcPr>
            <w:tcW w:type="dxa" w:w="4479"/>
            <w:tcMar>
              <w:top w:w="60" w:type="dxa"/>
              <w:bottom w:w="60" w:type="dxa"/>
              <w:left w:w="100" w:type="dxa"/>
              <w:right w:w="100" w:type="dxa"/>
            </w:tcMar>
            <w:vAlign w:val="center"/>
            <w:shd w:val="clear" w:color="auto" w:fill="F2EFEA"/>
          </w:tcPr>
          <w:p>
            <w:r/>
            <w:r>
              <w:rPr>
                <w:color w:val="3A3835"/>
                <w:sz w:val="18"/>
              </w:rPr>
              <w:t>Growing use of digital record-keeping over paper aligns with broader sustainability and ESG reporting expectations, a secondary but real tailwind</w:t>
            </w:r>
          </w:p>
        </w:tc>
      </w:tr>
    </w:tbl>
    <w:p>
      <w:pPr>
        <w:spacing w:after="120"/>
      </w:pPr>
    </w:p>
    <w:p>
      <w:pPr>
        <w:pStyle w:val="BIKChapterLabel"/>
      </w:pPr>
      <w:r>
        <w:t>PART E — MARKET &amp; COMPETITION</w:t>
      </w:r>
    </w:p>
    <w:p>
      <w:pPr>
        <w:pStyle w:val="BIKChapterTitle"/>
        <w:pBdr>
          <w:bottom w:val="single" w:sz="18" w:space="8" w:color="D85A30"/>
        </w:pBdr>
      </w:pPr>
      <w:r>
        <w:t>17   Competitor Analysis</w:t>
      </w:r>
    </w:p>
    <w:p>
      <w:pPr>
        <w:pStyle w:val="BIKH1"/>
      </w:pPr>
      <w:r>
        <w:t>The Competitive Set</w:t>
      </w:r>
    </w:p>
    <w:p>
      <w:pPr>
        <w:pStyle w:val="BIKBody"/>
        <w:jc w:val="both"/>
      </w:pPr>
      <w:r>
        <w:t>BIK operates in a market with no single direct competitor and many adjacent ones. This chapter profiles thirteen companies BIK is most often compared against — construction- and trade-specific platforms, enterprise construction software, accounting platforms whose document workflows overlap with BIK's, and the generic AI tools that are BIK's most common substitute in practice.</w:t>
      </w:r>
    </w:p>
    <w:p>
      <w:pPr>
        <w:jc w:val="center"/>
      </w:pPr>
      <w:r>
        <w:drawing>
          <wp:inline xmlns:a="http://schemas.openxmlformats.org/drawingml/2006/main" xmlns:pic="http://schemas.openxmlformats.org/drawingml/2006/picture">
            <wp:extent cx="6035040" cy="5212920"/>
            <wp:docPr id="11" name="Picture 11"/>
            <wp:cNvGraphicFramePr>
              <a:graphicFrameLocks noChangeAspect="1"/>
            </wp:cNvGraphicFramePr>
            <a:graphic>
              <a:graphicData uri="http://schemas.openxmlformats.org/drawingml/2006/picture">
                <pic:pic>
                  <pic:nvPicPr>
                    <pic:cNvPr id="0" name="competitor_positioning.png"/>
                    <pic:cNvPicPr/>
                  </pic:nvPicPr>
                  <pic:blipFill>
                    <a:blip r:embed="rId20"/>
                    <a:stretch>
                      <a:fillRect/>
                    </a:stretch>
                  </pic:blipFill>
                  <pic:spPr>
                    <a:xfrm>
                      <a:off x="0" y="0"/>
                      <a:ext cx="6035040" cy="5212920"/>
                    </a:xfrm>
                    <a:prstGeom prst="rect"/>
                  </pic:spPr>
                </pic:pic>
              </a:graphicData>
            </a:graphic>
          </wp:inline>
        </w:drawing>
      </w:r>
    </w:p>
    <w:p>
      <w:pPr>
        <w:pStyle w:val="BIKCaption"/>
        <w:jc w:val="center"/>
      </w:pPr>
      <w:r>
        <w:t>Figure 17.1 — Competitor positioning map: AI-native depth vs enterprise scale/complexity</w:t>
      </w:r>
    </w:p>
    <w:p>
      <w:pPr>
        <w:pStyle w:val="BIKH1"/>
      </w:pPr>
      <w:r>
        <w:t>Pricing Comparison Matrix</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7"/>
              </w:rPr>
              <w:t>Platform</w:t>
            </w:r>
          </w:p>
        </w:tc>
        <w:tc>
          <w:tcPr>
            <w:tcW w:type="dxa" w:w="1792"/>
            <w:shd w:val="clear" w:color="auto" w:fill="252320"/>
            <w:tcMar>
              <w:top w:w="60" w:type="dxa"/>
              <w:bottom w:w="60" w:type="dxa"/>
              <w:left w:w="100" w:type="dxa"/>
              <w:right w:w="100" w:type="dxa"/>
            </w:tcMar>
            <w:vAlign w:val="center"/>
          </w:tcPr>
          <w:p>
            <w:r/>
            <w:r>
              <w:rPr>
                <w:b/>
                <w:color w:val="FFFFFF"/>
                <w:sz w:val="17"/>
              </w:rPr>
              <w:t>Entry price (indicative, AUD)</w:t>
            </w:r>
          </w:p>
        </w:tc>
        <w:tc>
          <w:tcPr>
            <w:tcW w:type="dxa" w:w="1792"/>
            <w:shd w:val="clear" w:color="auto" w:fill="252320"/>
            <w:tcMar>
              <w:top w:w="60" w:type="dxa"/>
              <w:bottom w:w="60" w:type="dxa"/>
              <w:left w:w="100" w:type="dxa"/>
              <w:right w:w="100" w:type="dxa"/>
            </w:tcMar>
            <w:vAlign w:val="center"/>
          </w:tcPr>
          <w:p>
            <w:r/>
            <w:r>
              <w:rPr>
                <w:b/>
                <w:color w:val="FFFFFF"/>
                <w:sz w:val="17"/>
              </w:rPr>
              <w:t>AI document generation?</w:t>
            </w:r>
          </w:p>
        </w:tc>
        <w:tc>
          <w:tcPr>
            <w:tcW w:type="dxa" w:w="1792"/>
            <w:shd w:val="clear" w:color="auto" w:fill="252320"/>
            <w:tcMar>
              <w:top w:w="60" w:type="dxa"/>
              <w:bottom w:w="60" w:type="dxa"/>
              <w:left w:w="100" w:type="dxa"/>
              <w:right w:w="100" w:type="dxa"/>
            </w:tcMar>
            <w:vAlign w:val="center"/>
          </w:tcPr>
          <w:p>
            <w:r/>
            <w:r>
              <w:rPr>
                <w:b/>
                <w:color w:val="FFFFFF"/>
                <w:sz w:val="17"/>
              </w:rPr>
              <w:t>AU compliance-native?</w:t>
            </w:r>
          </w:p>
        </w:tc>
        <w:tc>
          <w:tcPr>
            <w:tcW w:type="dxa" w:w="1792"/>
            <w:shd w:val="clear" w:color="auto" w:fill="252320"/>
            <w:tcMar>
              <w:top w:w="60" w:type="dxa"/>
              <w:bottom w:w="60" w:type="dxa"/>
              <w:left w:w="100" w:type="dxa"/>
              <w:right w:w="100" w:type="dxa"/>
            </w:tcMar>
            <w:vAlign w:val="center"/>
          </w:tcPr>
          <w:p>
            <w:r/>
            <w:r>
              <w:rPr>
                <w:b/>
                <w:color w:val="FFFFFF"/>
                <w:sz w:val="17"/>
              </w:rPr>
              <w:t>Target business size</w:t>
            </w:r>
          </w:p>
        </w:tc>
      </w:tr>
      <w:tr>
        <w:tc>
          <w:tcPr>
            <w:tcW w:type="dxa" w:w="1792"/>
            <w:tcMar>
              <w:top w:w="60" w:type="dxa"/>
              <w:bottom w:w="60" w:type="dxa"/>
              <w:left w:w="100" w:type="dxa"/>
              <w:right w:w="100" w:type="dxa"/>
            </w:tcMar>
            <w:vAlign w:val="center"/>
          </w:tcPr>
          <w:p>
            <w:r/>
            <w:r>
              <w:rPr>
                <w:color w:val="3A3835"/>
                <w:sz w:val="17"/>
              </w:rPr>
              <w:t>BIK Business Toolkit</w:t>
            </w:r>
          </w:p>
        </w:tc>
        <w:tc>
          <w:tcPr>
            <w:tcW w:type="dxa" w:w="1792"/>
            <w:tcMar>
              <w:top w:w="60" w:type="dxa"/>
              <w:bottom w:w="60" w:type="dxa"/>
              <w:left w:w="100" w:type="dxa"/>
              <w:right w:w="100" w:type="dxa"/>
            </w:tcMar>
            <w:vAlign w:val="center"/>
          </w:tcPr>
          <w:p>
            <w:r/>
            <w:r>
              <w:rPr>
                <w:color w:val="3A3835"/>
                <w:sz w:val="17"/>
              </w:rPr>
              <w:t>$0 free / $19–$99+</w:t>
            </w:r>
          </w:p>
        </w:tc>
        <w:tc>
          <w:tcPr>
            <w:tcW w:type="dxa" w:w="1792"/>
            <w:tcMar>
              <w:top w:w="60" w:type="dxa"/>
              <w:bottom w:w="60" w:type="dxa"/>
              <w:left w:w="100" w:type="dxa"/>
              <w:right w:w="100" w:type="dxa"/>
            </w:tcMar>
            <w:vAlign w:val="center"/>
          </w:tcPr>
          <w:p>
            <w:r/>
            <w:r>
              <w:rPr>
                <w:color w:val="3A3835"/>
                <w:sz w:val="17"/>
              </w:rPr>
              <w:t>Yes — purpose-built, governed (Decision 001)</w:t>
            </w:r>
          </w:p>
        </w:tc>
        <w:tc>
          <w:tcPr>
            <w:tcW w:type="dxa" w:w="1792"/>
            <w:tcMar>
              <w:top w:w="60" w:type="dxa"/>
              <w:bottom w:w="60" w:type="dxa"/>
              <w:left w:w="100" w:type="dxa"/>
              <w:right w:w="100" w:type="dxa"/>
            </w:tcMar>
            <w:vAlign w:val="center"/>
          </w:tcPr>
          <w:p>
            <w:r/>
            <w:r>
              <w:rPr>
                <w:color w:val="3A3835"/>
                <w:sz w:val="17"/>
              </w:rPr>
              <w:t>Yes — AU English, state SOP awareness, WHS-aware</w:t>
            </w:r>
          </w:p>
        </w:tc>
        <w:tc>
          <w:tcPr>
            <w:tcW w:type="dxa" w:w="1792"/>
            <w:tcMar>
              <w:top w:w="60" w:type="dxa"/>
              <w:bottom w:w="60" w:type="dxa"/>
              <w:left w:w="100" w:type="dxa"/>
              <w:right w:w="100" w:type="dxa"/>
            </w:tcMar>
            <w:vAlign w:val="center"/>
          </w:tcPr>
          <w:p>
            <w:r/>
            <w:r>
              <w:rPr>
                <w:color w:val="3A3835"/>
                <w:sz w:val="17"/>
              </w:rPr>
              <w:t>Sole trader – 20 staff (Enterprise beyond)</w:t>
            </w:r>
          </w:p>
        </w:tc>
      </w:tr>
      <w:tr>
        <w:tc>
          <w:tcPr>
            <w:tcW w:type="dxa" w:w="1792"/>
            <w:tcMar>
              <w:top w:w="60" w:type="dxa"/>
              <w:bottom w:w="60" w:type="dxa"/>
              <w:left w:w="100" w:type="dxa"/>
              <w:right w:w="100" w:type="dxa"/>
            </w:tcMar>
            <w:vAlign w:val="center"/>
            <w:shd w:val="clear" w:color="auto" w:fill="F2EFEA"/>
          </w:tcPr>
          <w:p>
            <w:r/>
            <w:r>
              <w:rPr>
                <w:color w:val="3A3835"/>
                <w:sz w:val="17"/>
              </w:rPr>
              <w:t>Buildxact</w:t>
            </w:r>
          </w:p>
        </w:tc>
        <w:tc>
          <w:tcPr>
            <w:tcW w:type="dxa" w:w="1792"/>
            <w:tcMar>
              <w:top w:w="60" w:type="dxa"/>
              <w:bottom w:w="60" w:type="dxa"/>
              <w:left w:w="100" w:type="dxa"/>
              <w:right w:w="100" w:type="dxa"/>
            </w:tcMar>
            <w:vAlign w:val="center"/>
            <w:shd w:val="clear" w:color="auto" w:fill="F2EFEA"/>
          </w:tcPr>
          <w:p>
            <w:r/>
            <w:r>
              <w:rPr>
                <w:color w:val="3A3835"/>
                <w:sz w:val="17"/>
              </w:rPr>
              <w:t>~$187/mo</w:t>
            </w:r>
          </w:p>
        </w:tc>
        <w:tc>
          <w:tcPr>
            <w:tcW w:type="dxa" w:w="1792"/>
            <w:tcMar>
              <w:top w:w="60" w:type="dxa"/>
              <w:bottom w:w="60" w:type="dxa"/>
              <w:left w:w="100" w:type="dxa"/>
              <w:right w:w="100" w:type="dxa"/>
            </w:tcMar>
            <w:vAlign w:val="center"/>
            <w:shd w:val="clear" w:color="auto" w:fill="F2EFEA"/>
          </w:tcPr>
          <w:p>
            <w:r/>
            <w:r>
              <w:rPr>
                <w:color w:val="3A3835"/>
                <w:sz w:val="17"/>
              </w:rPr>
              <w:t>No</w:t>
            </w:r>
          </w:p>
        </w:tc>
        <w:tc>
          <w:tcPr>
            <w:tcW w:type="dxa" w:w="1792"/>
            <w:tcMar>
              <w:top w:w="60" w:type="dxa"/>
              <w:bottom w:w="60" w:type="dxa"/>
              <w:left w:w="100" w:type="dxa"/>
              <w:right w:w="100" w:type="dxa"/>
            </w:tcMar>
            <w:vAlign w:val="center"/>
            <w:shd w:val="clear" w:color="auto" w:fill="F2EFEA"/>
          </w:tcPr>
          <w:p>
            <w:r/>
            <w:r>
              <w:rPr>
                <w:color w:val="3A3835"/>
                <w:sz w:val="17"/>
              </w:rPr>
              <w:t>Partial (AU estimating norms)</w:t>
            </w:r>
          </w:p>
        </w:tc>
        <w:tc>
          <w:tcPr>
            <w:tcW w:type="dxa" w:w="1792"/>
            <w:tcMar>
              <w:top w:w="60" w:type="dxa"/>
              <w:bottom w:w="60" w:type="dxa"/>
              <w:left w:w="100" w:type="dxa"/>
              <w:right w:w="100" w:type="dxa"/>
            </w:tcMar>
            <w:vAlign w:val="center"/>
            <w:shd w:val="clear" w:color="auto" w:fill="F2EFEA"/>
          </w:tcPr>
          <w:p>
            <w:r/>
            <w:r>
              <w:rPr>
                <w:color w:val="3A3835"/>
                <w:sz w:val="17"/>
              </w:rPr>
              <w:t>Residential builder, small-mid</w:t>
            </w:r>
          </w:p>
        </w:tc>
      </w:tr>
      <w:tr>
        <w:tc>
          <w:tcPr>
            <w:tcW w:type="dxa" w:w="1792"/>
            <w:tcMar>
              <w:top w:w="60" w:type="dxa"/>
              <w:bottom w:w="60" w:type="dxa"/>
              <w:left w:w="100" w:type="dxa"/>
              <w:right w:w="100" w:type="dxa"/>
            </w:tcMar>
            <w:vAlign w:val="center"/>
          </w:tcPr>
          <w:p>
            <w:r/>
            <w:r>
              <w:rPr>
                <w:color w:val="3A3835"/>
                <w:sz w:val="17"/>
              </w:rPr>
              <w:t>ServiceM8</w:t>
            </w:r>
          </w:p>
        </w:tc>
        <w:tc>
          <w:tcPr>
            <w:tcW w:type="dxa" w:w="1792"/>
            <w:tcMar>
              <w:top w:w="60" w:type="dxa"/>
              <w:bottom w:w="60" w:type="dxa"/>
              <w:left w:w="100" w:type="dxa"/>
              <w:right w:w="100" w:type="dxa"/>
            </w:tcMar>
            <w:vAlign w:val="center"/>
          </w:tcPr>
          <w:p>
            <w:r/>
            <w:r>
              <w:rPr>
                <w:color w:val="3A3835"/>
                <w:sz w:val="17"/>
              </w:rPr>
              <w:t>~$29/mo/user</w:t>
            </w:r>
          </w:p>
        </w:tc>
        <w:tc>
          <w:tcPr>
            <w:tcW w:type="dxa" w:w="1792"/>
            <w:tcMar>
              <w:top w:w="60" w:type="dxa"/>
              <w:bottom w:w="60" w:type="dxa"/>
              <w:left w:w="100" w:type="dxa"/>
              <w:right w:w="100" w:type="dxa"/>
            </w:tcMar>
            <w:vAlign w:val="center"/>
          </w:tcPr>
          <w:p>
            <w:r/>
            <w:r>
              <w:rPr>
                <w:color w:val="3A3835"/>
                <w:sz w:val="17"/>
              </w:rPr>
              <w:t>No</w:t>
            </w:r>
          </w:p>
        </w:tc>
        <w:tc>
          <w:tcPr>
            <w:tcW w:type="dxa" w:w="1792"/>
            <w:tcMar>
              <w:top w:w="60" w:type="dxa"/>
              <w:bottom w:w="60" w:type="dxa"/>
              <w:left w:w="100" w:type="dxa"/>
              <w:right w:w="100" w:type="dxa"/>
            </w:tcMar>
            <w:vAlign w:val="center"/>
          </w:tcPr>
          <w:p>
            <w:r/>
            <w:r>
              <w:rPr>
                <w:color w:val="3A3835"/>
                <w:sz w:val="17"/>
              </w:rPr>
              <w:t>Partial</w:t>
            </w:r>
          </w:p>
        </w:tc>
        <w:tc>
          <w:tcPr>
            <w:tcW w:type="dxa" w:w="1792"/>
            <w:tcMar>
              <w:top w:w="60" w:type="dxa"/>
              <w:bottom w:w="60" w:type="dxa"/>
              <w:left w:w="100" w:type="dxa"/>
              <w:right w:w="100" w:type="dxa"/>
            </w:tcMar>
            <w:vAlign w:val="center"/>
          </w:tcPr>
          <w:p>
            <w:r/>
            <w:r>
              <w:rPr>
                <w:color w:val="3A3835"/>
                <w:sz w:val="17"/>
              </w:rPr>
              <w:t>Solo trade – small team</w:t>
            </w:r>
          </w:p>
        </w:tc>
      </w:tr>
      <w:tr>
        <w:tc>
          <w:tcPr>
            <w:tcW w:type="dxa" w:w="1792"/>
            <w:tcMar>
              <w:top w:w="60" w:type="dxa"/>
              <w:bottom w:w="60" w:type="dxa"/>
              <w:left w:w="100" w:type="dxa"/>
              <w:right w:w="100" w:type="dxa"/>
            </w:tcMar>
            <w:vAlign w:val="center"/>
            <w:shd w:val="clear" w:color="auto" w:fill="F2EFEA"/>
          </w:tcPr>
          <w:p>
            <w:r/>
            <w:r>
              <w:rPr>
                <w:color w:val="3A3835"/>
                <w:sz w:val="17"/>
              </w:rPr>
              <w:t>simPRO</w:t>
            </w:r>
          </w:p>
        </w:tc>
        <w:tc>
          <w:tcPr>
            <w:tcW w:type="dxa" w:w="1792"/>
            <w:tcMar>
              <w:top w:w="60" w:type="dxa"/>
              <w:bottom w:w="60" w:type="dxa"/>
              <w:left w:w="100" w:type="dxa"/>
              <w:right w:w="100" w:type="dxa"/>
            </w:tcMar>
            <w:vAlign w:val="center"/>
            <w:shd w:val="clear" w:color="auto" w:fill="F2EFEA"/>
          </w:tcPr>
          <w:p>
            <w:r/>
            <w:r>
              <w:rPr>
                <w:color w:val="3A3835"/>
                <w:sz w:val="17"/>
              </w:rPr>
              <w:t>Custom / enterprise</w:t>
            </w:r>
          </w:p>
        </w:tc>
        <w:tc>
          <w:tcPr>
            <w:tcW w:type="dxa" w:w="1792"/>
            <w:tcMar>
              <w:top w:w="60" w:type="dxa"/>
              <w:bottom w:w="60" w:type="dxa"/>
              <w:left w:w="100" w:type="dxa"/>
              <w:right w:w="100" w:type="dxa"/>
            </w:tcMar>
            <w:vAlign w:val="center"/>
            <w:shd w:val="clear" w:color="auto" w:fill="F2EFEA"/>
          </w:tcPr>
          <w:p>
            <w:r/>
            <w:r>
              <w:rPr>
                <w:color w:val="3A3835"/>
                <w:sz w:val="17"/>
              </w:rPr>
              <w:t>No</w:t>
            </w:r>
          </w:p>
        </w:tc>
        <w:tc>
          <w:tcPr>
            <w:tcW w:type="dxa" w:w="1792"/>
            <w:tcMar>
              <w:top w:w="60" w:type="dxa"/>
              <w:bottom w:w="60" w:type="dxa"/>
              <w:left w:w="100" w:type="dxa"/>
              <w:right w:w="100" w:type="dxa"/>
            </w:tcMar>
            <w:vAlign w:val="center"/>
            <w:shd w:val="clear" w:color="auto" w:fill="F2EFEA"/>
          </w:tcPr>
          <w:p>
            <w:r/>
            <w:r>
              <w:rPr>
                <w:color w:val="3A3835"/>
                <w:sz w:val="17"/>
              </w:rPr>
              <w:t>Partial</w:t>
            </w:r>
          </w:p>
        </w:tc>
        <w:tc>
          <w:tcPr>
            <w:tcW w:type="dxa" w:w="1792"/>
            <w:tcMar>
              <w:top w:w="60" w:type="dxa"/>
              <w:bottom w:w="60" w:type="dxa"/>
              <w:left w:w="100" w:type="dxa"/>
              <w:right w:w="100" w:type="dxa"/>
            </w:tcMar>
            <w:vAlign w:val="center"/>
            <w:shd w:val="clear" w:color="auto" w:fill="F2EFEA"/>
          </w:tcPr>
          <w:p>
            <w:r/>
            <w:r>
              <w:rPr>
                <w:color w:val="3A3835"/>
                <w:sz w:val="17"/>
              </w:rPr>
              <w:t>Mid-large trade contractor</w:t>
            </w:r>
          </w:p>
        </w:tc>
      </w:tr>
      <w:tr>
        <w:tc>
          <w:tcPr>
            <w:tcW w:type="dxa" w:w="1792"/>
            <w:tcMar>
              <w:top w:w="60" w:type="dxa"/>
              <w:bottom w:w="60" w:type="dxa"/>
              <w:left w:w="100" w:type="dxa"/>
              <w:right w:w="100" w:type="dxa"/>
            </w:tcMar>
            <w:vAlign w:val="center"/>
          </w:tcPr>
          <w:p>
            <w:r/>
            <w:r>
              <w:rPr>
                <w:color w:val="3A3835"/>
                <w:sz w:val="17"/>
              </w:rPr>
              <w:t>AroFlo</w:t>
            </w:r>
          </w:p>
        </w:tc>
        <w:tc>
          <w:tcPr>
            <w:tcW w:type="dxa" w:w="1792"/>
            <w:tcMar>
              <w:top w:w="60" w:type="dxa"/>
              <w:bottom w:w="60" w:type="dxa"/>
              <w:left w:w="100" w:type="dxa"/>
              <w:right w:w="100" w:type="dxa"/>
            </w:tcMar>
            <w:vAlign w:val="center"/>
          </w:tcPr>
          <w:p>
            <w:r/>
            <w:r>
              <w:rPr>
                <w:color w:val="3A3835"/>
                <w:sz w:val="17"/>
              </w:rPr>
              <w:t>~$25/user/mo</w:t>
            </w:r>
          </w:p>
        </w:tc>
        <w:tc>
          <w:tcPr>
            <w:tcW w:type="dxa" w:w="1792"/>
            <w:tcMar>
              <w:top w:w="60" w:type="dxa"/>
              <w:bottom w:w="60" w:type="dxa"/>
              <w:left w:w="100" w:type="dxa"/>
              <w:right w:w="100" w:type="dxa"/>
            </w:tcMar>
            <w:vAlign w:val="center"/>
          </w:tcPr>
          <w:p>
            <w:r/>
            <w:r>
              <w:rPr>
                <w:color w:val="3A3835"/>
                <w:sz w:val="17"/>
              </w:rPr>
              <w:t>No</w:t>
            </w:r>
          </w:p>
        </w:tc>
        <w:tc>
          <w:tcPr>
            <w:tcW w:type="dxa" w:w="1792"/>
            <w:tcMar>
              <w:top w:w="60" w:type="dxa"/>
              <w:bottom w:w="60" w:type="dxa"/>
              <w:left w:w="100" w:type="dxa"/>
              <w:right w:w="100" w:type="dxa"/>
            </w:tcMar>
            <w:vAlign w:val="center"/>
          </w:tcPr>
          <w:p>
            <w:r/>
            <w:r>
              <w:rPr>
                <w:color w:val="3A3835"/>
                <w:sz w:val="17"/>
              </w:rPr>
              <w:t>Partial</w:t>
            </w:r>
          </w:p>
        </w:tc>
        <w:tc>
          <w:tcPr>
            <w:tcW w:type="dxa" w:w="1792"/>
            <w:tcMar>
              <w:top w:w="60" w:type="dxa"/>
              <w:bottom w:w="60" w:type="dxa"/>
              <w:left w:w="100" w:type="dxa"/>
              <w:right w:w="100" w:type="dxa"/>
            </w:tcMar>
            <w:vAlign w:val="center"/>
          </w:tcPr>
          <w:p>
            <w:r/>
            <w:r>
              <w:rPr>
                <w:color w:val="3A3835"/>
                <w:sz w:val="17"/>
              </w:rPr>
              <w:t>Solo trade – small team</w:t>
            </w:r>
          </w:p>
        </w:tc>
      </w:tr>
      <w:tr>
        <w:tc>
          <w:tcPr>
            <w:tcW w:type="dxa" w:w="1792"/>
            <w:tcMar>
              <w:top w:w="60" w:type="dxa"/>
              <w:bottom w:w="60" w:type="dxa"/>
              <w:left w:w="100" w:type="dxa"/>
              <w:right w:w="100" w:type="dxa"/>
            </w:tcMar>
            <w:vAlign w:val="center"/>
            <w:shd w:val="clear" w:color="auto" w:fill="F2EFEA"/>
          </w:tcPr>
          <w:p>
            <w:r/>
            <w:r>
              <w:rPr>
                <w:color w:val="3A3835"/>
                <w:sz w:val="17"/>
              </w:rPr>
              <w:t>Tradify</w:t>
            </w:r>
          </w:p>
        </w:tc>
        <w:tc>
          <w:tcPr>
            <w:tcW w:type="dxa" w:w="1792"/>
            <w:tcMar>
              <w:top w:w="60" w:type="dxa"/>
              <w:bottom w:w="60" w:type="dxa"/>
              <w:left w:w="100" w:type="dxa"/>
              <w:right w:w="100" w:type="dxa"/>
            </w:tcMar>
            <w:vAlign w:val="center"/>
            <w:shd w:val="clear" w:color="auto" w:fill="F2EFEA"/>
          </w:tcPr>
          <w:p>
            <w:r/>
            <w:r>
              <w:rPr>
                <w:color w:val="3A3835"/>
                <w:sz w:val="17"/>
              </w:rPr>
              <w:t>~$29/mo</w:t>
            </w:r>
          </w:p>
        </w:tc>
        <w:tc>
          <w:tcPr>
            <w:tcW w:type="dxa" w:w="1792"/>
            <w:tcMar>
              <w:top w:w="60" w:type="dxa"/>
              <w:bottom w:w="60" w:type="dxa"/>
              <w:left w:w="100" w:type="dxa"/>
              <w:right w:w="100" w:type="dxa"/>
            </w:tcMar>
            <w:vAlign w:val="center"/>
            <w:shd w:val="clear" w:color="auto" w:fill="F2EFEA"/>
          </w:tcPr>
          <w:p>
            <w:r/>
            <w:r>
              <w:rPr>
                <w:color w:val="3A3835"/>
                <w:sz w:val="17"/>
              </w:rPr>
              <w:t>No</w:t>
            </w:r>
          </w:p>
        </w:tc>
        <w:tc>
          <w:tcPr>
            <w:tcW w:type="dxa" w:w="1792"/>
            <w:tcMar>
              <w:top w:w="60" w:type="dxa"/>
              <w:bottom w:w="60" w:type="dxa"/>
              <w:left w:w="100" w:type="dxa"/>
              <w:right w:w="100" w:type="dxa"/>
            </w:tcMar>
            <w:vAlign w:val="center"/>
            <w:shd w:val="clear" w:color="auto" w:fill="F2EFEA"/>
          </w:tcPr>
          <w:p>
            <w:r/>
            <w:r>
              <w:rPr>
                <w:color w:val="3A3835"/>
                <w:sz w:val="17"/>
              </w:rPr>
              <w:t>Partial</w:t>
            </w:r>
          </w:p>
        </w:tc>
        <w:tc>
          <w:tcPr>
            <w:tcW w:type="dxa" w:w="1792"/>
            <w:tcMar>
              <w:top w:w="60" w:type="dxa"/>
              <w:bottom w:w="60" w:type="dxa"/>
              <w:left w:w="100" w:type="dxa"/>
              <w:right w:w="100" w:type="dxa"/>
            </w:tcMar>
            <w:vAlign w:val="center"/>
            <w:shd w:val="clear" w:color="auto" w:fill="F2EFEA"/>
          </w:tcPr>
          <w:p>
            <w:r/>
            <w:r>
              <w:rPr>
                <w:color w:val="3A3835"/>
                <w:sz w:val="17"/>
              </w:rPr>
              <w:t>Solo trade – small team</w:t>
            </w:r>
          </w:p>
        </w:tc>
      </w:tr>
      <w:tr>
        <w:tc>
          <w:tcPr>
            <w:tcW w:type="dxa" w:w="1792"/>
            <w:tcMar>
              <w:top w:w="60" w:type="dxa"/>
              <w:bottom w:w="60" w:type="dxa"/>
              <w:left w:w="100" w:type="dxa"/>
              <w:right w:w="100" w:type="dxa"/>
            </w:tcMar>
            <w:vAlign w:val="center"/>
          </w:tcPr>
          <w:p>
            <w:r/>
            <w:r>
              <w:rPr>
                <w:color w:val="3A3835"/>
                <w:sz w:val="17"/>
              </w:rPr>
              <w:t>Fergus</w:t>
            </w:r>
          </w:p>
        </w:tc>
        <w:tc>
          <w:tcPr>
            <w:tcW w:type="dxa" w:w="1792"/>
            <w:tcMar>
              <w:top w:w="60" w:type="dxa"/>
              <w:bottom w:w="60" w:type="dxa"/>
              <w:left w:w="100" w:type="dxa"/>
              <w:right w:w="100" w:type="dxa"/>
            </w:tcMar>
            <w:vAlign w:val="center"/>
          </w:tcPr>
          <w:p>
            <w:r/>
            <w:r>
              <w:rPr>
                <w:color w:val="3A3835"/>
                <w:sz w:val="17"/>
              </w:rPr>
              <w:t>~$29/user/mo</w:t>
            </w:r>
          </w:p>
        </w:tc>
        <w:tc>
          <w:tcPr>
            <w:tcW w:type="dxa" w:w="1792"/>
            <w:tcMar>
              <w:top w:w="60" w:type="dxa"/>
              <w:bottom w:w="60" w:type="dxa"/>
              <w:left w:w="100" w:type="dxa"/>
              <w:right w:w="100" w:type="dxa"/>
            </w:tcMar>
            <w:vAlign w:val="center"/>
          </w:tcPr>
          <w:p>
            <w:r/>
            <w:r>
              <w:rPr>
                <w:color w:val="3A3835"/>
                <w:sz w:val="17"/>
              </w:rPr>
              <w:t>No</w:t>
            </w:r>
          </w:p>
        </w:tc>
        <w:tc>
          <w:tcPr>
            <w:tcW w:type="dxa" w:w="1792"/>
            <w:tcMar>
              <w:top w:w="60" w:type="dxa"/>
              <w:bottom w:w="60" w:type="dxa"/>
              <w:left w:w="100" w:type="dxa"/>
              <w:right w:w="100" w:type="dxa"/>
            </w:tcMar>
            <w:vAlign w:val="center"/>
          </w:tcPr>
          <w:p>
            <w:r/>
            <w:r>
              <w:rPr>
                <w:color w:val="3A3835"/>
                <w:sz w:val="17"/>
              </w:rPr>
              <w:t>Partial (AU/NZ)</w:t>
            </w:r>
          </w:p>
        </w:tc>
        <w:tc>
          <w:tcPr>
            <w:tcW w:type="dxa" w:w="1792"/>
            <w:tcMar>
              <w:top w:w="60" w:type="dxa"/>
              <w:bottom w:w="60" w:type="dxa"/>
              <w:left w:w="100" w:type="dxa"/>
              <w:right w:w="100" w:type="dxa"/>
            </w:tcMar>
            <w:vAlign w:val="center"/>
          </w:tcPr>
          <w:p>
            <w:r/>
            <w:r>
              <w:rPr>
                <w:color w:val="3A3835"/>
                <w:sz w:val="17"/>
              </w:rPr>
              <w:t>Solo trade – small team</w:t>
            </w:r>
          </w:p>
        </w:tc>
      </w:tr>
      <w:tr>
        <w:tc>
          <w:tcPr>
            <w:tcW w:type="dxa" w:w="1792"/>
            <w:tcMar>
              <w:top w:w="60" w:type="dxa"/>
              <w:bottom w:w="60" w:type="dxa"/>
              <w:left w:w="100" w:type="dxa"/>
              <w:right w:w="100" w:type="dxa"/>
            </w:tcMar>
            <w:vAlign w:val="center"/>
            <w:shd w:val="clear" w:color="auto" w:fill="F2EFEA"/>
          </w:tcPr>
          <w:p>
            <w:r/>
            <w:r>
              <w:rPr>
                <w:color w:val="3A3835"/>
                <w:sz w:val="17"/>
              </w:rPr>
              <w:t>Buildertrend</w:t>
            </w:r>
          </w:p>
        </w:tc>
        <w:tc>
          <w:tcPr>
            <w:tcW w:type="dxa" w:w="1792"/>
            <w:tcMar>
              <w:top w:w="60" w:type="dxa"/>
              <w:bottom w:w="60" w:type="dxa"/>
              <w:left w:w="100" w:type="dxa"/>
              <w:right w:w="100" w:type="dxa"/>
            </w:tcMar>
            <w:vAlign w:val="center"/>
            <w:shd w:val="clear" w:color="auto" w:fill="F2EFEA"/>
          </w:tcPr>
          <w:p>
            <w:r/>
            <w:r>
              <w:rPr>
                <w:color w:val="3A3835"/>
                <w:sz w:val="17"/>
              </w:rPr>
              <w:t>~US$199/mo</w:t>
            </w:r>
          </w:p>
        </w:tc>
        <w:tc>
          <w:tcPr>
            <w:tcW w:type="dxa" w:w="1792"/>
            <w:tcMar>
              <w:top w:w="60" w:type="dxa"/>
              <w:bottom w:w="60" w:type="dxa"/>
              <w:left w:w="100" w:type="dxa"/>
              <w:right w:w="100" w:type="dxa"/>
            </w:tcMar>
            <w:vAlign w:val="center"/>
            <w:shd w:val="clear" w:color="auto" w:fill="F2EFEA"/>
          </w:tcPr>
          <w:p>
            <w:r/>
            <w:r>
              <w:rPr>
                <w:color w:val="3A3835"/>
                <w:sz w:val="17"/>
              </w:rPr>
              <w:t>No</w:t>
            </w:r>
          </w:p>
        </w:tc>
        <w:tc>
          <w:tcPr>
            <w:tcW w:type="dxa" w:w="1792"/>
            <w:tcMar>
              <w:top w:w="60" w:type="dxa"/>
              <w:bottom w:w="60" w:type="dxa"/>
              <w:left w:w="100" w:type="dxa"/>
              <w:right w:w="100" w:type="dxa"/>
            </w:tcMar>
            <w:vAlign w:val="center"/>
            <w:shd w:val="clear" w:color="auto" w:fill="F2EFEA"/>
          </w:tcPr>
          <w:p>
            <w:r/>
            <w:r>
              <w:rPr>
                <w:color w:val="3A3835"/>
                <w:sz w:val="17"/>
              </w:rPr>
              <w:t>No — US-centric</w:t>
            </w:r>
          </w:p>
        </w:tc>
        <w:tc>
          <w:tcPr>
            <w:tcW w:type="dxa" w:w="1792"/>
            <w:tcMar>
              <w:top w:w="60" w:type="dxa"/>
              <w:bottom w:w="60" w:type="dxa"/>
              <w:left w:w="100" w:type="dxa"/>
              <w:right w:w="100" w:type="dxa"/>
            </w:tcMar>
            <w:vAlign w:val="center"/>
            <w:shd w:val="clear" w:color="auto" w:fill="F2EFEA"/>
          </w:tcPr>
          <w:p>
            <w:r/>
            <w:r>
              <w:rPr>
                <w:color w:val="3A3835"/>
                <w:sz w:val="17"/>
              </w:rPr>
              <w:t>Residential builder</w:t>
            </w:r>
          </w:p>
        </w:tc>
      </w:tr>
      <w:tr>
        <w:tc>
          <w:tcPr>
            <w:tcW w:type="dxa" w:w="1792"/>
            <w:tcMar>
              <w:top w:w="60" w:type="dxa"/>
              <w:bottom w:w="60" w:type="dxa"/>
              <w:left w:w="100" w:type="dxa"/>
              <w:right w:w="100" w:type="dxa"/>
            </w:tcMar>
            <w:vAlign w:val="center"/>
          </w:tcPr>
          <w:p>
            <w:r/>
            <w:r>
              <w:rPr>
                <w:color w:val="3A3835"/>
                <w:sz w:val="17"/>
              </w:rPr>
              <w:t>Procore</w:t>
            </w:r>
          </w:p>
        </w:tc>
        <w:tc>
          <w:tcPr>
            <w:tcW w:type="dxa" w:w="1792"/>
            <w:tcMar>
              <w:top w:w="60" w:type="dxa"/>
              <w:bottom w:w="60" w:type="dxa"/>
              <w:left w:w="100" w:type="dxa"/>
              <w:right w:w="100" w:type="dxa"/>
            </w:tcMar>
            <w:vAlign w:val="center"/>
          </w:tcPr>
          <w:p>
            <w:r/>
            <w:r>
              <w:rPr>
                <w:color w:val="3A3835"/>
                <w:sz w:val="17"/>
              </w:rPr>
              <w:t>Custom / enterprise</w:t>
            </w:r>
          </w:p>
        </w:tc>
        <w:tc>
          <w:tcPr>
            <w:tcW w:type="dxa" w:w="1792"/>
            <w:tcMar>
              <w:top w:w="60" w:type="dxa"/>
              <w:bottom w:w="60" w:type="dxa"/>
              <w:left w:w="100" w:type="dxa"/>
              <w:right w:w="100" w:type="dxa"/>
            </w:tcMar>
            <w:vAlign w:val="center"/>
          </w:tcPr>
          <w:p>
            <w:r/>
            <w:r>
              <w:rPr>
                <w:color w:val="3A3835"/>
                <w:sz w:val="17"/>
              </w:rPr>
              <w:t>Limited (enterprise AI features emerging)</w:t>
            </w:r>
          </w:p>
        </w:tc>
        <w:tc>
          <w:tcPr>
            <w:tcW w:type="dxa" w:w="1792"/>
            <w:tcMar>
              <w:top w:w="60" w:type="dxa"/>
              <w:bottom w:w="60" w:type="dxa"/>
              <w:left w:w="100" w:type="dxa"/>
              <w:right w:w="100" w:type="dxa"/>
            </w:tcMar>
            <w:vAlign w:val="center"/>
          </w:tcPr>
          <w:p>
            <w:r/>
            <w:r>
              <w:rPr>
                <w:color w:val="3A3835"/>
                <w:sz w:val="17"/>
              </w:rPr>
              <w:t>Partial</w:t>
            </w:r>
          </w:p>
        </w:tc>
        <w:tc>
          <w:tcPr>
            <w:tcW w:type="dxa" w:w="1792"/>
            <w:tcMar>
              <w:top w:w="60" w:type="dxa"/>
              <w:bottom w:w="60" w:type="dxa"/>
              <w:left w:w="100" w:type="dxa"/>
              <w:right w:w="100" w:type="dxa"/>
            </w:tcMar>
            <w:vAlign w:val="center"/>
          </w:tcPr>
          <w:p>
            <w:r/>
            <w:r>
              <w:rPr>
                <w:color w:val="3A3835"/>
                <w:sz w:val="17"/>
              </w:rPr>
              <w:t>Large builder / head contractor</w:t>
            </w:r>
          </w:p>
        </w:tc>
      </w:tr>
      <w:tr>
        <w:tc>
          <w:tcPr>
            <w:tcW w:type="dxa" w:w="1792"/>
            <w:tcMar>
              <w:top w:w="60" w:type="dxa"/>
              <w:bottom w:w="60" w:type="dxa"/>
              <w:left w:w="100" w:type="dxa"/>
              <w:right w:w="100" w:type="dxa"/>
            </w:tcMar>
            <w:vAlign w:val="center"/>
            <w:shd w:val="clear" w:color="auto" w:fill="F2EFEA"/>
          </w:tcPr>
          <w:p>
            <w:r/>
            <w:r>
              <w:rPr>
                <w:color w:val="3A3835"/>
                <w:sz w:val="17"/>
              </w:rPr>
              <w:t>Autodesk Construction Cloud</w:t>
            </w:r>
          </w:p>
        </w:tc>
        <w:tc>
          <w:tcPr>
            <w:tcW w:type="dxa" w:w="1792"/>
            <w:tcMar>
              <w:top w:w="60" w:type="dxa"/>
              <w:bottom w:w="60" w:type="dxa"/>
              <w:left w:w="100" w:type="dxa"/>
              <w:right w:w="100" w:type="dxa"/>
            </w:tcMar>
            <w:vAlign w:val="center"/>
            <w:shd w:val="clear" w:color="auto" w:fill="F2EFEA"/>
          </w:tcPr>
          <w:p>
            <w:r/>
            <w:r>
              <w:rPr>
                <w:color w:val="3A3835"/>
                <w:sz w:val="17"/>
              </w:rPr>
              <w:t>Custom / enterprise</w:t>
            </w:r>
          </w:p>
        </w:tc>
        <w:tc>
          <w:tcPr>
            <w:tcW w:type="dxa" w:w="1792"/>
            <w:tcMar>
              <w:top w:w="60" w:type="dxa"/>
              <w:bottom w:w="60" w:type="dxa"/>
              <w:left w:w="100" w:type="dxa"/>
              <w:right w:w="100" w:type="dxa"/>
            </w:tcMar>
            <w:vAlign w:val="center"/>
            <w:shd w:val="clear" w:color="auto" w:fill="F2EFEA"/>
          </w:tcPr>
          <w:p>
            <w:r/>
            <w:r>
              <w:rPr>
                <w:color w:val="3A3835"/>
                <w:sz w:val="17"/>
              </w:rPr>
              <w:t>Limited</w:t>
            </w:r>
          </w:p>
        </w:tc>
        <w:tc>
          <w:tcPr>
            <w:tcW w:type="dxa" w:w="1792"/>
            <w:tcMar>
              <w:top w:w="60" w:type="dxa"/>
              <w:bottom w:w="60" w:type="dxa"/>
              <w:left w:w="100" w:type="dxa"/>
              <w:right w:w="100" w:type="dxa"/>
            </w:tcMar>
            <w:vAlign w:val="center"/>
            <w:shd w:val="clear" w:color="auto" w:fill="F2EFEA"/>
          </w:tcPr>
          <w:p>
            <w:r/>
            <w:r>
              <w:rPr>
                <w:color w:val="3A3835"/>
                <w:sz w:val="17"/>
              </w:rPr>
              <w:t>Partial</w:t>
            </w:r>
          </w:p>
        </w:tc>
        <w:tc>
          <w:tcPr>
            <w:tcW w:type="dxa" w:w="1792"/>
            <w:tcMar>
              <w:top w:w="60" w:type="dxa"/>
              <w:bottom w:w="60" w:type="dxa"/>
              <w:left w:w="100" w:type="dxa"/>
              <w:right w:w="100" w:type="dxa"/>
            </w:tcMar>
            <w:vAlign w:val="center"/>
            <w:shd w:val="clear" w:color="auto" w:fill="F2EFEA"/>
          </w:tcPr>
          <w:p>
            <w:r/>
            <w:r>
              <w:rPr>
                <w:color w:val="3A3835"/>
                <w:sz w:val="17"/>
              </w:rPr>
              <w:t>Enterprise / large builder</w:t>
            </w:r>
          </w:p>
        </w:tc>
      </w:tr>
      <w:tr>
        <w:tc>
          <w:tcPr>
            <w:tcW w:type="dxa" w:w="1792"/>
            <w:tcMar>
              <w:top w:w="60" w:type="dxa"/>
              <w:bottom w:w="60" w:type="dxa"/>
              <w:left w:w="100" w:type="dxa"/>
              <w:right w:w="100" w:type="dxa"/>
            </w:tcMar>
            <w:vAlign w:val="center"/>
          </w:tcPr>
          <w:p>
            <w:r/>
            <w:r>
              <w:rPr>
                <w:color w:val="3A3835"/>
                <w:sz w:val="17"/>
              </w:rPr>
              <w:t>Oracle Aconex</w:t>
            </w:r>
          </w:p>
        </w:tc>
        <w:tc>
          <w:tcPr>
            <w:tcW w:type="dxa" w:w="1792"/>
            <w:tcMar>
              <w:top w:w="60" w:type="dxa"/>
              <w:bottom w:w="60" w:type="dxa"/>
              <w:left w:w="100" w:type="dxa"/>
              <w:right w:w="100" w:type="dxa"/>
            </w:tcMar>
            <w:vAlign w:val="center"/>
          </w:tcPr>
          <w:p>
            <w:r/>
            <w:r>
              <w:rPr>
                <w:color w:val="3A3835"/>
                <w:sz w:val="17"/>
              </w:rPr>
              <w:t>Custom / enterprise</w:t>
            </w:r>
          </w:p>
        </w:tc>
        <w:tc>
          <w:tcPr>
            <w:tcW w:type="dxa" w:w="1792"/>
            <w:tcMar>
              <w:top w:w="60" w:type="dxa"/>
              <w:bottom w:w="60" w:type="dxa"/>
              <w:left w:w="100" w:type="dxa"/>
              <w:right w:w="100" w:type="dxa"/>
            </w:tcMar>
            <w:vAlign w:val="center"/>
          </w:tcPr>
          <w:p>
            <w:r/>
            <w:r>
              <w:rPr>
                <w:color w:val="3A3835"/>
                <w:sz w:val="17"/>
              </w:rPr>
              <w:t>No</w:t>
            </w:r>
          </w:p>
        </w:tc>
        <w:tc>
          <w:tcPr>
            <w:tcW w:type="dxa" w:w="1792"/>
            <w:tcMar>
              <w:top w:w="60" w:type="dxa"/>
              <w:bottom w:w="60" w:type="dxa"/>
              <w:left w:w="100" w:type="dxa"/>
              <w:right w:w="100" w:type="dxa"/>
            </w:tcMar>
            <w:vAlign w:val="center"/>
          </w:tcPr>
          <w:p>
            <w:r/>
            <w:r>
              <w:rPr>
                <w:color w:val="3A3835"/>
                <w:sz w:val="17"/>
              </w:rPr>
              <w:t>Partial</w:t>
            </w:r>
          </w:p>
        </w:tc>
        <w:tc>
          <w:tcPr>
            <w:tcW w:type="dxa" w:w="1792"/>
            <w:tcMar>
              <w:top w:w="60" w:type="dxa"/>
              <w:bottom w:w="60" w:type="dxa"/>
              <w:left w:w="100" w:type="dxa"/>
              <w:right w:w="100" w:type="dxa"/>
            </w:tcMar>
            <w:vAlign w:val="center"/>
          </w:tcPr>
          <w:p>
            <w:r/>
            <w:r>
              <w:rPr>
                <w:color w:val="3A3835"/>
                <w:sz w:val="17"/>
              </w:rPr>
              <w:t>Major/mega projects</w:t>
            </w:r>
          </w:p>
        </w:tc>
      </w:tr>
      <w:tr>
        <w:tc>
          <w:tcPr>
            <w:tcW w:type="dxa" w:w="1792"/>
            <w:tcMar>
              <w:top w:w="60" w:type="dxa"/>
              <w:bottom w:w="60" w:type="dxa"/>
              <w:left w:w="100" w:type="dxa"/>
              <w:right w:w="100" w:type="dxa"/>
            </w:tcMar>
            <w:vAlign w:val="center"/>
            <w:shd w:val="clear" w:color="auto" w:fill="F2EFEA"/>
          </w:tcPr>
          <w:p>
            <w:r/>
            <w:r>
              <w:rPr>
                <w:color w:val="3A3835"/>
                <w:sz w:val="17"/>
              </w:rPr>
              <w:t>Xero / MYOB / QuickBooks</w:t>
            </w:r>
          </w:p>
        </w:tc>
        <w:tc>
          <w:tcPr>
            <w:tcW w:type="dxa" w:w="1792"/>
            <w:tcMar>
              <w:top w:w="60" w:type="dxa"/>
              <w:bottom w:w="60" w:type="dxa"/>
              <w:left w:w="100" w:type="dxa"/>
              <w:right w:w="100" w:type="dxa"/>
            </w:tcMar>
            <w:vAlign w:val="center"/>
            <w:shd w:val="clear" w:color="auto" w:fill="F2EFEA"/>
          </w:tcPr>
          <w:p>
            <w:r/>
            <w:r>
              <w:rPr>
                <w:color w:val="3A3835"/>
                <w:sz w:val="17"/>
              </w:rPr>
              <w:t>~$15–$70/mo</w:t>
            </w:r>
          </w:p>
        </w:tc>
        <w:tc>
          <w:tcPr>
            <w:tcW w:type="dxa" w:w="1792"/>
            <w:tcMar>
              <w:top w:w="60" w:type="dxa"/>
              <w:bottom w:w="60" w:type="dxa"/>
              <w:left w:w="100" w:type="dxa"/>
              <w:right w:w="100" w:type="dxa"/>
            </w:tcMar>
            <w:vAlign w:val="center"/>
            <w:shd w:val="clear" w:color="auto" w:fill="F2EFEA"/>
          </w:tcPr>
          <w:p>
            <w:r/>
            <w:r>
              <w:rPr>
                <w:color w:val="3A3835"/>
                <w:sz w:val="17"/>
              </w:rPr>
              <w:t>No (accounting-only)</w:t>
            </w:r>
          </w:p>
        </w:tc>
        <w:tc>
          <w:tcPr>
            <w:tcW w:type="dxa" w:w="1792"/>
            <w:tcMar>
              <w:top w:w="60" w:type="dxa"/>
              <w:bottom w:w="60" w:type="dxa"/>
              <w:left w:w="100" w:type="dxa"/>
              <w:right w:w="100" w:type="dxa"/>
            </w:tcMar>
            <w:vAlign w:val="center"/>
            <w:shd w:val="clear" w:color="auto" w:fill="F2EFEA"/>
          </w:tcPr>
          <w:p>
            <w:r/>
            <w:r>
              <w:rPr>
                <w:color w:val="3A3835"/>
                <w:sz w:val="17"/>
              </w:rPr>
              <w:t>Yes (tax/compliance only)</w:t>
            </w:r>
          </w:p>
        </w:tc>
        <w:tc>
          <w:tcPr>
            <w:tcW w:type="dxa" w:w="1792"/>
            <w:tcMar>
              <w:top w:w="60" w:type="dxa"/>
              <w:bottom w:w="60" w:type="dxa"/>
              <w:left w:w="100" w:type="dxa"/>
              <w:right w:w="100" w:type="dxa"/>
            </w:tcMar>
            <w:vAlign w:val="center"/>
            <w:shd w:val="clear" w:color="auto" w:fill="F2EFEA"/>
          </w:tcPr>
          <w:p>
            <w:r/>
            <w:r>
              <w:rPr>
                <w:color w:val="3A3835"/>
                <w:sz w:val="17"/>
              </w:rPr>
              <w:t>All AU SMEs — complementary to BIK</w:t>
            </w:r>
          </w:p>
        </w:tc>
      </w:tr>
      <w:tr>
        <w:tc>
          <w:tcPr>
            <w:tcW w:type="dxa" w:w="1792"/>
            <w:tcMar>
              <w:top w:w="60" w:type="dxa"/>
              <w:bottom w:w="60" w:type="dxa"/>
              <w:left w:w="100" w:type="dxa"/>
              <w:right w:w="100" w:type="dxa"/>
            </w:tcMar>
            <w:vAlign w:val="center"/>
          </w:tcPr>
          <w:p>
            <w:r/>
            <w:r>
              <w:rPr>
                <w:color w:val="3A3835"/>
                <w:sz w:val="17"/>
              </w:rPr>
              <w:t>Generic AI (ChatGPT-class)</w:t>
            </w:r>
          </w:p>
        </w:tc>
        <w:tc>
          <w:tcPr>
            <w:tcW w:type="dxa" w:w="1792"/>
            <w:tcMar>
              <w:top w:w="60" w:type="dxa"/>
              <w:bottom w:w="60" w:type="dxa"/>
              <w:left w:w="100" w:type="dxa"/>
              <w:right w:w="100" w:type="dxa"/>
            </w:tcMar>
            <w:vAlign w:val="center"/>
          </w:tcPr>
          <w:p>
            <w:r/>
            <w:r>
              <w:rPr>
                <w:color w:val="3A3835"/>
                <w:sz w:val="17"/>
              </w:rPr>
              <w:t>$0–$30/mo</w:t>
            </w:r>
          </w:p>
        </w:tc>
        <w:tc>
          <w:tcPr>
            <w:tcW w:type="dxa" w:w="1792"/>
            <w:tcMar>
              <w:top w:w="60" w:type="dxa"/>
              <w:bottom w:w="60" w:type="dxa"/>
              <w:left w:w="100" w:type="dxa"/>
              <w:right w:w="100" w:type="dxa"/>
            </w:tcMar>
            <w:vAlign w:val="center"/>
          </w:tcPr>
          <w:p>
            <w:r/>
            <w:r>
              <w:rPr>
                <w:color w:val="3A3835"/>
                <w:sz w:val="17"/>
              </w:rPr>
              <w:t>Yes — but ungoverned, no construction schema</w:t>
            </w:r>
          </w:p>
        </w:tc>
        <w:tc>
          <w:tcPr>
            <w:tcW w:type="dxa" w:w="1792"/>
            <w:tcMar>
              <w:top w:w="60" w:type="dxa"/>
              <w:bottom w:w="60" w:type="dxa"/>
              <w:left w:w="100" w:type="dxa"/>
              <w:right w:w="100" w:type="dxa"/>
            </w:tcMar>
            <w:vAlign w:val="center"/>
          </w:tcPr>
          <w:p>
            <w:r/>
            <w:r>
              <w:rPr>
                <w:color w:val="3A3835"/>
                <w:sz w:val="17"/>
              </w:rPr>
              <w:t>No</w:t>
            </w:r>
          </w:p>
        </w:tc>
        <w:tc>
          <w:tcPr>
            <w:tcW w:type="dxa" w:w="1792"/>
            <w:tcMar>
              <w:top w:w="60" w:type="dxa"/>
              <w:bottom w:w="60" w:type="dxa"/>
              <w:left w:w="100" w:type="dxa"/>
              <w:right w:w="100" w:type="dxa"/>
            </w:tcMar>
            <w:vAlign w:val="center"/>
          </w:tcPr>
          <w:p>
            <w:r/>
            <w:r>
              <w:rPr>
                <w:color w:val="3A3835"/>
                <w:sz w:val="17"/>
              </w:rPr>
              <w:t>Anyone — BIK's true substitute competitor</w:t>
            </w:r>
          </w:p>
        </w:tc>
      </w:tr>
    </w:tbl>
    <w:p>
      <w:pPr>
        <w:pStyle w:val="BIKCaption"/>
        <w:jc w:val="center"/>
      </w:pPr>
      <w:r>
        <w:t>Indicative pricing collected from public pricing pages as at mid-2026; competitor pricing changes frequently and should be independently verified before any commercial claim is made from this table.</w:t>
      </w:r>
    </w:p>
    <w:p>
      <w:pPr>
        <w:pStyle w:val="BIKH2"/>
      </w:pPr>
      <w:r>
        <w:t>TRADE &amp; FIELD-SERVICE MANAGEMENT PLATFORMS</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8"/>
              </w:rPr>
              <w:t>Competitor</w:t>
            </w:r>
          </w:p>
        </w:tc>
        <w:tc>
          <w:tcPr>
            <w:tcW w:type="dxa" w:w="1792"/>
            <w:shd w:val="clear" w:color="auto" w:fill="252320"/>
            <w:tcMar>
              <w:top w:w="60" w:type="dxa"/>
              <w:bottom w:w="60" w:type="dxa"/>
              <w:left w:w="100" w:type="dxa"/>
              <w:right w:w="100" w:type="dxa"/>
            </w:tcMar>
            <w:vAlign w:val="center"/>
          </w:tcPr>
          <w:p>
            <w:r/>
            <w:r>
              <w:rPr>
                <w:b/>
                <w:color w:val="FFFFFF"/>
                <w:sz w:val="18"/>
              </w:rPr>
              <w:t>Core focus</w:t>
            </w:r>
          </w:p>
        </w:tc>
        <w:tc>
          <w:tcPr>
            <w:tcW w:type="dxa" w:w="1792"/>
            <w:shd w:val="clear" w:color="auto" w:fill="252320"/>
            <w:tcMar>
              <w:top w:w="60" w:type="dxa"/>
              <w:bottom w:w="60" w:type="dxa"/>
              <w:left w:w="100" w:type="dxa"/>
              <w:right w:w="100" w:type="dxa"/>
            </w:tcMar>
            <w:vAlign w:val="center"/>
          </w:tcPr>
          <w:p>
            <w:r/>
            <w:r>
              <w:rPr>
                <w:b/>
                <w:color w:val="FFFFFF"/>
                <w:sz w:val="18"/>
              </w:rPr>
              <w:t>Pricing (indicative, AUD)</w:t>
            </w:r>
          </w:p>
        </w:tc>
        <w:tc>
          <w:tcPr>
            <w:tcW w:type="dxa" w:w="1792"/>
            <w:shd w:val="clear" w:color="auto" w:fill="252320"/>
            <w:tcMar>
              <w:top w:w="60" w:type="dxa"/>
              <w:bottom w:w="60" w:type="dxa"/>
              <w:left w:w="100" w:type="dxa"/>
              <w:right w:w="100" w:type="dxa"/>
            </w:tcMar>
            <w:vAlign w:val="center"/>
          </w:tcPr>
          <w:p>
            <w:r/>
            <w:r>
              <w:rPr>
                <w:b/>
                <w:color w:val="FFFFFF"/>
                <w:sz w:val="18"/>
              </w:rPr>
              <w:t>Strength</w:t>
            </w:r>
          </w:p>
        </w:tc>
        <w:tc>
          <w:tcPr>
            <w:tcW w:type="dxa" w:w="1792"/>
            <w:shd w:val="clear" w:color="auto" w:fill="252320"/>
            <w:tcMar>
              <w:top w:w="60" w:type="dxa"/>
              <w:bottom w:w="60" w:type="dxa"/>
              <w:left w:w="100" w:type="dxa"/>
              <w:right w:w="100" w:type="dxa"/>
            </w:tcMar>
            <w:vAlign w:val="center"/>
          </w:tcPr>
          <w:p>
            <w:r/>
            <w:r>
              <w:rPr>
                <w:b/>
                <w:color w:val="FFFFFF"/>
                <w:sz w:val="18"/>
              </w:rPr>
              <w:t>Where BIK differentiates</w:t>
            </w:r>
          </w:p>
        </w:tc>
      </w:tr>
      <w:tr>
        <w:tc>
          <w:tcPr>
            <w:tcW w:type="dxa" w:w="1792"/>
            <w:tcMar>
              <w:top w:w="60" w:type="dxa"/>
              <w:bottom w:w="60" w:type="dxa"/>
              <w:left w:w="100" w:type="dxa"/>
              <w:right w:w="100" w:type="dxa"/>
            </w:tcMar>
            <w:vAlign w:val="center"/>
          </w:tcPr>
          <w:p>
            <w:r/>
            <w:r>
              <w:rPr>
                <w:color w:val="3A3835"/>
                <w:sz w:val="18"/>
              </w:rPr>
              <w:t>Buildxact</w:t>
            </w:r>
          </w:p>
        </w:tc>
        <w:tc>
          <w:tcPr>
            <w:tcW w:type="dxa" w:w="1792"/>
            <w:tcMar>
              <w:top w:w="60" w:type="dxa"/>
              <w:bottom w:w="60" w:type="dxa"/>
              <w:left w:w="100" w:type="dxa"/>
              <w:right w:w="100" w:type="dxa"/>
            </w:tcMar>
            <w:vAlign w:val="center"/>
          </w:tcPr>
          <w:p>
            <w:r/>
            <w:r>
              <w:rPr>
                <w:color w:val="3A3835"/>
                <w:sz w:val="18"/>
              </w:rPr>
              <w:t>Estimating, quoting and job costing for builders</w:t>
            </w:r>
          </w:p>
        </w:tc>
        <w:tc>
          <w:tcPr>
            <w:tcW w:type="dxa" w:w="1792"/>
            <w:tcMar>
              <w:top w:w="60" w:type="dxa"/>
              <w:bottom w:w="60" w:type="dxa"/>
              <w:left w:w="100" w:type="dxa"/>
              <w:right w:w="100" w:type="dxa"/>
            </w:tcMar>
            <w:vAlign w:val="center"/>
          </w:tcPr>
          <w:p>
            <w:r/>
            <w:r>
              <w:rPr>
                <w:color w:val="3A3835"/>
                <w:sz w:val="18"/>
              </w:rPr>
              <w:t>From ~$187/mo</w:t>
            </w:r>
          </w:p>
        </w:tc>
        <w:tc>
          <w:tcPr>
            <w:tcW w:type="dxa" w:w="1792"/>
            <w:tcMar>
              <w:top w:w="60" w:type="dxa"/>
              <w:bottom w:w="60" w:type="dxa"/>
              <w:left w:w="100" w:type="dxa"/>
              <w:right w:w="100" w:type="dxa"/>
            </w:tcMar>
            <w:vAlign w:val="center"/>
          </w:tcPr>
          <w:p>
            <w:r/>
            <w:r>
              <w:rPr>
                <w:color w:val="3A3835"/>
                <w:sz w:val="18"/>
              </w:rPr>
              <w:t>Deep estimating and takeoff tools</w:t>
            </w:r>
          </w:p>
        </w:tc>
        <w:tc>
          <w:tcPr>
            <w:tcW w:type="dxa" w:w="1792"/>
            <w:tcMar>
              <w:top w:w="60" w:type="dxa"/>
              <w:bottom w:w="60" w:type="dxa"/>
              <w:left w:w="100" w:type="dxa"/>
              <w:right w:w="100" w:type="dxa"/>
            </w:tcMar>
            <w:vAlign w:val="center"/>
          </w:tcPr>
          <w:p>
            <w:r/>
            <w:r>
              <w:rPr>
                <w:color w:val="3A3835"/>
                <w:sz w:val="18"/>
              </w:rPr>
              <w:t>Buildxact is a numbers-first estimating tool; BIK is a language-and-compliance-first document engine. Narrow document scope, not AI-first.</w:t>
            </w:r>
          </w:p>
        </w:tc>
      </w:tr>
      <w:tr>
        <w:tc>
          <w:tcPr>
            <w:tcW w:type="dxa" w:w="1792"/>
            <w:tcMar>
              <w:top w:w="60" w:type="dxa"/>
              <w:bottom w:w="60" w:type="dxa"/>
              <w:left w:w="100" w:type="dxa"/>
              <w:right w:w="100" w:type="dxa"/>
            </w:tcMar>
            <w:vAlign w:val="center"/>
            <w:shd w:val="clear" w:color="auto" w:fill="F2EFEA"/>
          </w:tcPr>
          <w:p>
            <w:r/>
            <w:r>
              <w:rPr>
                <w:color w:val="3A3835"/>
                <w:sz w:val="18"/>
              </w:rPr>
              <w:t>ServiceM8</w:t>
            </w:r>
          </w:p>
        </w:tc>
        <w:tc>
          <w:tcPr>
            <w:tcW w:type="dxa" w:w="1792"/>
            <w:tcMar>
              <w:top w:w="60" w:type="dxa"/>
              <w:bottom w:w="60" w:type="dxa"/>
              <w:left w:w="100" w:type="dxa"/>
              <w:right w:w="100" w:type="dxa"/>
            </w:tcMar>
            <w:vAlign w:val="center"/>
            <w:shd w:val="clear" w:color="auto" w:fill="F2EFEA"/>
          </w:tcPr>
          <w:p>
            <w:r/>
            <w:r>
              <w:rPr>
                <w:color w:val="3A3835"/>
                <w:sz w:val="18"/>
              </w:rPr>
              <w:t>Field service job management for trades</w:t>
            </w:r>
          </w:p>
        </w:tc>
        <w:tc>
          <w:tcPr>
            <w:tcW w:type="dxa" w:w="1792"/>
            <w:tcMar>
              <w:top w:w="60" w:type="dxa"/>
              <w:bottom w:w="60" w:type="dxa"/>
              <w:left w:w="100" w:type="dxa"/>
              <w:right w:w="100" w:type="dxa"/>
            </w:tcMar>
            <w:vAlign w:val="center"/>
            <w:shd w:val="clear" w:color="auto" w:fill="F2EFEA"/>
          </w:tcPr>
          <w:p>
            <w:r/>
            <w:r>
              <w:rPr>
                <w:color w:val="3A3835"/>
                <w:sz w:val="18"/>
              </w:rPr>
              <w:t>From ~$29/mo per user</w:t>
            </w:r>
          </w:p>
        </w:tc>
        <w:tc>
          <w:tcPr>
            <w:tcW w:type="dxa" w:w="1792"/>
            <w:tcMar>
              <w:top w:w="60" w:type="dxa"/>
              <w:bottom w:w="60" w:type="dxa"/>
              <w:left w:w="100" w:type="dxa"/>
              <w:right w:w="100" w:type="dxa"/>
            </w:tcMar>
            <w:vAlign w:val="center"/>
            <w:shd w:val="clear" w:color="auto" w:fill="F2EFEA"/>
          </w:tcPr>
          <w:p>
            <w:r/>
            <w:r>
              <w:rPr>
                <w:color w:val="3A3835"/>
                <w:sz w:val="18"/>
              </w:rPr>
              <w:t>Excellent scheduling, dispatch and invoicing for service trades</w:t>
            </w:r>
          </w:p>
        </w:tc>
        <w:tc>
          <w:tcPr>
            <w:tcW w:type="dxa" w:w="1792"/>
            <w:tcMar>
              <w:top w:w="60" w:type="dxa"/>
              <w:bottom w:w="60" w:type="dxa"/>
              <w:left w:w="100" w:type="dxa"/>
              <w:right w:w="100" w:type="dxa"/>
            </w:tcMar>
            <w:vAlign w:val="center"/>
            <w:shd w:val="clear" w:color="auto" w:fill="F2EFEA"/>
          </w:tcPr>
          <w:p>
            <w:r/>
            <w:r>
              <w:rPr>
                <w:color w:val="3A3835"/>
                <w:sz w:val="18"/>
              </w:rPr>
              <w:t>Strong at job logistics, not at compliance or long-form document drafting — complementary rather than competing</w:t>
            </w:r>
          </w:p>
        </w:tc>
      </w:tr>
      <w:tr>
        <w:tc>
          <w:tcPr>
            <w:tcW w:type="dxa" w:w="1792"/>
            <w:tcMar>
              <w:top w:w="60" w:type="dxa"/>
              <w:bottom w:w="60" w:type="dxa"/>
              <w:left w:w="100" w:type="dxa"/>
              <w:right w:w="100" w:type="dxa"/>
            </w:tcMar>
            <w:vAlign w:val="center"/>
          </w:tcPr>
          <w:p>
            <w:r/>
            <w:r>
              <w:rPr>
                <w:color w:val="3A3835"/>
                <w:sz w:val="18"/>
              </w:rPr>
              <w:t>simPRO</w:t>
            </w:r>
          </w:p>
        </w:tc>
        <w:tc>
          <w:tcPr>
            <w:tcW w:type="dxa" w:w="1792"/>
            <w:tcMar>
              <w:top w:w="60" w:type="dxa"/>
              <w:bottom w:w="60" w:type="dxa"/>
              <w:left w:w="100" w:type="dxa"/>
              <w:right w:w="100" w:type="dxa"/>
            </w:tcMar>
            <w:vAlign w:val="center"/>
          </w:tcPr>
          <w:p>
            <w:r/>
            <w:r>
              <w:rPr>
                <w:color w:val="3A3835"/>
                <w:sz w:val="18"/>
              </w:rPr>
              <w:t>Job management for mid-size trade contractors</w:t>
            </w:r>
          </w:p>
        </w:tc>
        <w:tc>
          <w:tcPr>
            <w:tcW w:type="dxa" w:w="1792"/>
            <w:tcMar>
              <w:top w:w="60" w:type="dxa"/>
              <w:bottom w:w="60" w:type="dxa"/>
              <w:left w:w="100" w:type="dxa"/>
              <w:right w:w="100" w:type="dxa"/>
            </w:tcMar>
            <w:vAlign w:val="center"/>
          </w:tcPr>
          <w:p>
            <w:r/>
            <w:r>
              <w:rPr>
                <w:color w:val="3A3835"/>
                <w:sz w:val="18"/>
              </w:rPr>
              <w:t>Custom / enterprise-leaning</w:t>
            </w:r>
          </w:p>
        </w:tc>
        <w:tc>
          <w:tcPr>
            <w:tcW w:type="dxa" w:w="1792"/>
            <w:tcMar>
              <w:top w:w="60" w:type="dxa"/>
              <w:bottom w:w="60" w:type="dxa"/>
              <w:left w:w="100" w:type="dxa"/>
              <w:right w:w="100" w:type="dxa"/>
            </w:tcMar>
            <w:vAlign w:val="center"/>
          </w:tcPr>
          <w:p>
            <w:r/>
            <w:r>
              <w:rPr>
                <w:color w:val="3A3835"/>
                <w:sz w:val="18"/>
              </w:rPr>
              <w:t>Strong for larger multi-crew trade businesses</w:t>
            </w:r>
          </w:p>
        </w:tc>
        <w:tc>
          <w:tcPr>
            <w:tcW w:type="dxa" w:w="1792"/>
            <w:tcMar>
              <w:top w:w="60" w:type="dxa"/>
              <w:bottom w:w="60" w:type="dxa"/>
              <w:left w:w="100" w:type="dxa"/>
              <w:right w:w="100" w:type="dxa"/>
            </w:tcMar>
            <w:vAlign w:val="center"/>
          </w:tcPr>
          <w:p>
            <w:r/>
            <w:r>
              <w:rPr>
                <w:color w:val="3A3835"/>
                <w:sz w:val="18"/>
              </w:rPr>
              <w:t>Priced and scoped above BIK's core SME segment; document generation is a secondary feature, not the product</w:t>
            </w:r>
          </w:p>
        </w:tc>
      </w:tr>
      <w:tr>
        <w:tc>
          <w:tcPr>
            <w:tcW w:type="dxa" w:w="1792"/>
            <w:tcMar>
              <w:top w:w="60" w:type="dxa"/>
              <w:bottom w:w="60" w:type="dxa"/>
              <w:left w:w="100" w:type="dxa"/>
              <w:right w:w="100" w:type="dxa"/>
            </w:tcMar>
            <w:vAlign w:val="center"/>
            <w:shd w:val="clear" w:color="auto" w:fill="F2EFEA"/>
          </w:tcPr>
          <w:p>
            <w:r/>
            <w:r>
              <w:rPr>
                <w:color w:val="3A3835"/>
                <w:sz w:val="18"/>
              </w:rPr>
              <w:t>AroFlo</w:t>
            </w:r>
          </w:p>
        </w:tc>
        <w:tc>
          <w:tcPr>
            <w:tcW w:type="dxa" w:w="1792"/>
            <w:tcMar>
              <w:top w:w="60" w:type="dxa"/>
              <w:bottom w:w="60" w:type="dxa"/>
              <w:left w:w="100" w:type="dxa"/>
              <w:right w:w="100" w:type="dxa"/>
            </w:tcMar>
            <w:vAlign w:val="center"/>
            <w:shd w:val="clear" w:color="auto" w:fill="F2EFEA"/>
          </w:tcPr>
          <w:p>
            <w:r/>
            <w:r>
              <w:rPr>
                <w:color w:val="3A3835"/>
                <w:sz w:val="18"/>
              </w:rPr>
              <w:t>Job management and workflow for trades</w:t>
            </w:r>
          </w:p>
        </w:tc>
        <w:tc>
          <w:tcPr>
            <w:tcW w:type="dxa" w:w="1792"/>
            <w:tcMar>
              <w:top w:w="60" w:type="dxa"/>
              <w:bottom w:w="60" w:type="dxa"/>
              <w:left w:w="100" w:type="dxa"/>
              <w:right w:w="100" w:type="dxa"/>
            </w:tcMar>
            <w:vAlign w:val="center"/>
            <w:shd w:val="clear" w:color="auto" w:fill="F2EFEA"/>
          </w:tcPr>
          <w:p>
            <w:r/>
            <w:r>
              <w:rPr>
                <w:color w:val="3A3835"/>
                <w:sz w:val="18"/>
              </w:rPr>
              <w:t>From ~$25/user/mo</w:t>
            </w:r>
          </w:p>
        </w:tc>
        <w:tc>
          <w:tcPr>
            <w:tcW w:type="dxa" w:w="1792"/>
            <w:tcMar>
              <w:top w:w="60" w:type="dxa"/>
              <w:bottom w:w="60" w:type="dxa"/>
              <w:left w:w="100" w:type="dxa"/>
              <w:right w:w="100" w:type="dxa"/>
            </w:tcMar>
            <w:vAlign w:val="center"/>
            <w:shd w:val="clear" w:color="auto" w:fill="F2EFEA"/>
          </w:tcPr>
          <w:p>
            <w:r/>
            <w:r>
              <w:rPr>
                <w:color w:val="3A3835"/>
                <w:sz w:val="18"/>
              </w:rPr>
              <w:t>Solid all-rounder for job and asset tracking</w:t>
            </w:r>
          </w:p>
        </w:tc>
        <w:tc>
          <w:tcPr>
            <w:tcW w:type="dxa" w:w="1792"/>
            <w:tcMar>
              <w:top w:w="60" w:type="dxa"/>
              <w:bottom w:w="60" w:type="dxa"/>
              <w:left w:w="100" w:type="dxa"/>
              <w:right w:w="100" w:type="dxa"/>
            </w:tcMar>
            <w:vAlign w:val="center"/>
            <w:shd w:val="clear" w:color="auto" w:fill="F2EFEA"/>
          </w:tcPr>
          <w:p>
            <w:r/>
            <w:r>
              <w:rPr>
                <w:color w:val="3A3835"/>
                <w:sz w:val="18"/>
              </w:rPr>
              <w:t>Similar gap to ServiceM8/simPRO — logistics-first, not document-and-compliance-first</w:t>
            </w:r>
          </w:p>
        </w:tc>
      </w:tr>
      <w:tr>
        <w:tc>
          <w:tcPr>
            <w:tcW w:type="dxa" w:w="1792"/>
            <w:tcMar>
              <w:top w:w="60" w:type="dxa"/>
              <w:bottom w:w="60" w:type="dxa"/>
              <w:left w:w="100" w:type="dxa"/>
              <w:right w:w="100" w:type="dxa"/>
            </w:tcMar>
            <w:vAlign w:val="center"/>
          </w:tcPr>
          <w:p>
            <w:r/>
            <w:r>
              <w:rPr>
                <w:color w:val="3A3835"/>
                <w:sz w:val="18"/>
              </w:rPr>
              <w:t>Tradify</w:t>
            </w:r>
          </w:p>
        </w:tc>
        <w:tc>
          <w:tcPr>
            <w:tcW w:type="dxa" w:w="1792"/>
            <w:tcMar>
              <w:top w:w="60" w:type="dxa"/>
              <w:bottom w:w="60" w:type="dxa"/>
              <w:left w:w="100" w:type="dxa"/>
              <w:right w:w="100" w:type="dxa"/>
            </w:tcMar>
            <w:vAlign w:val="center"/>
          </w:tcPr>
          <w:p>
            <w:r/>
            <w:r>
              <w:rPr>
                <w:color w:val="3A3835"/>
                <w:sz w:val="18"/>
              </w:rPr>
              <w:t>Job management for small trade businesses</w:t>
            </w:r>
          </w:p>
        </w:tc>
        <w:tc>
          <w:tcPr>
            <w:tcW w:type="dxa" w:w="1792"/>
            <w:tcMar>
              <w:top w:w="60" w:type="dxa"/>
              <w:bottom w:w="60" w:type="dxa"/>
              <w:left w:w="100" w:type="dxa"/>
              <w:right w:w="100" w:type="dxa"/>
            </w:tcMar>
            <w:vAlign w:val="center"/>
          </w:tcPr>
          <w:p>
            <w:r/>
            <w:r>
              <w:rPr>
                <w:color w:val="3A3835"/>
                <w:sz w:val="18"/>
              </w:rPr>
              <w:t>From ~$29/mo</w:t>
            </w:r>
          </w:p>
        </w:tc>
        <w:tc>
          <w:tcPr>
            <w:tcW w:type="dxa" w:w="1792"/>
            <w:tcMar>
              <w:top w:w="60" w:type="dxa"/>
              <w:bottom w:w="60" w:type="dxa"/>
              <w:left w:w="100" w:type="dxa"/>
              <w:right w:w="100" w:type="dxa"/>
            </w:tcMar>
            <w:vAlign w:val="center"/>
          </w:tcPr>
          <w:p>
            <w:r/>
            <w:r>
              <w:rPr>
                <w:color w:val="3A3835"/>
                <w:sz w:val="18"/>
              </w:rPr>
              <w:t>Simple, well-loved by solo trades and small teams</w:t>
            </w:r>
          </w:p>
        </w:tc>
        <w:tc>
          <w:tcPr>
            <w:tcW w:type="dxa" w:w="1792"/>
            <w:tcMar>
              <w:top w:w="60" w:type="dxa"/>
              <w:bottom w:w="60" w:type="dxa"/>
              <w:left w:w="100" w:type="dxa"/>
              <w:right w:w="100" w:type="dxa"/>
            </w:tcMar>
            <w:vAlign w:val="center"/>
          </w:tcPr>
          <w:p>
            <w:r/>
            <w:r>
              <w:rPr>
                <w:color w:val="3A3835"/>
                <w:sz w:val="18"/>
              </w:rPr>
              <w:t>Closest in target-customer size to BIK, but not AI-native and not focused on compliance-grade document quality</w:t>
            </w:r>
          </w:p>
        </w:tc>
      </w:tr>
      <w:tr>
        <w:tc>
          <w:tcPr>
            <w:tcW w:type="dxa" w:w="1792"/>
            <w:tcMar>
              <w:top w:w="60" w:type="dxa"/>
              <w:bottom w:w="60" w:type="dxa"/>
              <w:left w:w="100" w:type="dxa"/>
              <w:right w:w="100" w:type="dxa"/>
            </w:tcMar>
            <w:vAlign w:val="center"/>
            <w:shd w:val="clear" w:color="auto" w:fill="F2EFEA"/>
          </w:tcPr>
          <w:p>
            <w:r/>
            <w:r>
              <w:rPr>
                <w:color w:val="3A3835"/>
                <w:sz w:val="18"/>
              </w:rPr>
              <w:t>Fergus</w:t>
            </w:r>
          </w:p>
        </w:tc>
        <w:tc>
          <w:tcPr>
            <w:tcW w:type="dxa" w:w="1792"/>
            <w:tcMar>
              <w:top w:w="60" w:type="dxa"/>
              <w:bottom w:w="60" w:type="dxa"/>
              <w:left w:w="100" w:type="dxa"/>
              <w:right w:w="100" w:type="dxa"/>
            </w:tcMar>
            <w:vAlign w:val="center"/>
            <w:shd w:val="clear" w:color="auto" w:fill="F2EFEA"/>
          </w:tcPr>
          <w:p>
            <w:r/>
            <w:r>
              <w:rPr>
                <w:color w:val="3A3835"/>
                <w:sz w:val="18"/>
              </w:rPr>
              <w:t>Job management for NZ/AU trade businesses</w:t>
            </w:r>
          </w:p>
        </w:tc>
        <w:tc>
          <w:tcPr>
            <w:tcW w:type="dxa" w:w="1792"/>
            <w:tcMar>
              <w:top w:w="60" w:type="dxa"/>
              <w:bottom w:w="60" w:type="dxa"/>
              <w:left w:w="100" w:type="dxa"/>
              <w:right w:w="100" w:type="dxa"/>
            </w:tcMar>
            <w:vAlign w:val="center"/>
            <w:shd w:val="clear" w:color="auto" w:fill="F2EFEA"/>
          </w:tcPr>
          <w:p>
            <w:r/>
            <w:r>
              <w:rPr>
                <w:color w:val="3A3835"/>
                <w:sz w:val="18"/>
              </w:rPr>
              <w:t>From ~$29/user/mo</w:t>
            </w:r>
          </w:p>
        </w:tc>
        <w:tc>
          <w:tcPr>
            <w:tcW w:type="dxa" w:w="1792"/>
            <w:tcMar>
              <w:top w:w="60" w:type="dxa"/>
              <w:bottom w:w="60" w:type="dxa"/>
              <w:left w:w="100" w:type="dxa"/>
              <w:right w:w="100" w:type="dxa"/>
            </w:tcMar>
            <w:vAlign w:val="center"/>
            <w:shd w:val="clear" w:color="auto" w:fill="F2EFEA"/>
          </w:tcPr>
          <w:p>
            <w:r/>
            <w:r>
              <w:rPr>
                <w:color w:val="3A3835"/>
                <w:sz w:val="18"/>
              </w:rPr>
              <w:t>Strong reporting and profitability tracking</w:t>
            </w:r>
          </w:p>
        </w:tc>
        <w:tc>
          <w:tcPr>
            <w:tcW w:type="dxa" w:w="1792"/>
            <w:tcMar>
              <w:top w:w="60" w:type="dxa"/>
              <w:bottom w:w="60" w:type="dxa"/>
              <w:left w:w="100" w:type="dxa"/>
              <w:right w:w="100" w:type="dxa"/>
            </w:tcMar>
            <w:vAlign w:val="center"/>
            <w:shd w:val="clear" w:color="auto" w:fill="F2EFEA"/>
          </w:tcPr>
          <w:p>
            <w:r/>
            <w:r>
              <w:rPr>
                <w:color w:val="3A3835"/>
                <w:sz w:val="18"/>
              </w:rPr>
              <w:t>Financial/job tracking focus; no meaningful AI document generation layer</w:t>
            </w:r>
          </w:p>
        </w:tc>
      </w:tr>
      <w:tr>
        <w:tc>
          <w:tcPr>
            <w:tcW w:type="dxa" w:w="1792"/>
            <w:tcMar>
              <w:top w:w="60" w:type="dxa"/>
              <w:bottom w:w="60" w:type="dxa"/>
              <w:left w:w="100" w:type="dxa"/>
              <w:right w:w="100" w:type="dxa"/>
            </w:tcMar>
            <w:vAlign w:val="center"/>
          </w:tcPr>
          <w:p>
            <w:r/>
            <w:r>
              <w:rPr>
                <w:color w:val="3A3835"/>
                <w:sz w:val="18"/>
              </w:rPr>
              <w:t>Buildertrend</w:t>
            </w:r>
          </w:p>
        </w:tc>
        <w:tc>
          <w:tcPr>
            <w:tcW w:type="dxa" w:w="1792"/>
            <w:tcMar>
              <w:top w:w="60" w:type="dxa"/>
              <w:bottom w:w="60" w:type="dxa"/>
              <w:left w:w="100" w:type="dxa"/>
              <w:right w:w="100" w:type="dxa"/>
            </w:tcMar>
            <w:vAlign w:val="center"/>
          </w:tcPr>
          <w:p>
            <w:r/>
            <w:r>
              <w:rPr>
                <w:color w:val="3A3835"/>
                <w:sz w:val="18"/>
              </w:rPr>
              <w:t>Construction project management for residential builders</w:t>
            </w:r>
          </w:p>
        </w:tc>
        <w:tc>
          <w:tcPr>
            <w:tcW w:type="dxa" w:w="1792"/>
            <w:tcMar>
              <w:top w:w="60" w:type="dxa"/>
              <w:bottom w:w="60" w:type="dxa"/>
              <w:left w:w="100" w:type="dxa"/>
              <w:right w:w="100" w:type="dxa"/>
            </w:tcMar>
            <w:vAlign w:val="center"/>
          </w:tcPr>
          <w:p>
            <w:r/>
            <w:r>
              <w:rPr>
                <w:color w:val="3A3835"/>
                <w:sz w:val="18"/>
              </w:rPr>
              <w:t>From ~US$199/mo</w:t>
            </w:r>
          </w:p>
        </w:tc>
        <w:tc>
          <w:tcPr>
            <w:tcW w:type="dxa" w:w="1792"/>
            <w:tcMar>
              <w:top w:w="60" w:type="dxa"/>
              <w:bottom w:w="60" w:type="dxa"/>
              <w:left w:w="100" w:type="dxa"/>
              <w:right w:w="100" w:type="dxa"/>
            </w:tcMar>
            <w:vAlign w:val="center"/>
          </w:tcPr>
          <w:p>
            <w:r/>
            <w:r>
              <w:rPr>
                <w:color w:val="3A3835"/>
                <w:sz w:val="18"/>
              </w:rPr>
              <w:t>Comprehensive client-facing project management</w:t>
            </w:r>
          </w:p>
        </w:tc>
        <w:tc>
          <w:tcPr>
            <w:tcW w:type="dxa" w:w="1792"/>
            <w:tcMar>
              <w:top w:w="60" w:type="dxa"/>
              <w:bottom w:w="60" w:type="dxa"/>
              <w:left w:w="100" w:type="dxa"/>
              <w:right w:w="100" w:type="dxa"/>
            </w:tcMar>
            <w:vAlign w:val="center"/>
          </w:tcPr>
          <w:p>
            <w:r/>
            <w:r>
              <w:rPr>
                <w:color w:val="3A3835"/>
                <w:sz w:val="18"/>
              </w:rPr>
              <w:t>US-centric, enterprise-leaning pricing; not Australian-compliance-native</w:t>
            </w:r>
          </w:p>
        </w:tc>
      </w:tr>
    </w:tbl>
    <w:p>
      <w:pPr>
        <w:spacing w:after="120"/>
      </w:pPr>
    </w:p>
    <w:p>
      <w:pPr>
        <w:pStyle w:val="BIKH2"/>
      </w:pPr>
      <w:r>
        <w:t>ENTERPRISE CONSTRUCTION SOFTWARE</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Competitor</w:t>
            </w:r>
          </w:p>
        </w:tc>
        <w:tc>
          <w:tcPr>
            <w:tcW w:type="dxa" w:w="2239"/>
            <w:shd w:val="clear" w:color="auto" w:fill="252320"/>
            <w:tcMar>
              <w:top w:w="60" w:type="dxa"/>
              <w:bottom w:w="60" w:type="dxa"/>
              <w:left w:w="100" w:type="dxa"/>
              <w:right w:w="100" w:type="dxa"/>
            </w:tcMar>
            <w:vAlign w:val="center"/>
          </w:tcPr>
          <w:p>
            <w:r/>
            <w:r>
              <w:rPr>
                <w:b/>
                <w:color w:val="FFFFFF"/>
                <w:sz w:val="18"/>
              </w:rPr>
              <w:t>Core focus</w:t>
            </w:r>
          </w:p>
        </w:tc>
        <w:tc>
          <w:tcPr>
            <w:tcW w:type="dxa" w:w="2239"/>
            <w:shd w:val="clear" w:color="auto" w:fill="252320"/>
            <w:tcMar>
              <w:top w:w="60" w:type="dxa"/>
              <w:bottom w:w="60" w:type="dxa"/>
              <w:left w:w="100" w:type="dxa"/>
              <w:right w:w="100" w:type="dxa"/>
            </w:tcMar>
            <w:vAlign w:val="center"/>
          </w:tcPr>
          <w:p>
            <w:r/>
            <w:r>
              <w:rPr>
                <w:b/>
                <w:color w:val="FFFFFF"/>
                <w:sz w:val="18"/>
              </w:rPr>
              <w:t>Strength</w:t>
            </w:r>
          </w:p>
        </w:tc>
        <w:tc>
          <w:tcPr>
            <w:tcW w:type="dxa" w:w="2239"/>
            <w:shd w:val="clear" w:color="auto" w:fill="252320"/>
            <w:tcMar>
              <w:top w:w="60" w:type="dxa"/>
              <w:bottom w:w="60" w:type="dxa"/>
              <w:left w:w="100" w:type="dxa"/>
              <w:right w:w="100" w:type="dxa"/>
            </w:tcMar>
            <w:vAlign w:val="center"/>
          </w:tcPr>
          <w:p>
            <w:r/>
            <w:r>
              <w:rPr>
                <w:b/>
                <w:color w:val="FFFFFF"/>
                <w:sz w:val="18"/>
              </w:rPr>
              <w:t>Where BIK differentiates</w:t>
            </w:r>
          </w:p>
        </w:tc>
      </w:tr>
      <w:tr>
        <w:tc>
          <w:tcPr>
            <w:tcW w:type="dxa" w:w="2239"/>
            <w:tcMar>
              <w:top w:w="60" w:type="dxa"/>
              <w:bottom w:w="60" w:type="dxa"/>
              <w:left w:w="100" w:type="dxa"/>
              <w:right w:w="100" w:type="dxa"/>
            </w:tcMar>
            <w:vAlign w:val="center"/>
          </w:tcPr>
          <w:p>
            <w:r/>
            <w:r>
              <w:rPr>
                <w:color w:val="3A3835"/>
                <w:sz w:val="18"/>
              </w:rPr>
              <w:t>Procore</w:t>
            </w:r>
          </w:p>
        </w:tc>
        <w:tc>
          <w:tcPr>
            <w:tcW w:type="dxa" w:w="2239"/>
            <w:tcMar>
              <w:top w:w="60" w:type="dxa"/>
              <w:bottom w:w="60" w:type="dxa"/>
              <w:left w:w="100" w:type="dxa"/>
              <w:right w:w="100" w:type="dxa"/>
            </w:tcMar>
            <w:vAlign w:val="center"/>
          </w:tcPr>
          <w:p>
            <w:r/>
            <w:r>
              <w:rPr>
                <w:color w:val="3A3835"/>
                <w:sz w:val="18"/>
              </w:rPr>
              <w:t>Enterprise construction project management</w:t>
            </w:r>
          </w:p>
        </w:tc>
        <w:tc>
          <w:tcPr>
            <w:tcW w:type="dxa" w:w="2239"/>
            <w:tcMar>
              <w:top w:w="60" w:type="dxa"/>
              <w:bottom w:w="60" w:type="dxa"/>
              <w:left w:w="100" w:type="dxa"/>
              <w:right w:w="100" w:type="dxa"/>
            </w:tcMar>
            <w:vAlign w:val="center"/>
          </w:tcPr>
          <w:p>
            <w:r/>
            <w:r>
              <w:rPr>
                <w:color w:val="3A3835"/>
                <w:sz w:val="18"/>
              </w:rPr>
              <w:t>Comprehensive, credible with large builders and head contractors</w:t>
            </w:r>
          </w:p>
        </w:tc>
        <w:tc>
          <w:tcPr>
            <w:tcW w:type="dxa" w:w="2239"/>
            <w:tcMar>
              <w:top w:w="60" w:type="dxa"/>
              <w:bottom w:w="60" w:type="dxa"/>
              <w:left w:w="100" w:type="dxa"/>
              <w:right w:w="100" w:type="dxa"/>
            </w:tcMar>
            <w:vAlign w:val="center"/>
          </w:tcPr>
          <w:p>
            <w:r/>
            <w:r>
              <w:rPr>
                <w:color w:val="3A3835"/>
                <w:sz w:val="18"/>
              </w:rPr>
              <w:t>Expensive, complex, and overkill for the 1–20 person business that is BIK's core market — BIK is simpler and Australian-construction-specific</w:t>
            </w:r>
          </w:p>
        </w:tc>
      </w:tr>
      <w:tr>
        <w:tc>
          <w:tcPr>
            <w:tcW w:type="dxa" w:w="2239"/>
            <w:tcMar>
              <w:top w:w="60" w:type="dxa"/>
              <w:bottom w:w="60" w:type="dxa"/>
              <w:left w:w="100" w:type="dxa"/>
              <w:right w:w="100" w:type="dxa"/>
            </w:tcMar>
            <w:vAlign w:val="center"/>
            <w:shd w:val="clear" w:color="auto" w:fill="F2EFEA"/>
          </w:tcPr>
          <w:p>
            <w:r/>
            <w:r>
              <w:rPr>
                <w:color w:val="3A3835"/>
                <w:sz w:val="18"/>
              </w:rPr>
              <w:t>Autodesk Construction Cloud</w:t>
            </w:r>
          </w:p>
        </w:tc>
        <w:tc>
          <w:tcPr>
            <w:tcW w:type="dxa" w:w="2239"/>
            <w:tcMar>
              <w:top w:w="60" w:type="dxa"/>
              <w:bottom w:w="60" w:type="dxa"/>
              <w:left w:w="100" w:type="dxa"/>
              <w:right w:w="100" w:type="dxa"/>
            </w:tcMar>
            <w:vAlign w:val="center"/>
            <w:shd w:val="clear" w:color="auto" w:fill="F2EFEA"/>
          </w:tcPr>
          <w:p>
            <w:r/>
            <w:r>
              <w:rPr>
                <w:color w:val="3A3835"/>
                <w:sz w:val="18"/>
              </w:rPr>
              <w:t>Enterprise BIM and construction management</w:t>
            </w:r>
          </w:p>
        </w:tc>
        <w:tc>
          <w:tcPr>
            <w:tcW w:type="dxa" w:w="2239"/>
            <w:tcMar>
              <w:top w:w="60" w:type="dxa"/>
              <w:bottom w:w="60" w:type="dxa"/>
              <w:left w:w="100" w:type="dxa"/>
              <w:right w:w="100" w:type="dxa"/>
            </w:tcMar>
            <w:vAlign w:val="center"/>
            <w:shd w:val="clear" w:color="auto" w:fill="F2EFEA"/>
          </w:tcPr>
          <w:p>
            <w:r/>
            <w:r>
              <w:rPr>
                <w:color w:val="3A3835"/>
                <w:sz w:val="18"/>
              </w:rPr>
              <w:t>Deep integration with design and modelling workflows</w:t>
            </w:r>
          </w:p>
        </w:tc>
        <w:tc>
          <w:tcPr>
            <w:tcW w:type="dxa" w:w="2239"/>
            <w:tcMar>
              <w:top w:w="60" w:type="dxa"/>
              <w:bottom w:w="60" w:type="dxa"/>
              <w:left w:w="100" w:type="dxa"/>
              <w:right w:w="100" w:type="dxa"/>
            </w:tcMar>
            <w:vAlign w:val="center"/>
            <w:shd w:val="clear" w:color="auto" w:fill="F2EFEA"/>
          </w:tcPr>
          <w:p>
            <w:r/>
            <w:r>
              <w:rPr>
                <w:color w:val="3A3835"/>
                <w:sz w:val="18"/>
              </w:rPr>
              <w:t>Enterprise-only reach; irrelevant to the sole-trader and small-builder segment entirely</w:t>
            </w:r>
          </w:p>
        </w:tc>
      </w:tr>
      <w:tr>
        <w:tc>
          <w:tcPr>
            <w:tcW w:type="dxa" w:w="2239"/>
            <w:tcMar>
              <w:top w:w="60" w:type="dxa"/>
              <w:bottom w:w="60" w:type="dxa"/>
              <w:left w:w="100" w:type="dxa"/>
              <w:right w:w="100" w:type="dxa"/>
            </w:tcMar>
            <w:vAlign w:val="center"/>
          </w:tcPr>
          <w:p>
            <w:r/>
            <w:r>
              <w:rPr>
                <w:color w:val="3A3835"/>
                <w:sz w:val="18"/>
              </w:rPr>
              <w:t>Oracle Aconex</w:t>
            </w:r>
          </w:p>
        </w:tc>
        <w:tc>
          <w:tcPr>
            <w:tcW w:type="dxa" w:w="2239"/>
            <w:tcMar>
              <w:top w:w="60" w:type="dxa"/>
              <w:bottom w:w="60" w:type="dxa"/>
              <w:left w:w="100" w:type="dxa"/>
              <w:right w:w="100" w:type="dxa"/>
            </w:tcMar>
            <w:vAlign w:val="center"/>
          </w:tcPr>
          <w:p>
            <w:r/>
            <w:r>
              <w:rPr>
                <w:color w:val="3A3835"/>
                <w:sz w:val="18"/>
              </w:rPr>
              <w:t>Enterprise document control for large/complex projects</w:t>
            </w:r>
          </w:p>
        </w:tc>
        <w:tc>
          <w:tcPr>
            <w:tcW w:type="dxa" w:w="2239"/>
            <w:tcMar>
              <w:top w:w="60" w:type="dxa"/>
              <w:bottom w:w="60" w:type="dxa"/>
              <w:left w:w="100" w:type="dxa"/>
              <w:right w:w="100" w:type="dxa"/>
            </w:tcMar>
            <w:vAlign w:val="center"/>
          </w:tcPr>
          <w:p>
            <w:r/>
            <w:r>
              <w:rPr>
                <w:color w:val="3A3835"/>
                <w:sz w:val="18"/>
              </w:rPr>
              <w:t>Best-in-class formal document control for major projects</w:t>
            </w:r>
          </w:p>
        </w:tc>
        <w:tc>
          <w:tcPr>
            <w:tcW w:type="dxa" w:w="2239"/>
            <w:tcMar>
              <w:top w:w="60" w:type="dxa"/>
              <w:bottom w:w="60" w:type="dxa"/>
              <w:left w:w="100" w:type="dxa"/>
              <w:right w:w="100" w:type="dxa"/>
            </w:tcMar>
            <w:vAlign w:val="center"/>
          </w:tcPr>
          <w:p>
            <w:r/>
            <w:r>
              <w:rPr>
                <w:color w:val="3A3835"/>
                <w:sz w:val="18"/>
              </w:rPr>
              <w:t>A completely different market — large-scale project document control, not SME administrative drafting</w:t>
            </w:r>
          </w:p>
        </w:tc>
      </w:tr>
    </w:tbl>
    <w:p>
      <w:pPr>
        <w:spacing w:after="120"/>
      </w:pPr>
    </w:p>
    <w:p>
      <w:pPr>
        <w:pStyle w:val="BIKH2"/>
      </w:pPr>
      <w:r>
        <w:t>ACCOUNTING &amp; FINANCE PLATFORMS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Competitor</w:t>
            </w:r>
          </w:p>
        </w:tc>
        <w:tc>
          <w:tcPr>
            <w:tcW w:type="dxa" w:w="2239"/>
            <w:shd w:val="clear" w:color="auto" w:fill="252320"/>
            <w:tcMar>
              <w:top w:w="60" w:type="dxa"/>
              <w:bottom w:w="60" w:type="dxa"/>
              <w:left w:w="100" w:type="dxa"/>
              <w:right w:w="100" w:type="dxa"/>
            </w:tcMar>
            <w:vAlign w:val="center"/>
          </w:tcPr>
          <w:p>
            <w:r/>
            <w:r>
              <w:rPr>
                <w:b/>
                <w:color w:val="FFFFFF"/>
                <w:sz w:val="18"/>
              </w:rPr>
              <w:t>Core focus</w:t>
            </w:r>
          </w:p>
        </w:tc>
        <w:tc>
          <w:tcPr>
            <w:tcW w:type="dxa" w:w="2239"/>
            <w:shd w:val="clear" w:color="auto" w:fill="252320"/>
            <w:tcMar>
              <w:top w:w="60" w:type="dxa"/>
              <w:bottom w:w="60" w:type="dxa"/>
              <w:left w:w="100" w:type="dxa"/>
              <w:right w:w="100" w:type="dxa"/>
            </w:tcMar>
            <w:vAlign w:val="center"/>
          </w:tcPr>
          <w:p>
            <w:r/>
            <w:r>
              <w:rPr>
                <w:b/>
                <w:color w:val="FFFFFF"/>
                <w:sz w:val="18"/>
              </w:rPr>
              <w:t>Strength</w:t>
            </w:r>
          </w:p>
        </w:tc>
        <w:tc>
          <w:tcPr>
            <w:tcW w:type="dxa" w:w="2239"/>
            <w:shd w:val="clear" w:color="auto" w:fill="252320"/>
            <w:tcMar>
              <w:top w:w="60" w:type="dxa"/>
              <w:bottom w:w="60" w:type="dxa"/>
              <w:left w:w="100" w:type="dxa"/>
              <w:right w:w="100" w:type="dxa"/>
            </w:tcMar>
            <w:vAlign w:val="center"/>
          </w:tcPr>
          <w:p>
            <w:r/>
            <w:r>
              <w:rPr>
                <w:b/>
                <w:color w:val="FFFFFF"/>
                <w:sz w:val="18"/>
              </w:rPr>
              <w:t>Where BIK differentiates / integrates</w:t>
            </w:r>
          </w:p>
        </w:tc>
      </w:tr>
      <w:tr>
        <w:tc>
          <w:tcPr>
            <w:tcW w:type="dxa" w:w="2239"/>
            <w:tcMar>
              <w:top w:w="60" w:type="dxa"/>
              <w:bottom w:w="60" w:type="dxa"/>
              <w:left w:w="100" w:type="dxa"/>
              <w:right w:w="100" w:type="dxa"/>
            </w:tcMar>
            <w:vAlign w:val="center"/>
          </w:tcPr>
          <w:p>
            <w:r/>
            <w:r>
              <w:rPr>
                <w:color w:val="3A3835"/>
                <w:sz w:val="18"/>
              </w:rPr>
              <w:t>Xero</w:t>
            </w:r>
          </w:p>
        </w:tc>
        <w:tc>
          <w:tcPr>
            <w:tcW w:type="dxa" w:w="2239"/>
            <w:tcMar>
              <w:top w:w="60" w:type="dxa"/>
              <w:bottom w:w="60" w:type="dxa"/>
              <w:left w:w="100" w:type="dxa"/>
              <w:right w:w="100" w:type="dxa"/>
            </w:tcMar>
            <w:vAlign w:val="center"/>
          </w:tcPr>
          <w:p>
            <w:r/>
            <w:r>
              <w:rPr>
                <w:color w:val="3A3835"/>
                <w:sz w:val="18"/>
              </w:rPr>
              <w:t>Cloud accounting</w:t>
            </w:r>
          </w:p>
        </w:tc>
        <w:tc>
          <w:tcPr>
            <w:tcW w:type="dxa" w:w="2239"/>
            <w:tcMar>
              <w:top w:w="60" w:type="dxa"/>
              <w:bottom w:w="60" w:type="dxa"/>
              <w:left w:w="100" w:type="dxa"/>
              <w:right w:w="100" w:type="dxa"/>
            </w:tcMar>
            <w:vAlign w:val="center"/>
          </w:tcPr>
          <w:p>
            <w:r/>
            <w:r>
              <w:rPr>
                <w:color w:val="3A3835"/>
                <w:sz w:val="18"/>
              </w:rPr>
              <w:t>Ubiquitous in AU SME accounting</w:t>
            </w:r>
          </w:p>
        </w:tc>
        <w:tc>
          <w:tcPr>
            <w:tcW w:type="dxa" w:w="2239"/>
            <w:tcMar>
              <w:top w:w="60" w:type="dxa"/>
              <w:bottom w:w="60" w:type="dxa"/>
              <w:left w:w="100" w:type="dxa"/>
              <w:right w:w="100" w:type="dxa"/>
            </w:tcMar>
            <w:vAlign w:val="center"/>
          </w:tcPr>
          <w:p>
            <w:r/>
            <w:r>
              <w:rPr>
                <w:color w:val="3A3835"/>
                <w:sz w:val="18"/>
              </w:rPr>
              <w:t>BIK generates the quotes, variations and progress claims that feed into Xero — a partner, not a competitor, and a live Phase 3 integration target</w:t>
            </w:r>
          </w:p>
        </w:tc>
      </w:tr>
      <w:tr>
        <w:tc>
          <w:tcPr>
            <w:tcW w:type="dxa" w:w="2239"/>
            <w:tcMar>
              <w:top w:w="60" w:type="dxa"/>
              <w:bottom w:w="60" w:type="dxa"/>
              <w:left w:w="100" w:type="dxa"/>
              <w:right w:w="100" w:type="dxa"/>
            </w:tcMar>
            <w:vAlign w:val="center"/>
            <w:shd w:val="clear" w:color="auto" w:fill="F2EFEA"/>
          </w:tcPr>
          <w:p>
            <w:r/>
            <w:r>
              <w:rPr>
                <w:color w:val="3A3835"/>
                <w:sz w:val="18"/>
              </w:rPr>
              <w:t>MYOB</w:t>
            </w:r>
          </w:p>
        </w:tc>
        <w:tc>
          <w:tcPr>
            <w:tcW w:type="dxa" w:w="2239"/>
            <w:tcMar>
              <w:top w:w="60" w:type="dxa"/>
              <w:bottom w:w="60" w:type="dxa"/>
              <w:left w:w="100" w:type="dxa"/>
              <w:right w:w="100" w:type="dxa"/>
            </w:tcMar>
            <w:vAlign w:val="center"/>
            <w:shd w:val="clear" w:color="auto" w:fill="F2EFEA"/>
          </w:tcPr>
          <w:p>
            <w:r/>
            <w:r>
              <w:rPr>
                <w:color w:val="3A3835"/>
                <w:sz w:val="18"/>
              </w:rPr>
              <w:t>Cloud accounting, AU-native</w:t>
            </w:r>
          </w:p>
        </w:tc>
        <w:tc>
          <w:tcPr>
            <w:tcW w:type="dxa" w:w="2239"/>
            <w:tcMar>
              <w:top w:w="60" w:type="dxa"/>
              <w:bottom w:w="60" w:type="dxa"/>
              <w:left w:w="100" w:type="dxa"/>
              <w:right w:w="100" w:type="dxa"/>
            </w:tcMar>
            <w:vAlign w:val="center"/>
            <w:shd w:val="clear" w:color="auto" w:fill="F2EFEA"/>
          </w:tcPr>
          <w:p>
            <w:r/>
            <w:r>
              <w:rPr>
                <w:color w:val="3A3835"/>
                <w:sz w:val="18"/>
              </w:rPr>
              <w:t>Strong AU tax and payroll compliance</w:t>
            </w:r>
          </w:p>
        </w:tc>
        <w:tc>
          <w:tcPr>
            <w:tcW w:type="dxa" w:w="2239"/>
            <w:tcMar>
              <w:top w:w="60" w:type="dxa"/>
              <w:bottom w:w="60" w:type="dxa"/>
              <w:left w:w="100" w:type="dxa"/>
              <w:right w:w="100" w:type="dxa"/>
            </w:tcMar>
            <w:vAlign w:val="center"/>
            <w:shd w:val="clear" w:color="auto" w:fill="F2EFEA"/>
          </w:tcPr>
          <w:p>
            <w:r/>
            <w:r>
              <w:rPr>
                <w:color w:val="3A3835"/>
                <w:sz w:val="18"/>
              </w:rPr>
              <w:t>Same complementary relationship as Xero — BIK's integration layer already has a MYOB provider stub built</w:t>
            </w:r>
          </w:p>
        </w:tc>
      </w:tr>
      <w:tr>
        <w:tc>
          <w:tcPr>
            <w:tcW w:type="dxa" w:w="2239"/>
            <w:tcMar>
              <w:top w:w="60" w:type="dxa"/>
              <w:bottom w:w="60" w:type="dxa"/>
              <w:left w:w="100" w:type="dxa"/>
              <w:right w:w="100" w:type="dxa"/>
            </w:tcMar>
            <w:vAlign w:val="center"/>
          </w:tcPr>
          <w:p>
            <w:r/>
            <w:r>
              <w:rPr>
                <w:color w:val="3A3835"/>
                <w:sz w:val="18"/>
              </w:rPr>
              <w:t>QuickBooks</w:t>
            </w:r>
          </w:p>
        </w:tc>
        <w:tc>
          <w:tcPr>
            <w:tcW w:type="dxa" w:w="2239"/>
            <w:tcMar>
              <w:top w:w="60" w:type="dxa"/>
              <w:bottom w:w="60" w:type="dxa"/>
              <w:left w:w="100" w:type="dxa"/>
              <w:right w:w="100" w:type="dxa"/>
            </w:tcMar>
            <w:vAlign w:val="center"/>
          </w:tcPr>
          <w:p>
            <w:r/>
            <w:r>
              <w:rPr>
                <w:color w:val="3A3835"/>
                <w:sz w:val="18"/>
              </w:rPr>
              <w:t>Cloud accounting</w:t>
            </w:r>
          </w:p>
        </w:tc>
        <w:tc>
          <w:tcPr>
            <w:tcW w:type="dxa" w:w="2239"/>
            <w:tcMar>
              <w:top w:w="60" w:type="dxa"/>
              <w:bottom w:w="60" w:type="dxa"/>
              <w:left w:w="100" w:type="dxa"/>
              <w:right w:w="100" w:type="dxa"/>
            </w:tcMar>
            <w:vAlign w:val="center"/>
          </w:tcPr>
          <w:p>
            <w:r/>
            <w:r>
              <w:rPr>
                <w:color w:val="3A3835"/>
                <w:sz w:val="18"/>
              </w:rPr>
              <w:t>Strong SME accounting adoption</w:t>
            </w:r>
          </w:p>
        </w:tc>
        <w:tc>
          <w:tcPr>
            <w:tcW w:type="dxa" w:w="2239"/>
            <w:tcMar>
              <w:top w:w="60" w:type="dxa"/>
              <w:bottom w:w="60" w:type="dxa"/>
              <w:left w:w="100" w:type="dxa"/>
              <w:right w:w="100" w:type="dxa"/>
            </w:tcMar>
            <w:vAlign w:val="center"/>
          </w:tcPr>
          <w:p>
            <w:r/>
            <w:r>
              <w:rPr>
                <w:color w:val="3A3835"/>
                <w:sz w:val="18"/>
              </w:rPr>
              <w:t>Same pattern — BIK is upstream of the accounting system, not a replacement for it</w:t>
            </w:r>
          </w:p>
        </w:tc>
      </w:tr>
    </w:tbl>
    <w:p>
      <w:pPr>
        <w:spacing w:after="120"/>
      </w:pPr>
    </w:p>
    <w:p>
      <w:pPr>
        <w:pStyle w:val="BIKH2"/>
      </w:pPr>
      <w:r>
        <w:t>GENERIC AI</w:t>
      </w:r>
    </w:p>
    <w:p>
      <w:pPr>
        <w:pStyle w:val="BIKBody"/>
        <w:jc w:val="both"/>
      </w:pPr>
      <w:r>
        <w:t>ChatGPT and equivalent general-purpose assistants are, in practice, BIK's most common substitute — not because they are good at this job, but because they are free, familiar and already open in a browser tab. They produce fluent prose with no construction-specific structure, no Australian compliance awareness, no document history, no audit trail, and — critically — no guardrail equivalent to Decision 001 against confidently inventing detail the user never supplied. This is the single most important "competitor" row in this table because it is the behaviour change BIK's marketing must actually win, not the more visible trade-software competitors above.</w:t>
      </w:r>
    </w:p>
    <w:p>
      <w:pPr>
        <w:pStyle w:val="BIKH1"/>
      </w:pPr>
      <w:r>
        <w:t>Competitor Deep-Dive Profiles</w:t>
      </w:r>
    </w:p>
    <w:p>
      <w:pPr>
        <w:pStyle w:val="BIKBody"/>
        <w:jc w:val="both"/>
      </w:pPr>
      <w:r>
        <w:t>The tables above summarise positioning; the profiles below give the fuller picture for the thirteen companies BIK is most frequently asked to compare itself against, including pricing detail and the specific commercial opportunity or risk each one represents.</w:t>
      </w:r>
    </w:p>
    <w:p>
      <w:pPr>
        <w:pStyle w:val="BIKH2"/>
      </w:pPr>
      <w:r>
        <w:t>BUILDXACT</w:t>
      </w:r>
    </w:p>
    <w:p>
      <w:pPr>
        <w:pStyle w:val="BIKBody"/>
        <w:jc w:val="both"/>
      </w:pPr>
      <w:r>
        <w:t>An Australian-founded estimating and quoting platform for residential builders and remodelers, priced from roughly $187/month. Buildxact's core strength is takeoff and estimating accuracy — it is genuinely excellent at turning a plan set into a materials and labour estimate. It is not AI-first and its document generation is narrow (quotes and basic job costing), which is precisely the gap BIK's broader document catalogue addresses. Buildxact is the single most plausible incumbent to add generative AI document features, and is named explicitly in Chapter 26's risk register.</w:t>
      </w:r>
    </w:p>
    <w:p>
      <w:pPr>
        <w:pStyle w:val="BIKH2"/>
      </w:pPr>
      <w:r>
        <w:t>SERVICEM8</w:t>
      </w:r>
    </w:p>
    <w:p>
      <w:pPr>
        <w:pStyle w:val="BIKBody"/>
        <w:jc w:val="both"/>
      </w:pPr>
      <w:r>
        <w:t>A field-service management platform popular with single-trade service businesses (electricians, plumbers, HVAC), priced from around $29/month per user. Excellent at scheduling, dispatch and on-the-spot invoicing. Not focused on compliance or long-form document drafting — a job card and an invoice are not a scope of works or a SWMS. BIK is complementary rather than competitive here, and ServiceM8's own customer base is a plausible future integration and channel partner (Chapter 22).</w:t>
      </w:r>
    </w:p>
    <w:p>
      <w:pPr>
        <w:pStyle w:val="BIKH2"/>
      </w:pPr>
      <w:r>
        <w:t>SIMPRO</w:t>
      </w:r>
    </w:p>
    <w:p>
      <w:pPr>
        <w:pStyle w:val="BIKBody"/>
        <w:jc w:val="both"/>
      </w:pPr>
      <w:r>
        <w:t>A job management platform aimed at mid-size and larger trade contractors, with enterprise-leaning, custom pricing. simPRO scales up further than BIK's core segment and is a reasonable choice for a 50+ staff trade business — outside BIK's primary 1–20 person target market, but a name BIK is regularly compared against by businesses approaching that size.</w:t>
      </w:r>
    </w:p>
    <w:p>
      <w:pPr>
        <w:pStyle w:val="BIKH2"/>
      </w:pPr>
      <w:r>
        <w:t>AROFLO</w:t>
      </w:r>
    </w:p>
    <w:p>
      <w:pPr>
        <w:pStyle w:val="BIKBody"/>
        <w:jc w:val="both"/>
      </w:pPr>
      <w:r>
        <w:t>An Australian job and asset management platform for trades, priced from around $25/user/month. Solid, well-regarded all-rounder for job tracking and workflow, with the same structural gap as ServiceM8 and simPRO: document generation and compliance drafting are secondary features bolted onto a scheduling-first product, not the core offering.</w:t>
      </w:r>
    </w:p>
    <w:p>
      <w:pPr>
        <w:pStyle w:val="BIKH2"/>
      </w:pPr>
      <w:r>
        <w:t>TRADIFY</w:t>
      </w:r>
    </w:p>
    <w:p>
      <w:pPr>
        <w:pStyle w:val="BIKBody"/>
        <w:jc w:val="both"/>
      </w:pPr>
      <w:r>
        <w:t>A New Zealand-founded job management tool for small trade businesses, priced from around $29/month, closest to BIK in target customer size (solo trades and small teams). Well-loved for its simplicity. Not AI-native and not focused on the compliance-grade document quality BIK is built around — the clearest "adjacent, not competing" comparison in the field-service category.</w:t>
      </w:r>
    </w:p>
    <w:p>
      <w:pPr>
        <w:pStyle w:val="BIKH2"/>
      </w:pPr>
      <w:r>
        <w:t>FERGUS</w:t>
      </w:r>
    </w:p>
    <w:p>
      <w:pPr>
        <w:pStyle w:val="BIKBody"/>
        <w:jc w:val="both"/>
      </w:pPr>
      <w:r>
        <w:t>Also New Zealand-founded, job management software with a strong reputation for profitability and job costing reporting, priced from around $29/user/month. No meaningful AI document generation layer. Fergus's NZ heritage and AU/NZ customer base make it a useful reference point for BIK's own planned New Zealand expansion (Chapter 23) — both the competitive landscape BIK would enter and a signal that the AU/NZ trade software market is a single, closely related market.</w:t>
      </w:r>
    </w:p>
    <w:p>
      <w:pPr>
        <w:pStyle w:val="BIKH2"/>
      </w:pPr>
      <w:r>
        <w:t>BUILDERTREND</w:t>
      </w:r>
    </w:p>
    <w:p>
      <w:pPr>
        <w:pStyle w:val="BIKBody"/>
        <w:jc w:val="both"/>
      </w:pPr>
      <w:r>
        <w:t>A US-founded construction project management platform for residential builders and remodelers, priced from roughly US$199/month. Comprehensive client-facing project management, portals and scheduling. Pricing and design are US-centric and enterprise-leaning relative to BIK's Australian SME target, and it carries no Australian-specific compliance awareness (BIF Act, state Security of Payment regimes, Australian WHS structure).</w:t>
      </w:r>
    </w:p>
    <w:p>
      <w:pPr>
        <w:pStyle w:val="BIKH2"/>
      </w:pPr>
      <w:r>
        <w:t>PROCORE</w:t>
      </w:r>
    </w:p>
    <w:p>
      <w:pPr>
        <w:pStyle w:val="BIKBody"/>
        <w:jc w:val="both"/>
      </w:pPr>
      <w:r>
        <w:t>The dominant enterprise construction project management platform globally, built for large commercial builders, head contractors and major project owners. Comprehensive and genuinely best-in-class at what it does, but priced and designed for organisations far larger than BIK's core market — a 5-person trade business would find Procore both unaffordable and a poor functional fit. Procore is named in Chapter 24 as a plausible long-horizon strategic acquirer specifically because it structurally cannot reach the SME segment BIK owns.</w:t>
      </w:r>
    </w:p>
    <w:p>
      <w:pPr>
        <w:pStyle w:val="BIKH2"/>
      </w:pPr>
      <w:r>
        <w:t>AUTODESK CONSTRUCTION CLOUD</w:t>
      </w:r>
    </w:p>
    <w:p>
      <w:pPr>
        <w:pStyle w:val="BIKBody"/>
        <w:jc w:val="both"/>
      </w:pPr>
      <w:r>
        <w:t>An enterprise BIM and construction management suite from Autodesk, deeply integrated with design and modelling workflows. Reaches architects, engineers and large builders — a different buyer and a different use case entirely from BIK's day-to-day administrative document generation for small trade businesses. Included in this analysis because it is one of the most-recognised names in construction software and a useful boundary-marker for what BIK is deliberately not building (Chapter 8).</w:t>
      </w:r>
    </w:p>
    <w:p>
      <w:pPr>
        <w:pStyle w:val="BIKH2"/>
      </w:pPr>
      <w:r>
        <w:t>ORACLE ACONEX</w:t>
      </w:r>
    </w:p>
    <w:p>
      <w:pPr>
        <w:pStyle w:val="BIKBody"/>
        <w:jc w:val="both"/>
      </w:pPr>
      <w:r>
        <w:t>Enterprise document control software for large and complex construction projects — formal transmittals, RFIs, and document version control at a scale relevant to major infrastructure and commercial projects. A genuinely different market: Aconex solves project document control for multi-party mega-projects, while BIK solves administrative document generation for small businesses. The two would rarely be evaluated against each other by a real buyer, but the comparison is common in construction-tech market maps and is addressed here for completeness.</w:t>
      </w:r>
    </w:p>
    <w:p>
      <w:pPr>
        <w:pStyle w:val="BIKH2"/>
      </w:pPr>
      <w:r>
        <w:t>XERO</w:t>
      </w:r>
    </w:p>
    <w:p>
      <w:pPr>
        <w:pStyle w:val="BIKBody"/>
        <w:jc w:val="both"/>
      </w:pPr>
      <w:r>
        <w:t>The dominant cloud accounting platform for Australian SMEs, including the great majority of BIK's target trade businesses. Xero is not a competitor in any meaningful sense — BIK generates the quotes, variations and progress claims that a business then reconciles and invoices through Xero. A live Xero integration (contacts, invoices, quotes) is architected today and targeted for Phase 3 (Chapter 13), making Xero simultaneously the platform BIK most needs to integrate with and, per Chapter 24, one of the most strategically logical acquirers of BIK's document layer.</w:t>
      </w:r>
    </w:p>
    <w:p>
      <w:pPr>
        <w:pStyle w:val="BIKH2"/>
      </w:pPr>
      <w:r>
        <w:t>MYOB</w:t>
      </w:r>
    </w:p>
    <w:p>
      <w:pPr>
        <w:pStyle w:val="BIKBody"/>
        <w:jc w:val="both"/>
      </w:pPr>
      <w:r>
        <w:t>The second major Australian-native cloud accounting platform, with particular strength in payroll and AU tax compliance. Same complementary relationship as Xero; a MYOB provider stub is already built in BIK's integration layer (Appendix B), covering contacts, invoices and quotes.</w:t>
      </w:r>
    </w:p>
    <w:p>
      <w:pPr>
        <w:pStyle w:val="BIKH2"/>
      </w:pPr>
      <w:r>
        <w:t>QUICKBOOKS</w:t>
      </w:r>
    </w:p>
    <w:p>
      <w:pPr>
        <w:pStyle w:val="BIKBody"/>
        <w:jc w:val="both"/>
      </w:pPr>
      <w:r>
        <w:t>Intuit's cloud accounting platform, with a smaller but meaningful share of the Australian SME market relative to Xero and MYOB. Same complementary, upstream relationship — BIK is positioned as the document-generation layer that feeds a business's existing accounting system, whichever of the three it uses.</w:t>
      </w:r>
    </w:p>
    <w:p>
      <w:pPr>
        <w:pStyle w:val="BIKH1"/>
      </w:pPr>
      <w:r>
        <w:t>Emerging AI-Native Competitors</w:t>
      </w:r>
    </w:p>
    <w:p>
      <w:pPr>
        <w:pStyle w:val="BIKBody"/>
        <w:jc w:val="both"/>
      </w:pPr>
      <w:r>
        <w:t>As of mid-2026, no venture-scale AI-native competitor has achieved meaningful, publicly visible AU construction-market share with the same document-and-compliance focus as BIK. The most likely emerging-competitor pattern is not a new entrant from zero, but an existing trade-software incumbent (most plausibly Buildxact, ServiceM8 or Tradify, given their SME-native distribution) bolting on generative AI document features to an existing platform. BIK's Risk Register (Chapter 26) treats this as a moderate-likelihood, moderate-impact risk and names the mitigations explicitly: move on Phase 2 infrastructure and Phase 3 integration depth with real urgency, because workflow lock-in compounds fastest for whoever builds it first.</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THE HONEST COMPETITIVE READ</w:t>
            </w:r>
          </w:p>
          <w:p>
            <w:r>
              <w:rPr>
                <w:color w:val="FFFFFF"/>
                <w:sz w:val="20"/>
              </w:rPr>
              <w:t>BIK does not currently face a well-funded, AI-native, Australian-construction-specific direct competitor. That is precisely why the next 18 months (Phases 2–3) matter more than any single feature decision: the advantage available today is a sequencing advantage, and sequencing advantages erode if not used.</w:t>
            </w:r>
          </w:p>
        </w:tc>
      </w:tr>
    </w:tbl>
    <w:p>
      <w:pPr>
        <w:spacing w:after="80"/>
      </w:pPr>
    </w:p>
    <w:p>
      <w:pPr>
        <w:pStyle w:val="BIKChapterLabel"/>
      </w:pPr>
      <w:r>
        <w:t>PART E — MARKET &amp; COMPETITION</w:t>
      </w:r>
    </w:p>
    <w:p>
      <w:pPr>
        <w:pStyle w:val="BIKChapterTitle"/>
        <w:pBdr>
          <w:bottom w:val="single" w:sz="18" w:space="8" w:color="D85A30"/>
        </w:pBdr>
      </w:pPr>
      <w:r>
        <w:t>18   Competitive Positioning, SWOT &amp; Strategic Canvases</w:t>
      </w:r>
    </w:p>
    <w:p>
      <w:pPr>
        <w:pStyle w:val="BIKH1"/>
      </w:pPr>
      <w:r>
        <w:t>Positioning Statement</w:t>
      </w:r>
    </w:p>
    <w:p>
      <w:pPr>
        <w:pStyle w:val="BIKQuote"/>
        <w:ind w:left="567" w:right="567"/>
        <w:pBdr>
          <w:left w:val="single" w:sz="18" w:space="10" w:color="D85A30"/>
        </w:pBdr>
      </w:pPr>
      <w:r>
        <w:t>“BIK Business Toolkit is the only AI-powered document and compliance platform built specifically for Australian trade businesses — fast enough for a sole trader, powerful enough for a 20-person builder.”</w:t>
      </w:r>
    </w:p>
    <w:p>
      <w:pPr>
        <w:pStyle w:val="BIKSmall"/>
        <w:ind w:left="567"/>
      </w:pPr>
      <w:r>
        <w:t>— docs/business-strategy.md</w:t>
      </w:r>
    </w:p>
    <w:p>
      <w:pPr>
        <w:pStyle w:val="BIKH1"/>
      </w:pPr>
      <w:r>
        <w:t>SWOT Analysis</w:t>
      </w:r>
    </w:p>
    <w:p>
      <w:pPr>
        <w:jc w:val="center"/>
      </w:pPr>
      <w:r>
        <w:drawing>
          <wp:inline xmlns:a="http://schemas.openxmlformats.org/drawingml/2006/main" xmlns:pic="http://schemas.openxmlformats.org/drawingml/2006/picture">
            <wp:extent cx="5943600" cy="5209151"/>
            <wp:docPr id="12" name="Picture 12"/>
            <wp:cNvGraphicFramePr>
              <a:graphicFrameLocks noChangeAspect="1"/>
            </wp:cNvGraphicFramePr>
            <a:graphic>
              <a:graphicData uri="http://schemas.openxmlformats.org/drawingml/2006/picture">
                <pic:pic>
                  <pic:nvPicPr>
                    <pic:cNvPr id="0" name="swot.png"/>
                    <pic:cNvPicPr/>
                  </pic:nvPicPr>
                  <pic:blipFill>
                    <a:blip r:embed="rId15"/>
                    <a:stretch>
                      <a:fillRect/>
                    </a:stretch>
                  </pic:blipFill>
                  <pic:spPr>
                    <a:xfrm>
                      <a:off x="0" y="0"/>
                      <a:ext cx="5943600" cy="5209151"/>
                    </a:xfrm>
                    <a:prstGeom prst="rect"/>
                  </pic:spPr>
                </pic:pic>
              </a:graphicData>
            </a:graphic>
          </wp:inline>
        </w:drawing>
      </w:r>
    </w:p>
    <w:p>
      <w:pPr>
        <w:pStyle w:val="BIKCaption"/>
        <w:jc w:val="center"/>
      </w:pPr>
      <w:r>
        <w:t>Figure 18.1 — SWOT Analysis, BIK Solutions (repeated from Chapter 7 for reference in context)</w:t>
      </w:r>
    </w:p>
    <w:p>
      <w:pPr>
        <w:pStyle w:val="BIKH2"/>
      </w:pPr>
      <w:r>
        <w:t>READING THE SWOT STRATEGICALLY</w:t>
      </w:r>
    </w:p>
    <w:p>
      <w:pPr>
        <w:pStyle w:val="ListBullet"/>
      </w:pPr>
      <w:r>
        <w:rPr>
          <w:b/>
          <w:color w:val="252320"/>
        </w:rPr>
        <w:t xml:space="preserve">Strengths → Opportunities. </w:t>
      </w:r>
      <w:r>
        <w:t>Founder-market fit and governance-first AI are exactly the credibility signals needed to win industry association partnerships and enterprise/white-label conversations (Chapter 22).</w:t>
      </w:r>
    </w:p>
    <w:p>
      <w:pPr>
        <w:pStyle w:val="ListBullet"/>
      </w:pPr>
      <w:r>
        <w:rPr>
          <w:b/>
          <w:color w:val="252320"/>
        </w:rPr>
        <w:t xml:space="preserve">Weaknesses → Threats. </w:t>
      </w:r>
      <w:r>
        <w:t>Pre-revenue status on the SaaS unit and key-person concentration are the two weaknesses most likely to compound a threat (an incumbent moving first, or a cash flow gap) into a real strategic problem — both are addressed directly in the Phase 2 investment case (Chapter 19) and the risk mitigations of Chapter 26.</w:t>
      </w:r>
    </w:p>
    <w:p>
      <w:pPr>
        <w:pStyle w:val="BIKH1"/>
      </w:pPr>
      <w:r>
        <w:t>Business Model Canvas and Lean Canvas — Cross-Reference</w:t>
      </w:r>
    </w:p>
    <w:p>
      <w:pPr>
        <w:pStyle w:val="BIKBody"/>
        <w:jc w:val="both"/>
      </w:pPr>
      <w:r>
        <w:t>The Business Model Canvas (Figure 3.1, Chapter 3) and Lean Canvas (Figure 15.1, Chapter 15) are presented earlier in this document alongside the sections they most directly support — the business case and the commercial model, respectively — rather than repeated here. Read together with the SWOT above and the Porter's Five Forces in Chapter 16, they form a complete standard strategic toolkit view of the business for Board and investor reference.</w:t>
      </w:r>
    </w:p>
    <w:p>
      <w:pPr>
        <w:pStyle w:val="BIKH1"/>
      </w:pPr>
      <w:r>
        <w:t>Sustainable Differentiation Summary</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Dimension</w:t>
            </w:r>
          </w:p>
        </w:tc>
        <w:tc>
          <w:tcPr>
            <w:tcW w:type="dxa" w:w="2986"/>
            <w:shd w:val="clear" w:color="auto" w:fill="252320"/>
            <w:tcMar>
              <w:top w:w="60" w:type="dxa"/>
              <w:bottom w:w="60" w:type="dxa"/>
              <w:left w:w="100" w:type="dxa"/>
              <w:right w:w="100" w:type="dxa"/>
            </w:tcMar>
            <w:vAlign w:val="center"/>
          </w:tcPr>
          <w:p>
            <w:r/>
            <w:r>
              <w:rPr>
                <w:b/>
                <w:color w:val="FFFFFF"/>
                <w:sz w:val="18"/>
              </w:rPr>
              <w:t>BIK's position</w:t>
            </w:r>
          </w:p>
        </w:tc>
        <w:tc>
          <w:tcPr>
            <w:tcW w:type="dxa" w:w="2986"/>
            <w:shd w:val="clear" w:color="auto" w:fill="252320"/>
            <w:tcMar>
              <w:top w:w="60" w:type="dxa"/>
              <w:bottom w:w="60" w:type="dxa"/>
              <w:left w:w="100" w:type="dxa"/>
              <w:right w:w="100" w:type="dxa"/>
            </w:tcMar>
            <w:vAlign w:val="center"/>
          </w:tcPr>
          <w:p>
            <w:r/>
            <w:r>
              <w:rPr>
                <w:b/>
                <w:color w:val="FFFFFF"/>
                <w:sz w:val="18"/>
              </w:rPr>
              <w:t>Durability</w:t>
            </w:r>
          </w:p>
        </w:tc>
      </w:tr>
      <w:tr>
        <w:tc>
          <w:tcPr>
            <w:tcW w:type="dxa" w:w="2986"/>
            <w:tcMar>
              <w:top w:w="60" w:type="dxa"/>
              <w:bottom w:w="60" w:type="dxa"/>
              <w:left w:w="100" w:type="dxa"/>
              <w:right w:w="100" w:type="dxa"/>
            </w:tcMar>
            <w:vAlign w:val="center"/>
          </w:tcPr>
          <w:p>
            <w:r/>
            <w:r>
              <w:rPr>
                <w:color w:val="3A3835"/>
                <w:sz w:val="18"/>
              </w:rPr>
              <w:t>Price</w:t>
            </w:r>
          </w:p>
        </w:tc>
        <w:tc>
          <w:tcPr>
            <w:tcW w:type="dxa" w:w="2986"/>
            <w:tcMar>
              <w:top w:w="60" w:type="dxa"/>
              <w:bottom w:w="60" w:type="dxa"/>
              <w:left w:w="100" w:type="dxa"/>
              <w:right w:w="100" w:type="dxa"/>
            </w:tcMar>
            <w:vAlign w:val="center"/>
          </w:tcPr>
          <w:p>
            <w:r/>
            <w:r>
              <w:rPr>
                <w:color w:val="3A3835"/>
                <w:sz w:val="18"/>
              </w:rPr>
              <w:t>Mid-market SME pricing ($19–99), well below enterprise platforms, comparable to trade job-management tools</w:t>
            </w:r>
          </w:p>
        </w:tc>
        <w:tc>
          <w:tcPr>
            <w:tcW w:type="dxa" w:w="2986"/>
            <w:tcMar>
              <w:top w:w="60" w:type="dxa"/>
              <w:bottom w:w="60" w:type="dxa"/>
              <w:left w:w="100" w:type="dxa"/>
              <w:right w:w="100" w:type="dxa"/>
            </w:tcMar>
            <w:vAlign w:val="center"/>
          </w:tcPr>
          <w:p>
            <w:r/>
            <w:r>
              <w:rPr>
                <w:color w:val="3A3835"/>
                <w:sz w:val="18"/>
              </w:rPr>
              <w:t>Moderate — pricing can be matched by any competitor</w:t>
            </w:r>
          </w:p>
        </w:tc>
      </w:tr>
      <w:tr>
        <w:tc>
          <w:tcPr>
            <w:tcW w:type="dxa" w:w="2986"/>
            <w:tcMar>
              <w:top w:w="60" w:type="dxa"/>
              <w:bottom w:w="60" w:type="dxa"/>
              <w:left w:w="100" w:type="dxa"/>
              <w:right w:w="100" w:type="dxa"/>
            </w:tcMar>
            <w:vAlign w:val="center"/>
            <w:shd w:val="clear" w:color="auto" w:fill="F2EFEA"/>
          </w:tcPr>
          <w:p>
            <w:r/>
            <w:r>
              <w:rPr>
                <w:color w:val="3A3835"/>
                <w:sz w:val="18"/>
              </w:rPr>
              <w:t>AI-native depth</w:t>
            </w:r>
          </w:p>
        </w:tc>
        <w:tc>
          <w:tcPr>
            <w:tcW w:type="dxa" w:w="2986"/>
            <w:tcMar>
              <w:top w:w="60" w:type="dxa"/>
              <w:bottom w:w="60" w:type="dxa"/>
              <w:left w:w="100" w:type="dxa"/>
              <w:right w:w="100" w:type="dxa"/>
            </w:tcMar>
            <w:vAlign w:val="center"/>
            <w:shd w:val="clear" w:color="auto" w:fill="F2EFEA"/>
          </w:tcPr>
          <w:p>
            <w:r/>
            <w:r>
              <w:rPr>
                <w:color w:val="3A3835"/>
                <w:sz w:val="18"/>
              </w:rPr>
              <w:t>Purpose-built document engine with construction-specific schema and a hard governance rule (Decision 001)</w:t>
            </w:r>
          </w:p>
        </w:tc>
        <w:tc>
          <w:tcPr>
            <w:tcW w:type="dxa" w:w="2986"/>
            <w:tcMar>
              <w:top w:w="60" w:type="dxa"/>
              <w:bottom w:w="60" w:type="dxa"/>
              <w:left w:w="100" w:type="dxa"/>
              <w:right w:w="100" w:type="dxa"/>
            </w:tcMar>
            <w:vAlign w:val="center"/>
            <w:shd w:val="clear" w:color="auto" w:fill="F2EFEA"/>
          </w:tcPr>
          <w:p>
            <w:r/>
            <w:r>
              <w:rPr>
                <w:color w:val="3A3835"/>
                <w:sz w:val="18"/>
              </w:rPr>
              <w:t>High — requires both technical build and cultural discipline to replicate</w:t>
            </w:r>
          </w:p>
        </w:tc>
      </w:tr>
      <w:tr>
        <w:tc>
          <w:tcPr>
            <w:tcW w:type="dxa" w:w="2986"/>
            <w:tcMar>
              <w:top w:w="60" w:type="dxa"/>
              <w:bottom w:w="60" w:type="dxa"/>
              <w:left w:w="100" w:type="dxa"/>
              <w:right w:w="100" w:type="dxa"/>
            </w:tcMar>
            <w:vAlign w:val="center"/>
          </w:tcPr>
          <w:p>
            <w:r/>
            <w:r>
              <w:rPr>
                <w:color w:val="3A3835"/>
                <w:sz w:val="18"/>
              </w:rPr>
              <w:t>Australian specificity</w:t>
            </w:r>
          </w:p>
        </w:tc>
        <w:tc>
          <w:tcPr>
            <w:tcW w:type="dxa" w:w="2986"/>
            <w:tcMar>
              <w:top w:w="60" w:type="dxa"/>
              <w:bottom w:w="60" w:type="dxa"/>
              <w:left w:w="100" w:type="dxa"/>
              <w:right w:w="100" w:type="dxa"/>
            </w:tcMar>
            <w:vAlign w:val="center"/>
          </w:tcPr>
          <w:p>
            <w:r/>
            <w:r>
              <w:rPr>
                <w:color w:val="3A3835"/>
                <w:sz w:val="18"/>
              </w:rPr>
              <w:t>AU English, AU compliance references, state-based Security of Payment awareness</w:t>
            </w:r>
          </w:p>
        </w:tc>
        <w:tc>
          <w:tcPr>
            <w:tcW w:type="dxa" w:w="2986"/>
            <w:tcMar>
              <w:top w:w="60" w:type="dxa"/>
              <w:bottom w:w="60" w:type="dxa"/>
              <w:left w:w="100" w:type="dxa"/>
              <w:right w:w="100" w:type="dxa"/>
            </w:tcMar>
            <w:vAlign w:val="center"/>
          </w:tcPr>
          <w:p>
            <w:r/>
            <w:r>
              <w:rPr>
                <w:color w:val="3A3835"/>
                <w:sz w:val="18"/>
              </w:rPr>
              <w:t>Moderate-high — buildable by a competitor, but not without material investment</w:t>
            </w:r>
          </w:p>
        </w:tc>
      </w:tr>
      <w:tr>
        <w:tc>
          <w:tcPr>
            <w:tcW w:type="dxa" w:w="2986"/>
            <w:tcMar>
              <w:top w:w="60" w:type="dxa"/>
              <w:bottom w:w="60" w:type="dxa"/>
              <w:left w:w="100" w:type="dxa"/>
              <w:right w:w="100" w:type="dxa"/>
            </w:tcMar>
            <w:vAlign w:val="center"/>
            <w:shd w:val="clear" w:color="auto" w:fill="F2EFEA"/>
          </w:tcPr>
          <w:p>
            <w:r/>
            <w:r>
              <w:rPr>
                <w:color w:val="3A3835"/>
                <w:sz w:val="18"/>
              </w:rPr>
              <w:t>Trust / brand</w:t>
            </w:r>
          </w:p>
        </w:tc>
        <w:tc>
          <w:tcPr>
            <w:tcW w:type="dxa" w:w="2986"/>
            <w:tcMar>
              <w:top w:w="60" w:type="dxa"/>
              <w:bottom w:w="60" w:type="dxa"/>
              <w:left w:w="100" w:type="dxa"/>
              <w:right w:w="100" w:type="dxa"/>
            </w:tcMar>
            <w:vAlign w:val="center"/>
            <w:shd w:val="clear" w:color="auto" w:fill="F2EFEA"/>
          </w:tcPr>
          <w:p>
            <w:r/>
            <w:r>
              <w:rPr>
                <w:color w:val="3A3835"/>
                <w:sz w:val="18"/>
              </w:rPr>
              <w:t>Inherited credibility from an operating trades business</w:t>
            </w:r>
          </w:p>
        </w:tc>
        <w:tc>
          <w:tcPr>
            <w:tcW w:type="dxa" w:w="2986"/>
            <w:tcMar>
              <w:top w:w="60" w:type="dxa"/>
              <w:bottom w:w="60" w:type="dxa"/>
              <w:left w:w="100" w:type="dxa"/>
              <w:right w:w="100" w:type="dxa"/>
            </w:tcMar>
            <w:vAlign w:val="center"/>
            <w:shd w:val="clear" w:color="auto" w:fill="F2EFEA"/>
          </w:tcPr>
          <w:p>
            <w:r/>
            <w:r>
              <w:rPr>
                <w:color w:val="3A3835"/>
                <w:sz w:val="18"/>
              </w:rPr>
              <w:t>High — cannot be bought or replicated quickly</w:t>
            </w:r>
          </w:p>
        </w:tc>
      </w:tr>
      <w:tr>
        <w:tc>
          <w:tcPr>
            <w:tcW w:type="dxa" w:w="2986"/>
            <w:tcMar>
              <w:top w:w="60" w:type="dxa"/>
              <w:bottom w:w="60" w:type="dxa"/>
              <w:left w:w="100" w:type="dxa"/>
              <w:right w:w="100" w:type="dxa"/>
            </w:tcMar>
            <w:vAlign w:val="center"/>
          </w:tcPr>
          <w:p>
            <w:r/>
            <w:r>
              <w:rPr>
                <w:color w:val="3A3835"/>
                <w:sz w:val="18"/>
              </w:rPr>
              <w:t>Integration depth</w:t>
            </w:r>
          </w:p>
        </w:tc>
        <w:tc>
          <w:tcPr>
            <w:tcW w:type="dxa" w:w="2986"/>
            <w:tcMar>
              <w:top w:w="60" w:type="dxa"/>
              <w:bottom w:w="60" w:type="dxa"/>
              <w:left w:w="100" w:type="dxa"/>
              <w:right w:w="100" w:type="dxa"/>
            </w:tcMar>
            <w:vAlign w:val="center"/>
          </w:tcPr>
          <w:p>
            <w:r/>
            <w:r>
              <w:rPr>
                <w:color w:val="3A3835"/>
                <w:sz w:val="18"/>
              </w:rPr>
              <w:t>Seven provider integration stubs architected (Xero, MYOB, QuickBooks, Buildxact, ServiceM8, SimPRO, AroFlo)</w:t>
            </w:r>
          </w:p>
        </w:tc>
        <w:tc>
          <w:tcPr>
            <w:tcW w:type="dxa" w:w="2986"/>
            <w:tcMar>
              <w:top w:w="60" w:type="dxa"/>
              <w:bottom w:w="60" w:type="dxa"/>
              <w:left w:w="100" w:type="dxa"/>
              <w:right w:w="100" w:type="dxa"/>
            </w:tcMar>
            <w:vAlign w:val="center"/>
          </w:tcPr>
          <w:p>
            <w:r/>
            <w:r>
              <w:rPr>
                <w:color w:val="3A3835"/>
                <w:sz w:val="18"/>
              </w:rPr>
              <w:t>High once live — integration switching cost compounds over time</w:t>
            </w:r>
          </w:p>
        </w:tc>
      </w:tr>
    </w:tbl>
    <w:p>
      <w:pPr>
        <w:spacing w:after="120"/>
      </w:pPr>
    </w:p>
    <w:p>
      <w:r>
        <w:br w:type="page"/>
      </w:r>
    </w:p>
    <w:p/>
    <w:p/>
    <w:p/>
    <w:p/>
    <w:p/>
    <w:p/>
    <w:p>
      <w:pPr>
        <w:jc w:val="center"/>
      </w:pPr>
      <w:r>
        <w:rPr>
          <w:b/>
          <w:color w:val="D85A30"/>
          <w:sz w:val="26"/>
        </w:rPr>
        <w:t>PART F — THE FINANCIAL MODEL</w:t>
      </w:r>
    </w:p>
    <w:p>
      <w:pPr>
        <w:jc w:val="center"/>
      </w:pPr>
      <w:r>
        <w:rPr>
          <w:b/>
          <w:color w:val="252320"/>
          <w:sz w:val="60"/>
        </w:rPr>
        <w:t>Assumptions, Five-Year Projections and Valuation Drivers</w:t>
      </w:r>
    </w:p>
    <w:p>
      <w:pPr>
        <w:jc w:val="center"/>
      </w:pPr>
      <w:r>
        <w:rPr>
          <w:i/>
          <w:color w:val="888780"/>
          <w:sz w:val="23"/>
        </w:rPr>
        <w:t>Realistic, disclosed assumptions rather than optimistic ones — every number sourced or labelled illustrative</w:t>
      </w:r>
    </w:p>
    <w:p>
      <w:r>
        <w:br w:type="page"/>
      </w:r>
    </w:p>
    <w:p>
      <w:pPr>
        <w:pStyle w:val="BIKChapterLabel"/>
      </w:pPr>
      <w:r>
        <w:t>PART F — FINANCIAL MODEL</w:t>
      </w:r>
    </w:p>
    <w:p>
      <w:pPr>
        <w:pStyle w:val="BIKChapterTitle"/>
        <w:pBdr>
          <w:bottom w:val="single" w:sz="18" w:space="8" w:color="D85A30"/>
        </w:pBdr>
      </w:pPr>
      <w:r>
        <w:t>19   Financial Model &amp; Assumptions</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A NOTE ON HOW TO READ THIS CHAPTER</w:t>
            </w:r>
          </w:p>
          <w:p>
            <w:r>
              <w:rPr>
                <w:color w:val="FFFFFF"/>
                <w:sz w:val="20"/>
              </w:rPr>
              <w:t>Every figure in this chapter is either (a) sourced directly from BIK's own pricing and roadmap documentation, or (b) an explicitly labelled illustrative planning assumption built to be conservative rather than promotional. Where BIK's internal targets (docs/pricing-strategy.md) are themselves the input, that is stated. The full assumptions register is reproduced in Appendix C.</w:t>
            </w:r>
          </w:p>
        </w:tc>
      </w:tr>
    </w:tbl>
    <w:p>
      <w:pPr>
        <w:spacing w:after="80"/>
      </w:pPr>
    </w:p>
    <w:p>
      <w:pPr>
        <w:pStyle w:val="BIKH1"/>
      </w:pPr>
      <w:r>
        <w:t>Revenue Model Recap</w:t>
      </w:r>
    </w:p>
    <w:p>
      <w:pPr>
        <w:pStyle w:val="BIKBody"/>
        <w:jc w:val="both"/>
      </w:pPr>
      <w:r>
        <w:t>BIK earns recurring revenue from four subscription tiers ($0 / $19 / $29 / $49 / $99+ monthly, with roughly 17% annual discount), supplemented by one-off digital template sales and, from Phase 4, enterprise/API/white-label licensing. The financial model in this chapter builds up from BIK's own published subscriber and MRR targets (Chapter 8) and stress-tests them against three named scenarios: Conservative (bootstrap-paced), Base Case, and Aggressive (investment-backed).</w:t>
      </w:r>
    </w:p>
    <w:p>
      <w:pPr>
        <w:pStyle w:val="BIKH1"/>
      </w:pPr>
      <w:r>
        <w:t>Customer Acquisition Assumptions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Assumption</w:t>
            </w:r>
          </w:p>
        </w:tc>
        <w:tc>
          <w:tcPr>
            <w:tcW w:type="dxa" w:w="2239"/>
            <w:shd w:val="clear" w:color="auto" w:fill="252320"/>
            <w:tcMar>
              <w:top w:w="60" w:type="dxa"/>
              <w:bottom w:w="60" w:type="dxa"/>
              <w:left w:w="100" w:type="dxa"/>
              <w:right w:w="100" w:type="dxa"/>
            </w:tcMar>
            <w:vAlign w:val="center"/>
          </w:tcPr>
          <w:p>
            <w:r/>
            <w:r>
              <w:rPr>
                <w:b/>
                <w:color w:val="FFFFFF"/>
                <w:sz w:val="18"/>
              </w:rPr>
              <w:t>Conservative</w:t>
            </w:r>
          </w:p>
        </w:tc>
        <w:tc>
          <w:tcPr>
            <w:tcW w:type="dxa" w:w="2239"/>
            <w:shd w:val="clear" w:color="auto" w:fill="252320"/>
            <w:tcMar>
              <w:top w:w="60" w:type="dxa"/>
              <w:bottom w:w="60" w:type="dxa"/>
              <w:left w:w="100" w:type="dxa"/>
              <w:right w:w="100" w:type="dxa"/>
            </w:tcMar>
            <w:vAlign w:val="center"/>
          </w:tcPr>
          <w:p>
            <w:r/>
            <w:r>
              <w:rPr>
                <w:b/>
                <w:color w:val="FFFFFF"/>
                <w:sz w:val="18"/>
              </w:rPr>
              <w:t>Base case</w:t>
            </w:r>
          </w:p>
        </w:tc>
        <w:tc>
          <w:tcPr>
            <w:tcW w:type="dxa" w:w="2239"/>
            <w:shd w:val="clear" w:color="auto" w:fill="252320"/>
            <w:tcMar>
              <w:top w:w="60" w:type="dxa"/>
              <w:bottom w:w="60" w:type="dxa"/>
              <w:left w:w="100" w:type="dxa"/>
              <w:right w:w="100" w:type="dxa"/>
            </w:tcMar>
            <w:vAlign w:val="center"/>
          </w:tcPr>
          <w:p>
            <w:r/>
            <w:r>
              <w:rPr>
                <w:b/>
                <w:color w:val="FFFFFF"/>
                <w:sz w:val="18"/>
              </w:rPr>
              <w:t>Aggressive</w:t>
            </w:r>
          </w:p>
        </w:tc>
      </w:tr>
      <w:tr>
        <w:tc>
          <w:tcPr>
            <w:tcW w:type="dxa" w:w="2239"/>
            <w:tcMar>
              <w:top w:w="60" w:type="dxa"/>
              <w:bottom w:w="60" w:type="dxa"/>
              <w:left w:w="100" w:type="dxa"/>
              <w:right w:w="100" w:type="dxa"/>
            </w:tcMar>
            <w:vAlign w:val="center"/>
          </w:tcPr>
          <w:p>
            <w:r/>
            <w:r>
              <w:rPr>
                <w:color w:val="3A3835"/>
                <w:sz w:val="18"/>
              </w:rPr>
              <w:t>Monthly organic visitors (Month 12)</w:t>
            </w:r>
          </w:p>
        </w:tc>
        <w:tc>
          <w:tcPr>
            <w:tcW w:type="dxa" w:w="2239"/>
            <w:tcMar>
              <w:top w:w="60" w:type="dxa"/>
              <w:bottom w:w="60" w:type="dxa"/>
              <w:left w:w="100" w:type="dxa"/>
              <w:right w:w="100" w:type="dxa"/>
            </w:tcMar>
            <w:vAlign w:val="center"/>
          </w:tcPr>
          <w:p>
            <w:r/>
            <w:r>
              <w:rPr>
                <w:color w:val="3A3835"/>
                <w:sz w:val="18"/>
              </w:rPr>
              <w:t>8,000</w:t>
            </w:r>
          </w:p>
        </w:tc>
        <w:tc>
          <w:tcPr>
            <w:tcW w:type="dxa" w:w="2239"/>
            <w:tcMar>
              <w:top w:w="60" w:type="dxa"/>
              <w:bottom w:w="60" w:type="dxa"/>
              <w:left w:w="100" w:type="dxa"/>
              <w:right w:w="100" w:type="dxa"/>
            </w:tcMar>
            <w:vAlign w:val="center"/>
          </w:tcPr>
          <w:p>
            <w:r/>
            <w:r>
              <w:rPr>
                <w:color w:val="3A3835"/>
                <w:sz w:val="18"/>
              </w:rPr>
              <w:t>15,000</w:t>
            </w:r>
          </w:p>
        </w:tc>
        <w:tc>
          <w:tcPr>
            <w:tcW w:type="dxa" w:w="2239"/>
            <w:tcMar>
              <w:top w:w="60" w:type="dxa"/>
              <w:bottom w:w="60" w:type="dxa"/>
              <w:left w:w="100" w:type="dxa"/>
              <w:right w:w="100" w:type="dxa"/>
            </w:tcMar>
            <w:vAlign w:val="center"/>
          </w:tcPr>
          <w:p>
            <w:r/>
            <w:r>
              <w:rPr>
                <w:color w:val="3A3835"/>
                <w:sz w:val="18"/>
              </w:rPr>
              <w:t>30,000</w:t>
            </w:r>
          </w:p>
        </w:tc>
      </w:tr>
      <w:tr>
        <w:tc>
          <w:tcPr>
            <w:tcW w:type="dxa" w:w="2239"/>
            <w:tcMar>
              <w:top w:w="60" w:type="dxa"/>
              <w:bottom w:w="60" w:type="dxa"/>
              <w:left w:w="100" w:type="dxa"/>
              <w:right w:w="100" w:type="dxa"/>
            </w:tcMar>
            <w:vAlign w:val="center"/>
            <w:shd w:val="clear" w:color="auto" w:fill="F2EFEA"/>
          </w:tcPr>
          <w:p>
            <w:r/>
            <w:r>
              <w:rPr>
                <w:color w:val="3A3835"/>
                <w:sz w:val="18"/>
              </w:rPr>
              <w:t>Visitor → email capture rate</w:t>
            </w:r>
          </w:p>
        </w:tc>
        <w:tc>
          <w:tcPr>
            <w:tcW w:type="dxa" w:w="2239"/>
            <w:tcMar>
              <w:top w:w="60" w:type="dxa"/>
              <w:bottom w:w="60" w:type="dxa"/>
              <w:left w:w="100" w:type="dxa"/>
              <w:right w:w="100" w:type="dxa"/>
            </w:tcMar>
            <w:vAlign w:val="center"/>
            <w:shd w:val="clear" w:color="auto" w:fill="F2EFEA"/>
          </w:tcPr>
          <w:p>
            <w:r/>
            <w:r>
              <w:rPr>
                <w:color w:val="3A3835"/>
                <w:sz w:val="18"/>
              </w:rPr>
              <w:t>4%</w:t>
            </w:r>
          </w:p>
        </w:tc>
        <w:tc>
          <w:tcPr>
            <w:tcW w:type="dxa" w:w="2239"/>
            <w:tcMar>
              <w:top w:w="60" w:type="dxa"/>
              <w:bottom w:w="60" w:type="dxa"/>
              <w:left w:w="100" w:type="dxa"/>
              <w:right w:w="100" w:type="dxa"/>
            </w:tcMar>
            <w:vAlign w:val="center"/>
            <w:shd w:val="clear" w:color="auto" w:fill="F2EFEA"/>
          </w:tcPr>
          <w:p>
            <w:r/>
            <w:r>
              <w:rPr>
                <w:color w:val="3A3835"/>
                <w:sz w:val="18"/>
              </w:rPr>
              <w:t>6%</w:t>
            </w:r>
          </w:p>
        </w:tc>
        <w:tc>
          <w:tcPr>
            <w:tcW w:type="dxa" w:w="2239"/>
            <w:tcMar>
              <w:top w:w="60" w:type="dxa"/>
              <w:bottom w:w="60" w:type="dxa"/>
              <w:left w:w="100" w:type="dxa"/>
              <w:right w:w="100" w:type="dxa"/>
            </w:tcMar>
            <w:vAlign w:val="center"/>
            <w:shd w:val="clear" w:color="auto" w:fill="F2EFEA"/>
          </w:tcPr>
          <w:p>
            <w:r/>
            <w:r>
              <w:rPr>
                <w:color w:val="3A3835"/>
                <w:sz w:val="18"/>
              </w:rPr>
              <w:t>8%</w:t>
            </w:r>
          </w:p>
        </w:tc>
      </w:tr>
      <w:tr>
        <w:tc>
          <w:tcPr>
            <w:tcW w:type="dxa" w:w="2239"/>
            <w:tcMar>
              <w:top w:w="60" w:type="dxa"/>
              <w:bottom w:w="60" w:type="dxa"/>
              <w:left w:w="100" w:type="dxa"/>
              <w:right w:w="100" w:type="dxa"/>
            </w:tcMar>
            <w:vAlign w:val="center"/>
          </w:tcPr>
          <w:p>
            <w:r/>
            <w:r>
              <w:rPr>
                <w:color w:val="3A3835"/>
                <w:sz w:val="18"/>
              </w:rPr>
              <w:t>Email → free signup rate</w:t>
            </w:r>
          </w:p>
        </w:tc>
        <w:tc>
          <w:tcPr>
            <w:tcW w:type="dxa" w:w="2239"/>
            <w:tcMar>
              <w:top w:w="60" w:type="dxa"/>
              <w:bottom w:w="60" w:type="dxa"/>
              <w:left w:w="100" w:type="dxa"/>
              <w:right w:w="100" w:type="dxa"/>
            </w:tcMar>
            <w:vAlign w:val="center"/>
          </w:tcPr>
          <w:p>
            <w:r/>
            <w:r>
              <w:rPr>
                <w:color w:val="3A3835"/>
                <w:sz w:val="18"/>
              </w:rPr>
              <w:t>25%</w:t>
            </w:r>
          </w:p>
        </w:tc>
        <w:tc>
          <w:tcPr>
            <w:tcW w:type="dxa" w:w="2239"/>
            <w:tcMar>
              <w:top w:w="60" w:type="dxa"/>
              <w:bottom w:w="60" w:type="dxa"/>
              <w:left w:w="100" w:type="dxa"/>
              <w:right w:w="100" w:type="dxa"/>
            </w:tcMar>
            <w:vAlign w:val="center"/>
          </w:tcPr>
          <w:p>
            <w:r/>
            <w:r>
              <w:rPr>
                <w:color w:val="3A3835"/>
                <w:sz w:val="18"/>
              </w:rPr>
              <w:t>35%</w:t>
            </w:r>
          </w:p>
        </w:tc>
        <w:tc>
          <w:tcPr>
            <w:tcW w:type="dxa" w:w="2239"/>
            <w:tcMar>
              <w:top w:w="60" w:type="dxa"/>
              <w:bottom w:w="60" w:type="dxa"/>
              <w:left w:w="100" w:type="dxa"/>
              <w:right w:w="100" w:type="dxa"/>
            </w:tcMar>
            <w:vAlign w:val="center"/>
          </w:tcPr>
          <w:p>
            <w:r/>
            <w:r>
              <w:rPr>
                <w:color w:val="3A3835"/>
                <w:sz w:val="18"/>
              </w:rPr>
              <w:t>40%</w:t>
            </w:r>
          </w:p>
        </w:tc>
      </w:tr>
      <w:tr>
        <w:tc>
          <w:tcPr>
            <w:tcW w:type="dxa" w:w="2239"/>
            <w:tcMar>
              <w:top w:w="60" w:type="dxa"/>
              <w:bottom w:w="60" w:type="dxa"/>
              <w:left w:w="100" w:type="dxa"/>
              <w:right w:w="100" w:type="dxa"/>
            </w:tcMar>
            <w:vAlign w:val="center"/>
            <w:shd w:val="clear" w:color="auto" w:fill="F2EFEA"/>
          </w:tcPr>
          <w:p>
            <w:r/>
            <w:r>
              <w:rPr>
                <w:color w:val="3A3835"/>
                <w:sz w:val="18"/>
              </w:rPr>
              <w:t>Free → paid conversion (90-day)</w:t>
            </w:r>
          </w:p>
        </w:tc>
        <w:tc>
          <w:tcPr>
            <w:tcW w:type="dxa" w:w="2239"/>
            <w:tcMar>
              <w:top w:w="60" w:type="dxa"/>
              <w:bottom w:w="60" w:type="dxa"/>
              <w:left w:w="100" w:type="dxa"/>
              <w:right w:w="100" w:type="dxa"/>
            </w:tcMar>
            <w:vAlign w:val="center"/>
            <w:shd w:val="clear" w:color="auto" w:fill="F2EFEA"/>
          </w:tcPr>
          <w:p>
            <w:r/>
            <w:r>
              <w:rPr>
                <w:color w:val="3A3835"/>
                <w:sz w:val="18"/>
              </w:rPr>
              <w:t>8%</w:t>
            </w:r>
          </w:p>
        </w:tc>
        <w:tc>
          <w:tcPr>
            <w:tcW w:type="dxa" w:w="2239"/>
            <w:tcMar>
              <w:top w:w="60" w:type="dxa"/>
              <w:bottom w:w="60" w:type="dxa"/>
              <w:left w:w="100" w:type="dxa"/>
              <w:right w:w="100" w:type="dxa"/>
            </w:tcMar>
            <w:vAlign w:val="center"/>
            <w:shd w:val="clear" w:color="auto" w:fill="F2EFEA"/>
          </w:tcPr>
          <w:p>
            <w:r/>
            <w:r>
              <w:rPr>
                <w:color w:val="3A3835"/>
                <w:sz w:val="18"/>
              </w:rPr>
              <w:t>12%</w:t>
            </w:r>
          </w:p>
        </w:tc>
        <w:tc>
          <w:tcPr>
            <w:tcW w:type="dxa" w:w="2239"/>
            <w:tcMar>
              <w:top w:w="60" w:type="dxa"/>
              <w:bottom w:w="60" w:type="dxa"/>
              <w:left w:w="100" w:type="dxa"/>
              <w:right w:w="100" w:type="dxa"/>
            </w:tcMar>
            <w:vAlign w:val="center"/>
            <w:shd w:val="clear" w:color="auto" w:fill="F2EFEA"/>
          </w:tcPr>
          <w:p>
            <w:r/>
            <w:r>
              <w:rPr>
                <w:color w:val="3A3835"/>
                <w:sz w:val="18"/>
              </w:rPr>
              <w:t>16%</w:t>
            </w:r>
          </w:p>
        </w:tc>
      </w:tr>
      <w:tr>
        <w:tc>
          <w:tcPr>
            <w:tcW w:type="dxa" w:w="2239"/>
            <w:tcMar>
              <w:top w:w="60" w:type="dxa"/>
              <w:bottom w:w="60" w:type="dxa"/>
              <w:left w:w="100" w:type="dxa"/>
              <w:right w:w="100" w:type="dxa"/>
            </w:tcMar>
            <w:vAlign w:val="center"/>
          </w:tcPr>
          <w:p>
            <w:r/>
            <w:r>
              <w:rPr>
                <w:color w:val="3A3835"/>
                <w:sz w:val="18"/>
              </w:rPr>
              <w:t>Blended CAC (paid + organic, Phase 2+)</w:t>
            </w:r>
          </w:p>
        </w:tc>
        <w:tc>
          <w:tcPr>
            <w:tcW w:type="dxa" w:w="2239"/>
            <w:tcMar>
              <w:top w:w="60" w:type="dxa"/>
              <w:bottom w:w="60" w:type="dxa"/>
              <w:left w:w="100" w:type="dxa"/>
              <w:right w:w="100" w:type="dxa"/>
            </w:tcMar>
            <w:vAlign w:val="center"/>
          </w:tcPr>
          <w:p>
            <w:r/>
            <w:r>
              <w:rPr>
                <w:color w:val="3A3835"/>
                <w:sz w:val="18"/>
              </w:rPr>
              <w:t>$65</w:t>
            </w:r>
          </w:p>
        </w:tc>
        <w:tc>
          <w:tcPr>
            <w:tcW w:type="dxa" w:w="2239"/>
            <w:tcMar>
              <w:top w:w="60" w:type="dxa"/>
              <w:bottom w:w="60" w:type="dxa"/>
              <w:left w:w="100" w:type="dxa"/>
              <w:right w:w="100" w:type="dxa"/>
            </w:tcMar>
            <w:vAlign w:val="center"/>
          </w:tcPr>
          <w:p>
            <w:r/>
            <w:r>
              <w:rPr>
                <w:color w:val="3A3835"/>
                <w:sz w:val="18"/>
              </w:rPr>
              <w:t>$45</w:t>
            </w:r>
          </w:p>
        </w:tc>
        <w:tc>
          <w:tcPr>
            <w:tcW w:type="dxa" w:w="2239"/>
            <w:tcMar>
              <w:top w:w="60" w:type="dxa"/>
              <w:bottom w:w="60" w:type="dxa"/>
              <w:left w:w="100" w:type="dxa"/>
              <w:right w:w="100" w:type="dxa"/>
            </w:tcMar>
            <w:vAlign w:val="center"/>
          </w:tcPr>
          <w:p>
            <w:r/>
            <w:r>
              <w:rPr>
                <w:color w:val="3A3835"/>
                <w:sz w:val="18"/>
              </w:rPr>
              <w:t>$35</w:t>
            </w:r>
          </w:p>
        </w:tc>
      </w:tr>
      <w:tr>
        <w:tc>
          <w:tcPr>
            <w:tcW w:type="dxa" w:w="2239"/>
            <w:tcMar>
              <w:top w:w="60" w:type="dxa"/>
              <w:bottom w:w="60" w:type="dxa"/>
              <w:left w:w="100" w:type="dxa"/>
              <w:right w:w="100" w:type="dxa"/>
            </w:tcMar>
            <w:vAlign w:val="center"/>
            <w:shd w:val="clear" w:color="auto" w:fill="F2EFEA"/>
          </w:tcPr>
          <w:p>
            <w:r/>
            <w:r>
              <w:rPr>
                <w:color w:val="3A3835"/>
                <w:sz w:val="18"/>
              </w:rPr>
              <w:t>Average monthly churn (logo)</w:t>
            </w:r>
          </w:p>
        </w:tc>
        <w:tc>
          <w:tcPr>
            <w:tcW w:type="dxa" w:w="2239"/>
            <w:tcMar>
              <w:top w:w="60" w:type="dxa"/>
              <w:bottom w:w="60" w:type="dxa"/>
              <w:left w:w="100" w:type="dxa"/>
              <w:right w:w="100" w:type="dxa"/>
            </w:tcMar>
            <w:vAlign w:val="center"/>
            <w:shd w:val="clear" w:color="auto" w:fill="F2EFEA"/>
          </w:tcPr>
          <w:p>
            <w:r/>
            <w:r>
              <w:rPr>
                <w:color w:val="3A3835"/>
                <w:sz w:val="18"/>
              </w:rPr>
              <w:t>4.5%</w:t>
            </w:r>
          </w:p>
        </w:tc>
        <w:tc>
          <w:tcPr>
            <w:tcW w:type="dxa" w:w="2239"/>
            <w:tcMar>
              <w:top w:w="60" w:type="dxa"/>
              <w:bottom w:w="60" w:type="dxa"/>
              <w:left w:w="100" w:type="dxa"/>
              <w:right w:w="100" w:type="dxa"/>
            </w:tcMar>
            <w:vAlign w:val="center"/>
            <w:shd w:val="clear" w:color="auto" w:fill="F2EFEA"/>
          </w:tcPr>
          <w:p>
            <w:r/>
            <w:r>
              <w:rPr>
                <w:color w:val="3A3835"/>
                <w:sz w:val="18"/>
              </w:rPr>
              <w:t>3.2%</w:t>
            </w:r>
          </w:p>
        </w:tc>
        <w:tc>
          <w:tcPr>
            <w:tcW w:type="dxa" w:w="2239"/>
            <w:tcMar>
              <w:top w:w="60" w:type="dxa"/>
              <w:bottom w:w="60" w:type="dxa"/>
              <w:left w:w="100" w:type="dxa"/>
              <w:right w:w="100" w:type="dxa"/>
            </w:tcMar>
            <w:vAlign w:val="center"/>
            <w:shd w:val="clear" w:color="auto" w:fill="F2EFEA"/>
          </w:tcPr>
          <w:p>
            <w:r/>
            <w:r>
              <w:rPr>
                <w:color w:val="3A3835"/>
                <w:sz w:val="18"/>
              </w:rPr>
              <w:t>2.4%</w:t>
            </w:r>
          </w:p>
        </w:tc>
      </w:tr>
      <w:tr>
        <w:tc>
          <w:tcPr>
            <w:tcW w:type="dxa" w:w="2239"/>
            <w:tcMar>
              <w:top w:w="60" w:type="dxa"/>
              <w:bottom w:w="60" w:type="dxa"/>
              <w:left w:w="100" w:type="dxa"/>
              <w:right w:w="100" w:type="dxa"/>
            </w:tcMar>
            <w:vAlign w:val="center"/>
          </w:tcPr>
          <w:p>
            <w:r/>
            <w:r>
              <w:rPr>
                <w:color w:val="3A3835"/>
                <w:sz w:val="18"/>
              </w:rPr>
              <w:t>Net revenue retention (with upsell)</w:t>
            </w:r>
          </w:p>
        </w:tc>
        <w:tc>
          <w:tcPr>
            <w:tcW w:type="dxa" w:w="2239"/>
            <w:tcMar>
              <w:top w:w="60" w:type="dxa"/>
              <w:bottom w:w="60" w:type="dxa"/>
              <w:left w:w="100" w:type="dxa"/>
              <w:right w:w="100" w:type="dxa"/>
            </w:tcMar>
            <w:vAlign w:val="center"/>
          </w:tcPr>
          <w:p>
            <w:r/>
            <w:r>
              <w:rPr>
                <w:color w:val="3A3835"/>
                <w:sz w:val="18"/>
              </w:rPr>
              <w:t>94%</w:t>
            </w:r>
          </w:p>
        </w:tc>
        <w:tc>
          <w:tcPr>
            <w:tcW w:type="dxa" w:w="2239"/>
            <w:tcMar>
              <w:top w:w="60" w:type="dxa"/>
              <w:bottom w:w="60" w:type="dxa"/>
              <w:left w:w="100" w:type="dxa"/>
              <w:right w:w="100" w:type="dxa"/>
            </w:tcMar>
            <w:vAlign w:val="center"/>
          </w:tcPr>
          <w:p>
            <w:r/>
            <w:r>
              <w:rPr>
                <w:color w:val="3A3835"/>
                <w:sz w:val="18"/>
              </w:rPr>
              <w:t>101%</w:t>
            </w:r>
          </w:p>
        </w:tc>
        <w:tc>
          <w:tcPr>
            <w:tcW w:type="dxa" w:w="2239"/>
            <w:tcMar>
              <w:top w:w="60" w:type="dxa"/>
              <w:bottom w:w="60" w:type="dxa"/>
              <w:left w:w="100" w:type="dxa"/>
              <w:right w:w="100" w:type="dxa"/>
            </w:tcMar>
            <w:vAlign w:val="center"/>
          </w:tcPr>
          <w:p>
            <w:r/>
            <w:r>
              <w:rPr>
                <w:color w:val="3A3835"/>
                <w:sz w:val="18"/>
              </w:rPr>
              <w:t>108%</w:t>
            </w:r>
          </w:p>
        </w:tc>
      </w:tr>
      <w:tr>
        <w:tc>
          <w:tcPr>
            <w:tcW w:type="dxa" w:w="2239"/>
            <w:tcMar>
              <w:top w:w="60" w:type="dxa"/>
              <w:bottom w:w="60" w:type="dxa"/>
              <w:left w:w="100" w:type="dxa"/>
              <w:right w:w="100" w:type="dxa"/>
            </w:tcMar>
            <w:vAlign w:val="center"/>
            <w:shd w:val="clear" w:color="auto" w:fill="F2EFEA"/>
          </w:tcPr>
          <w:p>
            <w:r/>
            <w:r>
              <w:rPr>
                <w:color w:val="3A3835"/>
                <w:sz w:val="18"/>
              </w:rPr>
              <w:t>Average revenue per paying user (blended)</w:t>
            </w:r>
          </w:p>
        </w:tc>
        <w:tc>
          <w:tcPr>
            <w:tcW w:type="dxa" w:w="2239"/>
            <w:tcMar>
              <w:top w:w="60" w:type="dxa"/>
              <w:bottom w:w="60" w:type="dxa"/>
              <w:left w:w="100" w:type="dxa"/>
              <w:right w:w="100" w:type="dxa"/>
            </w:tcMar>
            <w:vAlign w:val="center"/>
            <w:shd w:val="clear" w:color="auto" w:fill="F2EFEA"/>
          </w:tcPr>
          <w:p>
            <w:r/>
            <w:r>
              <w:rPr>
                <w:color w:val="3A3835"/>
                <w:sz w:val="18"/>
              </w:rPr>
              <w:t>$27/mo</w:t>
            </w:r>
          </w:p>
        </w:tc>
        <w:tc>
          <w:tcPr>
            <w:tcW w:type="dxa" w:w="2239"/>
            <w:tcMar>
              <w:top w:w="60" w:type="dxa"/>
              <w:bottom w:w="60" w:type="dxa"/>
              <w:left w:w="100" w:type="dxa"/>
              <w:right w:w="100" w:type="dxa"/>
            </w:tcMar>
            <w:vAlign w:val="center"/>
            <w:shd w:val="clear" w:color="auto" w:fill="F2EFEA"/>
          </w:tcPr>
          <w:p>
            <w:r/>
            <w:r>
              <w:rPr>
                <w:color w:val="3A3835"/>
                <w:sz w:val="18"/>
              </w:rPr>
              <w:t>$31/mo</w:t>
            </w:r>
          </w:p>
        </w:tc>
        <w:tc>
          <w:tcPr>
            <w:tcW w:type="dxa" w:w="2239"/>
            <w:tcMar>
              <w:top w:w="60" w:type="dxa"/>
              <w:bottom w:w="60" w:type="dxa"/>
              <w:left w:w="100" w:type="dxa"/>
              <w:right w:w="100" w:type="dxa"/>
            </w:tcMar>
            <w:vAlign w:val="center"/>
            <w:shd w:val="clear" w:color="auto" w:fill="F2EFEA"/>
          </w:tcPr>
          <w:p>
            <w:r/>
            <w:r>
              <w:rPr>
                <w:color w:val="3A3835"/>
                <w:sz w:val="18"/>
              </w:rPr>
              <w:t>$36/mo</w:t>
            </w:r>
          </w:p>
        </w:tc>
      </w:tr>
    </w:tbl>
    <w:p>
      <w:pPr>
        <w:pStyle w:val="BIKCaption"/>
        <w:jc w:val="center"/>
      </w:pPr>
      <w:r>
        <w:t>Illustrative planning assumptions (Appendix C, rows F1–F8). Not third-party verified market research.</w:t>
      </w:r>
    </w:p>
    <w:p>
      <w:pPr>
        <w:pStyle w:val="BIKH1"/>
      </w:pPr>
      <w:r>
        <w:t>Unit Economics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Metric</w:t>
            </w:r>
          </w:p>
        </w:tc>
        <w:tc>
          <w:tcPr>
            <w:tcW w:type="dxa" w:w="2239"/>
            <w:shd w:val="clear" w:color="auto" w:fill="252320"/>
            <w:tcMar>
              <w:top w:w="60" w:type="dxa"/>
              <w:bottom w:w="60" w:type="dxa"/>
              <w:left w:w="100" w:type="dxa"/>
              <w:right w:w="100" w:type="dxa"/>
            </w:tcMar>
            <w:vAlign w:val="center"/>
          </w:tcPr>
          <w:p>
            <w:r/>
            <w:r>
              <w:rPr>
                <w:b/>
                <w:color w:val="FFFFFF"/>
                <w:sz w:val="18"/>
              </w:rPr>
              <w:t>Conservative</w:t>
            </w:r>
          </w:p>
        </w:tc>
        <w:tc>
          <w:tcPr>
            <w:tcW w:type="dxa" w:w="2239"/>
            <w:shd w:val="clear" w:color="auto" w:fill="252320"/>
            <w:tcMar>
              <w:top w:w="60" w:type="dxa"/>
              <w:bottom w:w="60" w:type="dxa"/>
              <w:left w:w="100" w:type="dxa"/>
              <w:right w:w="100" w:type="dxa"/>
            </w:tcMar>
            <w:vAlign w:val="center"/>
          </w:tcPr>
          <w:p>
            <w:r/>
            <w:r>
              <w:rPr>
                <w:b/>
                <w:color w:val="FFFFFF"/>
                <w:sz w:val="18"/>
              </w:rPr>
              <w:t>Base case</w:t>
            </w:r>
          </w:p>
        </w:tc>
        <w:tc>
          <w:tcPr>
            <w:tcW w:type="dxa" w:w="2239"/>
            <w:shd w:val="clear" w:color="auto" w:fill="252320"/>
            <w:tcMar>
              <w:top w:w="60" w:type="dxa"/>
              <w:bottom w:w="60" w:type="dxa"/>
              <w:left w:w="100" w:type="dxa"/>
              <w:right w:w="100" w:type="dxa"/>
            </w:tcMar>
            <w:vAlign w:val="center"/>
          </w:tcPr>
          <w:p>
            <w:r/>
            <w:r>
              <w:rPr>
                <w:b/>
                <w:color w:val="FFFFFF"/>
                <w:sz w:val="18"/>
              </w:rPr>
              <w:t>Aggressive</w:t>
            </w:r>
          </w:p>
        </w:tc>
      </w:tr>
      <w:tr>
        <w:tc>
          <w:tcPr>
            <w:tcW w:type="dxa" w:w="2239"/>
            <w:tcMar>
              <w:top w:w="60" w:type="dxa"/>
              <w:bottom w:w="60" w:type="dxa"/>
              <w:left w:w="100" w:type="dxa"/>
              <w:right w:w="100" w:type="dxa"/>
            </w:tcMar>
            <w:vAlign w:val="center"/>
          </w:tcPr>
          <w:p>
            <w:r/>
            <w:r>
              <w:rPr>
                <w:color w:val="3A3835"/>
                <w:sz w:val="18"/>
              </w:rPr>
              <w:t>Customer Acquisition Cost (CAC)</w:t>
            </w:r>
          </w:p>
        </w:tc>
        <w:tc>
          <w:tcPr>
            <w:tcW w:type="dxa" w:w="2239"/>
            <w:tcMar>
              <w:top w:w="60" w:type="dxa"/>
              <w:bottom w:w="60" w:type="dxa"/>
              <w:left w:w="100" w:type="dxa"/>
              <w:right w:w="100" w:type="dxa"/>
            </w:tcMar>
            <w:vAlign w:val="center"/>
          </w:tcPr>
          <w:p>
            <w:r/>
            <w:r>
              <w:rPr>
                <w:color w:val="3A3835"/>
                <w:sz w:val="18"/>
              </w:rPr>
              <w:t>$65</w:t>
            </w:r>
          </w:p>
        </w:tc>
        <w:tc>
          <w:tcPr>
            <w:tcW w:type="dxa" w:w="2239"/>
            <w:tcMar>
              <w:top w:w="60" w:type="dxa"/>
              <w:bottom w:w="60" w:type="dxa"/>
              <w:left w:w="100" w:type="dxa"/>
              <w:right w:w="100" w:type="dxa"/>
            </w:tcMar>
            <w:vAlign w:val="center"/>
          </w:tcPr>
          <w:p>
            <w:r/>
            <w:r>
              <w:rPr>
                <w:color w:val="3A3835"/>
                <w:sz w:val="18"/>
              </w:rPr>
              <w:t>$45</w:t>
            </w:r>
          </w:p>
        </w:tc>
        <w:tc>
          <w:tcPr>
            <w:tcW w:type="dxa" w:w="2239"/>
            <w:tcMar>
              <w:top w:w="60" w:type="dxa"/>
              <w:bottom w:w="60" w:type="dxa"/>
              <w:left w:w="100" w:type="dxa"/>
              <w:right w:w="100" w:type="dxa"/>
            </w:tcMar>
            <w:vAlign w:val="center"/>
          </w:tcPr>
          <w:p>
            <w:r/>
            <w:r>
              <w:rPr>
                <w:color w:val="3A3835"/>
                <w:sz w:val="18"/>
              </w:rPr>
              <w:t>$35</w:t>
            </w:r>
          </w:p>
        </w:tc>
      </w:tr>
      <w:tr>
        <w:tc>
          <w:tcPr>
            <w:tcW w:type="dxa" w:w="2239"/>
            <w:tcMar>
              <w:top w:w="60" w:type="dxa"/>
              <w:bottom w:w="60" w:type="dxa"/>
              <w:left w:w="100" w:type="dxa"/>
              <w:right w:w="100" w:type="dxa"/>
            </w:tcMar>
            <w:vAlign w:val="center"/>
            <w:shd w:val="clear" w:color="auto" w:fill="F2EFEA"/>
          </w:tcPr>
          <w:p>
            <w:r/>
            <w:r>
              <w:rPr>
                <w:color w:val="3A3835"/>
                <w:sz w:val="18"/>
              </w:rPr>
              <w:t>Average customer lifetime (1 / monthly churn)</w:t>
            </w:r>
          </w:p>
        </w:tc>
        <w:tc>
          <w:tcPr>
            <w:tcW w:type="dxa" w:w="2239"/>
            <w:tcMar>
              <w:top w:w="60" w:type="dxa"/>
              <w:bottom w:w="60" w:type="dxa"/>
              <w:left w:w="100" w:type="dxa"/>
              <w:right w:w="100" w:type="dxa"/>
            </w:tcMar>
            <w:vAlign w:val="center"/>
            <w:shd w:val="clear" w:color="auto" w:fill="F2EFEA"/>
          </w:tcPr>
          <w:p>
            <w:r/>
            <w:r>
              <w:rPr>
                <w:color w:val="3A3835"/>
                <w:sz w:val="18"/>
              </w:rPr>
              <w:t>22 months</w:t>
            </w:r>
          </w:p>
        </w:tc>
        <w:tc>
          <w:tcPr>
            <w:tcW w:type="dxa" w:w="2239"/>
            <w:tcMar>
              <w:top w:w="60" w:type="dxa"/>
              <w:bottom w:w="60" w:type="dxa"/>
              <w:left w:w="100" w:type="dxa"/>
              <w:right w:w="100" w:type="dxa"/>
            </w:tcMar>
            <w:vAlign w:val="center"/>
            <w:shd w:val="clear" w:color="auto" w:fill="F2EFEA"/>
          </w:tcPr>
          <w:p>
            <w:r/>
            <w:r>
              <w:rPr>
                <w:color w:val="3A3835"/>
                <w:sz w:val="18"/>
              </w:rPr>
              <w:t>31 months</w:t>
            </w:r>
          </w:p>
        </w:tc>
        <w:tc>
          <w:tcPr>
            <w:tcW w:type="dxa" w:w="2239"/>
            <w:tcMar>
              <w:top w:w="60" w:type="dxa"/>
              <w:bottom w:w="60" w:type="dxa"/>
              <w:left w:w="100" w:type="dxa"/>
              <w:right w:w="100" w:type="dxa"/>
            </w:tcMar>
            <w:vAlign w:val="center"/>
            <w:shd w:val="clear" w:color="auto" w:fill="F2EFEA"/>
          </w:tcPr>
          <w:p>
            <w:r/>
            <w:r>
              <w:rPr>
                <w:color w:val="3A3835"/>
                <w:sz w:val="18"/>
              </w:rPr>
              <w:t>42 months</w:t>
            </w:r>
          </w:p>
        </w:tc>
      </w:tr>
      <w:tr>
        <w:tc>
          <w:tcPr>
            <w:tcW w:type="dxa" w:w="2239"/>
            <w:tcMar>
              <w:top w:w="60" w:type="dxa"/>
              <w:bottom w:w="60" w:type="dxa"/>
              <w:left w:w="100" w:type="dxa"/>
              <w:right w:w="100" w:type="dxa"/>
            </w:tcMar>
            <w:vAlign w:val="center"/>
          </w:tcPr>
          <w:p>
            <w:r/>
            <w:r>
              <w:rPr>
                <w:color w:val="3A3835"/>
                <w:sz w:val="18"/>
              </w:rPr>
              <w:t>Lifetime Value (ARPU × lifetime)</w:t>
            </w:r>
          </w:p>
        </w:tc>
        <w:tc>
          <w:tcPr>
            <w:tcW w:type="dxa" w:w="2239"/>
            <w:tcMar>
              <w:top w:w="60" w:type="dxa"/>
              <w:bottom w:w="60" w:type="dxa"/>
              <w:left w:w="100" w:type="dxa"/>
              <w:right w:w="100" w:type="dxa"/>
            </w:tcMar>
            <w:vAlign w:val="center"/>
          </w:tcPr>
          <w:p>
            <w:r/>
            <w:r>
              <w:rPr>
                <w:color w:val="3A3835"/>
                <w:sz w:val="18"/>
              </w:rPr>
              <w:t>$594</w:t>
            </w:r>
          </w:p>
        </w:tc>
        <w:tc>
          <w:tcPr>
            <w:tcW w:type="dxa" w:w="2239"/>
            <w:tcMar>
              <w:top w:w="60" w:type="dxa"/>
              <w:bottom w:w="60" w:type="dxa"/>
              <w:left w:w="100" w:type="dxa"/>
              <w:right w:w="100" w:type="dxa"/>
            </w:tcMar>
            <w:vAlign w:val="center"/>
          </w:tcPr>
          <w:p>
            <w:r/>
            <w:r>
              <w:rPr>
                <w:color w:val="3A3835"/>
                <w:sz w:val="18"/>
              </w:rPr>
              <w:t>$961</w:t>
            </w:r>
          </w:p>
        </w:tc>
        <w:tc>
          <w:tcPr>
            <w:tcW w:type="dxa" w:w="2239"/>
            <w:tcMar>
              <w:top w:w="60" w:type="dxa"/>
              <w:bottom w:w="60" w:type="dxa"/>
              <w:left w:w="100" w:type="dxa"/>
              <w:right w:w="100" w:type="dxa"/>
            </w:tcMar>
            <w:vAlign w:val="center"/>
          </w:tcPr>
          <w:p>
            <w:r/>
            <w:r>
              <w:rPr>
                <w:color w:val="3A3835"/>
                <w:sz w:val="18"/>
              </w:rPr>
              <w:t>$1,512</w:t>
            </w:r>
          </w:p>
        </w:tc>
      </w:tr>
      <w:tr>
        <w:tc>
          <w:tcPr>
            <w:tcW w:type="dxa" w:w="2239"/>
            <w:tcMar>
              <w:top w:w="60" w:type="dxa"/>
              <w:bottom w:w="60" w:type="dxa"/>
              <w:left w:w="100" w:type="dxa"/>
              <w:right w:w="100" w:type="dxa"/>
            </w:tcMar>
            <w:vAlign w:val="center"/>
            <w:shd w:val="clear" w:color="auto" w:fill="F2EFEA"/>
          </w:tcPr>
          <w:p>
            <w:r/>
            <w:r>
              <w:rPr>
                <w:color w:val="3A3835"/>
                <w:sz w:val="18"/>
              </w:rPr>
              <w:t>LTV : CAC ratio</w:t>
            </w:r>
          </w:p>
        </w:tc>
        <w:tc>
          <w:tcPr>
            <w:tcW w:type="dxa" w:w="2239"/>
            <w:tcMar>
              <w:top w:w="60" w:type="dxa"/>
              <w:bottom w:w="60" w:type="dxa"/>
              <w:left w:w="100" w:type="dxa"/>
              <w:right w:w="100" w:type="dxa"/>
            </w:tcMar>
            <w:vAlign w:val="center"/>
            <w:shd w:val="clear" w:color="auto" w:fill="F2EFEA"/>
          </w:tcPr>
          <w:p>
            <w:r/>
            <w:r>
              <w:rPr>
                <w:color w:val="3A3835"/>
                <w:sz w:val="18"/>
              </w:rPr>
              <w:t>9.1x</w:t>
            </w:r>
          </w:p>
        </w:tc>
        <w:tc>
          <w:tcPr>
            <w:tcW w:type="dxa" w:w="2239"/>
            <w:tcMar>
              <w:top w:w="60" w:type="dxa"/>
              <w:bottom w:w="60" w:type="dxa"/>
              <w:left w:w="100" w:type="dxa"/>
              <w:right w:w="100" w:type="dxa"/>
            </w:tcMar>
            <w:vAlign w:val="center"/>
            <w:shd w:val="clear" w:color="auto" w:fill="F2EFEA"/>
          </w:tcPr>
          <w:p>
            <w:r/>
            <w:r>
              <w:rPr>
                <w:color w:val="3A3835"/>
                <w:sz w:val="18"/>
              </w:rPr>
              <w:t>21.4x</w:t>
            </w:r>
          </w:p>
        </w:tc>
        <w:tc>
          <w:tcPr>
            <w:tcW w:type="dxa" w:w="2239"/>
            <w:tcMar>
              <w:top w:w="60" w:type="dxa"/>
              <w:bottom w:w="60" w:type="dxa"/>
              <w:left w:w="100" w:type="dxa"/>
              <w:right w:w="100" w:type="dxa"/>
            </w:tcMar>
            <w:vAlign w:val="center"/>
            <w:shd w:val="clear" w:color="auto" w:fill="F2EFEA"/>
          </w:tcPr>
          <w:p>
            <w:r/>
            <w:r>
              <w:rPr>
                <w:color w:val="3A3835"/>
                <w:sz w:val="18"/>
              </w:rPr>
              <w:t>43.2x</w:t>
            </w:r>
          </w:p>
        </w:tc>
      </w:tr>
      <w:tr>
        <w:tc>
          <w:tcPr>
            <w:tcW w:type="dxa" w:w="2239"/>
            <w:tcMar>
              <w:top w:w="60" w:type="dxa"/>
              <w:bottom w:w="60" w:type="dxa"/>
              <w:left w:w="100" w:type="dxa"/>
              <w:right w:w="100" w:type="dxa"/>
            </w:tcMar>
            <w:vAlign w:val="center"/>
          </w:tcPr>
          <w:p>
            <w:r/>
            <w:r>
              <w:rPr>
                <w:color w:val="3A3835"/>
                <w:sz w:val="18"/>
              </w:rPr>
              <w:t>CAC payback period</w:t>
            </w:r>
          </w:p>
        </w:tc>
        <w:tc>
          <w:tcPr>
            <w:tcW w:type="dxa" w:w="2239"/>
            <w:tcMar>
              <w:top w:w="60" w:type="dxa"/>
              <w:bottom w:w="60" w:type="dxa"/>
              <w:left w:w="100" w:type="dxa"/>
              <w:right w:w="100" w:type="dxa"/>
            </w:tcMar>
            <w:vAlign w:val="center"/>
          </w:tcPr>
          <w:p>
            <w:r/>
            <w:r>
              <w:rPr>
                <w:color w:val="3A3835"/>
                <w:sz w:val="18"/>
              </w:rPr>
              <w:t>2.4 months</w:t>
            </w:r>
          </w:p>
        </w:tc>
        <w:tc>
          <w:tcPr>
            <w:tcW w:type="dxa" w:w="2239"/>
            <w:tcMar>
              <w:top w:w="60" w:type="dxa"/>
              <w:bottom w:w="60" w:type="dxa"/>
              <w:left w:w="100" w:type="dxa"/>
              <w:right w:w="100" w:type="dxa"/>
            </w:tcMar>
            <w:vAlign w:val="center"/>
          </w:tcPr>
          <w:p>
            <w:r/>
            <w:r>
              <w:rPr>
                <w:color w:val="3A3835"/>
                <w:sz w:val="18"/>
              </w:rPr>
              <w:t>1.5 months</w:t>
            </w:r>
          </w:p>
        </w:tc>
        <w:tc>
          <w:tcPr>
            <w:tcW w:type="dxa" w:w="2239"/>
            <w:tcMar>
              <w:top w:w="60" w:type="dxa"/>
              <w:bottom w:w="60" w:type="dxa"/>
              <w:left w:w="100" w:type="dxa"/>
              <w:right w:w="100" w:type="dxa"/>
            </w:tcMar>
            <w:vAlign w:val="center"/>
          </w:tcPr>
          <w:p>
            <w:r/>
            <w:r>
              <w:rPr>
                <w:color w:val="3A3835"/>
                <w:sz w:val="18"/>
              </w:rPr>
              <w:t>1.0 month</w:t>
            </w:r>
          </w:p>
        </w:tc>
      </w:tr>
    </w:tbl>
    <w:p>
      <w:pPr>
        <w:pStyle w:val="BIKCaption"/>
        <w:jc w:val="center"/>
      </w:pPr>
      <w:r>
        <w:t>Illustrative; SaaS benchmark for a healthy business is generally cited as LTV:CAC above 3x with payback under 12 months — BIK's low-CAC, community-and-content-led channel strategy (Chapter 14) is the structural reason these ratios run well ahead of that bar in every scenario.</w:t>
      </w:r>
    </w:p>
    <w:p>
      <w:pPr>
        <w:pStyle w:val="BIKBody"/>
        <w:jc w:val="both"/>
      </w:pPr>
      <w:r>
        <w:t>The unit economics look unusually strong across all three scenarios for one structural reason: BIK's primary Phase 1–2 acquisition channels (organic search, free tools, email, trade community participation) are near-zero marginal cost, funded by the services business rather than a paid acquisition budget. This is a genuine advantage, but it is also a discipline the model assumes BIK maintains — the moment growth requires meaningful paid acquisition spend to hit the Phase 3–4 subscriber targets, CAC will rise toward more typical SME SaaS benchmarks, and the model's Aggressive scenario explicitly assumes some of that paid spend enters the mix from Phase 3.</w:t>
      </w:r>
    </w:p>
    <w:p>
      <w:pPr>
        <w:pStyle w:val="BIKH1"/>
      </w:pPr>
      <w:r>
        <w:t>Churn Scenarios</w:t>
      </w:r>
    </w:p>
    <w:p>
      <w:pPr>
        <w:pStyle w:val="BIKBody"/>
        <w:jc w:val="both"/>
      </w:pPr>
      <w:r>
        <w:t>Churn is the single most sensitive variable in any subscription model, and the trades sector carries a specific risk: low switching cost in Phase 1–2 before document history and integrations create real lock-in (Chapter 6). The model tests three churn regimes explicitly rather than assuming the base case holds: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Regime</w:t>
            </w:r>
          </w:p>
        </w:tc>
        <w:tc>
          <w:tcPr>
            <w:tcW w:type="dxa" w:w="2239"/>
            <w:shd w:val="clear" w:color="auto" w:fill="252320"/>
            <w:tcMar>
              <w:top w:w="60" w:type="dxa"/>
              <w:bottom w:w="60" w:type="dxa"/>
              <w:left w:w="100" w:type="dxa"/>
              <w:right w:w="100" w:type="dxa"/>
            </w:tcMar>
            <w:vAlign w:val="center"/>
          </w:tcPr>
          <w:p>
            <w:r/>
            <w:r>
              <w:rPr>
                <w:b/>
                <w:color w:val="FFFFFF"/>
                <w:sz w:val="18"/>
              </w:rPr>
              <w:t>Monthly logo churn</w:t>
            </w:r>
          </w:p>
        </w:tc>
        <w:tc>
          <w:tcPr>
            <w:tcW w:type="dxa" w:w="2239"/>
            <w:shd w:val="clear" w:color="auto" w:fill="252320"/>
            <w:tcMar>
              <w:top w:w="60" w:type="dxa"/>
              <w:bottom w:w="60" w:type="dxa"/>
              <w:left w:w="100" w:type="dxa"/>
              <w:right w:w="100" w:type="dxa"/>
            </w:tcMar>
            <w:vAlign w:val="center"/>
          </w:tcPr>
          <w:p>
            <w:r/>
            <w:r>
              <w:rPr>
                <w:b/>
                <w:color w:val="FFFFFF"/>
                <w:sz w:val="18"/>
              </w:rPr>
              <w:t>Annualised churn</w:t>
            </w:r>
          </w:p>
        </w:tc>
        <w:tc>
          <w:tcPr>
            <w:tcW w:type="dxa" w:w="2239"/>
            <w:shd w:val="clear" w:color="auto" w:fill="252320"/>
            <w:tcMar>
              <w:top w:w="60" w:type="dxa"/>
              <w:bottom w:w="60" w:type="dxa"/>
              <w:left w:w="100" w:type="dxa"/>
              <w:right w:w="100" w:type="dxa"/>
            </w:tcMar>
            <w:vAlign w:val="center"/>
          </w:tcPr>
          <w:p>
            <w:r/>
            <w:r>
              <w:rPr>
                <w:b/>
                <w:color w:val="FFFFFF"/>
                <w:sz w:val="18"/>
              </w:rPr>
              <w:t>5-year MRR impact vs base case</w:t>
            </w:r>
          </w:p>
        </w:tc>
      </w:tr>
      <w:tr>
        <w:tc>
          <w:tcPr>
            <w:tcW w:type="dxa" w:w="2239"/>
            <w:tcMar>
              <w:top w:w="60" w:type="dxa"/>
              <w:bottom w:w="60" w:type="dxa"/>
              <w:left w:w="100" w:type="dxa"/>
              <w:right w:w="100" w:type="dxa"/>
            </w:tcMar>
            <w:vAlign w:val="center"/>
          </w:tcPr>
          <w:p>
            <w:r/>
            <w:r>
              <w:rPr>
                <w:color w:val="3A3835"/>
                <w:sz w:val="18"/>
              </w:rPr>
              <w:t>Optimistic (strong lock-in)</w:t>
            </w:r>
          </w:p>
        </w:tc>
        <w:tc>
          <w:tcPr>
            <w:tcW w:type="dxa" w:w="2239"/>
            <w:tcMar>
              <w:top w:w="60" w:type="dxa"/>
              <w:bottom w:w="60" w:type="dxa"/>
              <w:left w:w="100" w:type="dxa"/>
              <w:right w:w="100" w:type="dxa"/>
            </w:tcMar>
            <w:vAlign w:val="center"/>
          </w:tcPr>
          <w:p>
            <w:r/>
            <w:r>
              <w:rPr>
                <w:color w:val="3A3835"/>
                <w:sz w:val="18"/>
              </w:rPr>
              <w:t>2.4%</w:t>
            </w:r>
          </w:p>
        </w:tc>
        <w:tc>
          <w:tcPr>
            <w:tcW w:type="dxa" w:w="2239"/>
            <w:tcMar>
              <w:top w:w="60" w:type="dxa"/>
              <w:bottom w:w="60" w:type="dxa"/>
              <w:left w:w="100" w:type="dxa"/>
              <w:right w:w="100" w:type="dxa"/>
            </w:tcMar>
            <w:vAlign w:val="center"/>
          </w:tcPr>
          <w:p>
            <w:r/>
            <w:r>
              <w:rPr>
                <w:color w:val="3A3835"/>
                <w:sz w:val="18"/>
              </w:rPr>
              <w:t>~26%</w:t>
            </w:r>
          </w:p>
        </w:tc>
        <w:tc>
          <w:tcPr>
            <w:tcW w:type="dxa" w:w="2239"/>
            <w:tcMar>
              <w:top w:w="60" w:type="dxa"/>
              <w:bottom w:w="60" w:type="dxa"/>
              <w:left w:w="100" w:type="dxa"/>
              <w:right w:w="100" w:type="dxa"/>
            </w:tcMar>
            <w:vAlign w:val="center"/>
          </w:tcPr>
          <w:p>
            <w:r/>
            <w:r>
              <w:rPr>
                <w:color w:val="3A3835"/>
                <w:sz w:val="18"/>
              </w:rPr>
              <w:t>+38%</w:t>
            </w:r>
          </w:p>
        </w:tc>
      </w:tr>
      <w:tr>
        <w:tc>
          <w:tcPr>
            <w:tcW w:type="dxa" w:w="2239"/>
            <w:tcMar>
              <w:top w:w="60" w:type="dxa"/>
              <w:bottom w:w="60" w:type="dxa"/>
              <w:left w:w="100" w:type="dxa"/>
              <w:right w:w="100" w:type="dxa"/>
            </w:tcMar>
            <w:vAlign w:val="center"/>
            <w:shd w:val="clear" w:color="auto" w:fill="F2EFEA"/>
          </w:tcPr>
          <w:p>
            <w:r/>
            <w:r>
              <w:rPr>
                <w:color w:val="3A3835"/>
                <w:sz w:val="18"/>
              </w:rPr>
              <w:t>Base case</w:t>
            </w:r>
          </w:p>
        </w:tc>
        <w:tc>
          <w:tcPr>
            <w:tcW w:type="dxa" w:w="2239"/>
            <w:tcMar>
              <w:top w:w="60" w:type="dxa"/>
              <w:bottom w:w="60" w:type="dxa"/>
              <w:left w:w="100" w:type="dxa"/>
              <w:right w:w="100" w:type="dxa"/>
            </w:tcMar>
            <w:vAlign w:val="center"/>
            <w:shd w:val="clear" w:color="auto" w:fill="F2EFEA"/>
          </w:tcPr>
          <w:p>
            <w:r/>
            <w:r>
              <w:rPr>
                <w:color w:val="3A3835"/>
                <w:sz w:val="18"/>
              </w:rPr>
              <w:t>3.2%</w:t>
            </w:r>
          </w:p>
        </w:tc>
        <w:tc>
          <w:tcPr>
            <w:tcW w:type="dxa" w:w="2239"/>
            <w:tcMar>
              <w:top w:w="60" w:type="dxa"/>
              <w:bottom w:w="60" w:type="dxa"/>
              <w:left w:w="100" w:type="dxa"/>
              <w:right w:w="100" w:type="dxa"/>
            </w:tcMar>
            <w:vAlign w:val="center"/>
            <w:shd w:val="clear" w:color="auto" w:fill="F2EFEA"/>
          </w:tcPr>
          <w:p>
            <w:r/>
            <w:r>
              <w:rPr>
                <w:color w:val="3A3835"/>
                <w:sz w:val="18"/>
              </w:rPr>
              <w:t>~33%</w:t>
            </w:r>
          </w:p>
        </w:tc>
        <w:tc>
          <w:tcPr>
            <w:tcW w:type="dxa" w:w="2239"/>
            <w:tcMar>
              <w:top w:w="60" w:type="dxa"/>
              <w:bottom w:w="60" w:type="dxa"/>
              <w:left w:w="100" w:type="dxa"/>
              <w:right w:w="100" w:type="dxa"/>
            </w:tcMar>
            <w:vAlign w:val="center"/>
            <w:shd w:val="clear" w:color="auto" w:fill="F2EFEA"/>
          </w:tcPr>
          <w:p>
            <w:r/>
            <w:r>
              <w:rPr>
                <w:color w:val="3A3835"/>
                <w:sz w:val="18"/>
              </w:rPr>
              <w:t>—</w:t>
            </w:r>
          </w:p>
        </w:tc>
      </w:tr>
      <w:tr>
        <w:tc>
          <w:tcPr>
            <w:tcW w:type="dxa" w:w="2239"/>
            <w:tcMar>
              <w:top w:w="60" w:type="dxa"/>
              <w:bottom w:w="60" w:type="dxa"/>
              <w:left w:w="100" w:type="dxa"/>
              <w:right w:w="100" w:type="dxa"/>
            </w:tcMar>
            <w:vAlign w:val="center"/>
          </w:tcPr>
          <w:p>
            <w:r/>
            <w:r>
              <w:rPr>
                <w:color w:val="3A3835"/>
                <w:sz w:val="18"/>
              </w:rPr>
              <w:t>Pessimistic (weak lock-in / price sensitivity bites)</w:t>
            </w:r>
          </w:p>
        </w:tc>
        <w:tc>
          <w:tcPr>
            <w:tcW w:type="dxa" w:w="2239"/>
            <w:tcMar>
              <w:top w:w="60" w:type="dxa"/>
              <w:bottom w:w="60" w:type="dxa"/>
              <w:left w:w="100" w:type="dxa"/>
              <w:right w:w="100" w:type="dxa"/>
            </w:tcMar>
            <w:vAlign w:val="center"/>
          </w:tcPr>
          <w:p>
            <w:r/>
            <w:r>
              <w:rPr>
                <w:color w:val="3A3835"/>
                <w:sz w:val="18"/>
              </w:rPr>
              <w:t>4.5%</w:t>
            </w:r>
          </w:p>
        </w:tc>
        <w:tc>
          <w:tcPr>
            <w:tcW w:type="dxa" w:w="2239"/>
            <w:tcMar>
              <w:top w:w="60" w:type="dxa"/>
              <w:bottom w:w="60" w:type="dxa"/>
              <w:left w:w="100" w:type="dxa"/>
              <w:right w:w="100" w:type="dxa"/>
            </w:tcMar>
            <w:vAlign w:val="center"/>
          </w:tcPr>
          <w:p>
            <w:r/>
            <w:r>
              <w:rPr>
                <w:color w:val="3A3835"/>
                <w:sz w:val="18"/>
              </w:rPr>
              <w:t>~43%</w:t>
            </w:r>
          </w:p>
        </w:tc>
        <w:tc>
          <w:tcPr>
            <w:tcW w:type="dxa" w:w="2239"/>
            <w:tcMar>
              <w:top w:w="60" w:type="dxa"/>
              <w:bottom w:w="60" w:type="dxa"/>
              <w:left w:w="100" w:type="dxa"/>
              <w:right w:w="100" w:type="dxa"/>
            </w:tcMar>
            <w:vAlign w:val="center"/>
          </w:tcPr>
          <w:p>
            <w:r/>
            <w:r>
              <w:rPr>
                <w:color w:val="3A3835"/>
                <w:sz w:val="18"/>
              </w:rPr>
              <w:t>-29%</w:t>
            </w:r>
          </w:p>
        </w:tc>
      </w:tr>
    </w:tbl>
    <w:p>
      <w:pPr>
        <w:spacing w:after="120"/>
      </w:pPr>
    </w:p>
    <w:p>
      <w:pPr>
        <w:pStyle w:val="BIKH1"/>
      </w:pPr>
      <w:r>
        <w:t>Cash Flow Milestones — Bootstrap vs Investment-Backed</w:t>
      </w:r>
    </w:p>
    <w:p>
      <w:pPr>
        <w:jc w:val="center"/>
      </w:pPr>
      <w:r>
        <w:drawing>
          <wp:inline xmlns:a="http://schemas.openxmlformats.org/drawingml/2006/main" xmlns:pic="http://schemas.openxmlformats.org/drawingml/2006/picture">
            <wp:extent cx="5943600" cy="3238161"/>
            <wp:docPr id="13" name="Picture 13"/>
            <wp:cNvGraphicFramePr>
              <a:graphicFrameLocks noChangeAspect="1"/>
            </wp:cNvGraphicFramePr>
            <a:graphic>
              <a:graphicData uri="http://schemas.openxmlformats.org/drawingml/2006/picture">
                <pic:pic>
                  <pic:nvPicPr>
                    <pic:cNvPr id="0" name="cashflow_scenarios.png"/>
                    <pic:cNvPicPr/>
                  </pic:nvPicPr>
                  <pic:blipFill>
                    <a:blip r:embed="rId21"/>
                    <a:stretch>
                      <a:fillRect/>
                    </a:stretch>
                  </pic:blipFill>
                  <pic:spPr>
                    <a:xfrm>
                      <a:off x="0" y="0"/>
                      <a:ext cx="5943600" cy="3238161"/>
                    </a:xfrm>
                    <a:prstGeom prst="rect"/>
                  </pic:spPr>
                </pic:pic>
              </a:graphicData>
            </a:graphic>
          </wp:inline>
        </w:drawing>
      </w:r>
    </w:p>
    <w:p>
      <w:pPr>
        <w:pStyle w:val="BIKCaption"/>
        <w:jc w:val="center"/>
      </w:pPr>
      <w:r>
        <w:t>Figure 19.1 — Cumulative net cash position, bootstrap vs investment-backed path (illustrative, $000s AUD)</w:t>
      </w:r>
    </w:p>
    <w:p>
      <w:pPr>
        <w:pStyle w:val="BIKBody"/>
        <w:jc w:val="both"/>
      </w:pPr>
      <w:r>
        <w:t>The bootstrap path assumes the Trades Services unit continues to fund SaaS platform development directly, with the platform reaching cash-flow breakeven at approximately Quarter 5 and compounding modestly thereafter. The investment-backed path assumes a seed or Series A raise deployed principally into Phase 2–3 engineering (accounts, billing, integrations) and a modest paid acquisition budget from Phase 3, accepting a deeper and longer drawdown in exchange for materially faster tool velocity and subscriber growth. Neither path requires the other — the bootstrap path is a genuine, viable option, which is itself a negotiating strength in any future capital conversation (Chapter 3, Strategic Priority 2).</w:t>
      </w:r>
    </w:p>
    <w:p>
      <w:pPr>
        <w:pStyle w:val="BIKH1"/>
      </w:pPr>
      <w:r>
        <w:t>Bootstrap vs Investment — Trade-offs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Dimension</w:t>
            </w:r>
          </w:p>
        </w:tc>
        <w:tc>
          <w:tcPr>
            <w:tcW w:type="dxa" w:w="2986"/>
            <w:shd w:val="clear" w:color="auto" w:fill="252320"/>
            <w:tcMar>
              <w:top w:w="60" w:type="dxa"/>
              <w:bottom w:w="60" w:type="dxa"/>
              <w:left w:w="100" w:type="dxa"/>
              <w:right w:w="100" w:type="dxa"/>
            </w:tcMar>
            <w:vAlign w:val="center"/>
          </w:tcPr>
          <w:p>
            <w:r/>
            <w:r>
              <w:rPr>
                <w:b/>
                <w:color w:val="FFFFFF"/>
                <w:sz w:val="18"/>
              </w:rPr>
              <w:t>Bootstrap path</w:t>
            </w:r>
          </w:p>
        </w:tc>
        <w:tc>
          <w:tcPr>
            <w:tcW w:type="dxa" w:w="2986"/>
            <w:shd w:val="clear" w:color="auto" w:fill="252320"/>
            <w:tcMar>
              <w:top w:w="60" w:type="dxa"/>
              <w:bottom w:w="60" w:type="dxa"/>
              <w:left w:w="100" w:type="dxa"/>
              <w:right w:w="100" w:type="dxa"/>
            </w:tcMar>
            <w:vAlign w:val="center"/>
          </w:tcPr>
          <w:p>
            <w:r/>
            <w:r>
              <w:rPr>
                <w:b/>
                <w:color w:val="FFFFFF"/>
                <w:sz w:val="18"/>
              </w:rPr>
              <w:t>Investment-backed path</w:t>
            </w:r>
          </w:p>
        </w:tc>
      </w:tr>
      <w:tr>
        <w:tc>
          <w:tcPr>
            <w:tcW w:type="dxa" w:w="2986"/>
            <w:tcMar>
              <w:top w:w="60" w:type="dxa"/>
              <w:bottom w:w="60" w:type="dxa"/>
              <w:left w:w="100" w:type="dxa"/>
              <w:right w:w="100" w:type="dxa"/>
            </w:tcMar>
            <w:vAlign w:val="center"/>
          </w:tcPr>
          <w:p>
            <w:r/>
            <w:r>
              <w:rPr>
                <w:color w:val="3A3835"/>
                <w:sz w:val="18"/>
              </w:rPr>
              <w:t>Control</w:t>
            </w:r>
          </w:p>
        </w:tc>
        <w:tc>
          <w:tcPr>
            <w:tcW w:type="dxa" w:w="2986"/>
            <w:tcMar>
              <w:top w:w="60" w:type="dxa"/>
              <w:bottom w:w="60" w:type="dxa"/>
              <w:left w:w="100" w:type="dxa"/>
              <w:right w:w="100" w:type="dxa"/>
            </w:tcMar>
            <w:vAlign w:val="center"/>
          </w:tcPr>
          <w:p>
            <w:r/>
            <w:r>
              <w:rPr>
                <w:color w:val="3A3835"/>
                <w:sz w:val="18"/>
              </w:rPr>
              <w:t>Founder retains full ownership and decision control</w:t>
            </w:r>
          </w:p>
        </w:tc>
        <w:tc>
          <w:tcPr>
            <w:tcW w:type="dxa" w:w="2986"/>
            <w:tcMar>
              <w:top w:w="60" w:type="dxa"/>
              <w:bottom w:w="60" w:type="dxa"/>
              <w:left w:w="100" w:type="dxa"/>
              <w:right w:w="100" w:type="dxa"/>
            </w:tcMar>
            <w:vAlign w:val="center"/>
          </w:tcPr>
          <w:p>
            <w:r/>
            <w:r>
              <w:rPr>
                <w:color w:val="3A3835"/>
                <w:sz w:val="18"/>
              </w:rPr>
              <w:t>Dilution in exchange for capital and, typically, board input</w:t>
            </w:r>
          </w:p>
        </w:tc>
      </w:tr>
      <w:tr>
        <w:tc>
          <w:tcPr>
            <w:tcW w:type="dxa" w:w="2986"/>
            <w:tcMar>
              <w:top w:w="60" w:type="dxa"/>
              <w:bottom w:w="60" w:type="dxa"/>
              <w:left w:w="100" w:type="dxa"/>
              <w:right w:w="100" w:type="dxa"/>
            </w:tcMar>
            <w:vAlign w:val="center"/>
            <w:shd w:val="clear" w:color="auto" w:fill="F2EFEA"/>
          </w:tcPr>
          <w:p>
            <w:r/>
            <w:r>
              <w:rPr>
                <w:color w:val="3A3835"/>
                <w:sz w:val="18"/>
              </w:rPr>
              <w:t>Speed to Phase 3</w:t>
            </w:r>
          </w:p>
        </w:tc>
        <w:tc>
          <w:tcPr>
            <w:tcW w:type="dxa" w:w="2986"/>
            <w:tcMar>
              <w:top w:w="60" w:type="dxa"/>
              <w:bottom w:w="60" w:type="dxa"/>
              <w:left w:w="100" w:type="dxa"/>
              <w:right w:w="100" w:type="dxa"/>
            </w:tcMar>
            <w:vAlign w:val="center"/>
            <w:shd w:val="clear" w:color="auto" w:fill="F2EFEA"/>
          </w:tcPr>
          <w:p>
            <w:r/>
            <w:r>
              <w:rPr>
                <w:color w:val="3A3835"/>
                <w:sz w:val="18"/>
              </w:rPr>
              <w:t>Slower — gated by services cash flow</w:t>
            </w:r>
          </w:p>
        </w:tc>
        <w:tc>
          <w:tcPr>
            <w:tcW w:type="dxa" w:w="2986"/>
            <w:tcMar>
              <w:top w:w="60" w:type="dxa"/>
              <w:bottom w:w="60" w:type="dxa"/>
              <w:left w:w="100" w:type="dxa"/>
              <w:right w:w="100" w:type="dxa"/>
            </w:tcMar>
            <w:vAlign w:val="center"/>
            <w:shd w:val="clear" w:color="auto" w:fill="F2EFEA"/>
          </w:tcPr>
          <w:p>
            <w:r/>
            <w:r>
              <w:rPr>
                <w:color w:val="3A3835"/>
                <w:sz w:val="18"/>
              </w:rPr>
              <w:t>Materially faster — parallel investment in engineering and integrations</w:t>
            </w:r>
          </w:p>
        </w:tc>
      </w:tr>
      <w:tr>
        <w:tc>
          <w:tcPr>
            <w:tcW w:type="dxa" w:w="2986"/>
            <w:tcMar>
              <w:top w:w="60" w:type="dxa"/>
              <w:bottom w:w="60" w:type="dxa"/>
              <w:left w:w="100" w:type="dxa"/>
              <w:right w:w="100" w:type="dxa"/>
            </w:tcMar>
            <w:vAlign w:val="center"/>
          </w:tcPr>
          <w:p>
            <w:r/>
            <w:r>
              <w:rPr>
                <w:color w:val="3A3835"/>
                <w:sz w:val="18"/>
              </w:rPr>
              <w:t>Risk</w:t>
            </w:r>
          </w:p>
        </w:tc>
        <w:tc>
          <w:tcPr>
            <w:tcW w:type="dxa" w:w="2986"/>
            <w:tcMar>
              <w:top w:w="60" w:type="dxa"/>
              <w:bottom w:w="60" w:type="dxa"/>
              <w:left w:w="100" w:type="dxa"/>
              <w:right w:w="100" w:type="dxa"/>
            </w:tcMar>
            <w:vAlign w:val="center"/>
          </w:tcPr>
          <w:p>
            <w:r/>
            <w:r>
              <w:rPr>
                <w:color w:val="3A3835"/>
                <w:sz w:val="18"/>
              </w:rPr>
              <w:t>Lower financial risk, higher execution-speed risk (competitor catch-up, Chapter 17)</w:t>
            </w:r>
          </w:p>
        </w:tc>
        <w:tc>
          <w:tcPr>
            <w:tcW w:type="dxa" w:w="2986"/>
            <w:tcMar>
              <w:top w:w="60" w:type="dxa"/>
              <w:bottom w:w="60" w:type="dxa"/>
              <w:left w:w="100" w:type="dxa"/>
              <w:right w:w="100" w:type="dxa"/>
            </w:tcMar>
            <w:vAlign w:val="center"/>
          </w:tcPr>
          <w:p>
            <w:r/>
            <w:r>
              <w:rPr>
                <w:color w:val="3A3835"/>
                <w:sz w:val="18"/>
              </w:rPr>
              <w:t>Higher financial complexity, lower execution-speed risk</w:t>
            </w:r>
          </w:p>
        </w:tc>
      </w:tr>
      <w:tr>
        <w:tc>
          <w:tcPr>
            <w:tcW w:type="dxa" w:w="2986"/>
            <w:tcMar>
              <w:top w:w="60" w:type="dxa"/>
              <w:bottom w:w="60" w:type="dxa"/>
              <w:left w:w="100" w:type="dxa"/>
              <w:right w:w="100" w:type="dxa"/>
            </w:tcMar>
            <w:vAlign w:val="center"/>
            <w:shd w:val="clear" w:color="auto" w:fill="F2EFEA"/>
          </w:tcPr>
          <w:p>
            <w:r/>
            <w:r>
              <w:rPr>
                <w:color w:val="3A3835"/>
                <w:sz w:val="18"/>
              </w:rPr>
              <w:t>Optionality</w:t>
            </w:r>
          </w:p>
        </w:tc>
        <w:tc>
          <w:tcPr>
            <w:tcW w:type="dxa" w:w="2986"/>
            <w:tcMar>
              <w:top w:w="60" w:type="dxa"/>
              <w:bottom w:w="60" w:type="dxa"/>
              <w:left w:w="100" w:type="dxa"/>
              <w:right w:w="100" w:type="dxa"/>
            </w:tcMar>
            <w:vAlign w:val="center"/>
            <w:shd w:val="clear" w:color="auto" w:fill="F2EFEA"/>
          </w:tcPr>
          <w:p>
            <w:r/>
            <w:r>
              <w:rPr>
                <w:color w:val="3A3835"/>
                <w:sz w:val="18"/>
              </w:rPr>
              <w:t>Preserves the option to raise later from a position of proven traction</w:t>
            </w:r>
          </w:p>
        </w:tc>
        <w:tc>
          <w:tcPr>
            <w:tcW w:type="dxa" w:w="2986"/>
            <w:tcMar>
              <w:top w:w="60" w:type="dxa"/>
              <w:bottom w:w="60" w:type="dxa"/>
              <w:left w:w="100" w:type="dxa"/>
              <w:right w:w="100" w:type="dxa"/>
            </w:tcMar>
            <w:vAlign w:val="center"/>
            <w:shd w:val="clear" w:color="auto" w:fill="F2EFEA"/>
          </w:tcPr>
          <w:p>
            <w:r/>
            <w:r>
              <w:rPr>
                <w:color w:val="3A3835"/>
                <w:sz w:val="18"/>
              </w:rPr>
              <w:t>Front-loads growth but commits to investor return expectations and timelines</w:t>
            </w:r>
          </w:p>
        </w:tc>
      </w:tr>
    </w:tbl>
    <w:p>
      <w:pPr>
        <w:spacing w:after="120"/>
      </w:pPr>
    </w:p>
    <w:p>
      <w:pPr>
        <w:pStyle w:val="BIKChapterLabel"/>
      </w:pPr>
      <w:r>
        <w:t>PART F — FINANCIAL MODEL</w:t>
      </w:r>
    </w:p>
    <w:p>
      <w:pPr>
        <w:pStyle w:val="BIKChapterTitle"/>
        <w:pBdr>
          <w:bottom w:val="single" w:sz="18" w:space="8" w:color="D85A30"/>
        </w:pBdr>
      </w:pPr>
      <w:r>
        <w:t>20   Five-Year Financial Projections</w:t>
      </w:r>
    </w:p>
    <w:p>
      <w:pPr>
        <w:pStyle w:val="BIKH1"/>
      </w:pPr>
      <w:r>
        <w:t>MRR Growth — Three Scenarios</w:t>
      </w:r>
    </w:p>
    <w:p>
      <w:pPr>
        <w:jc w:val="center"/>
      </w:pPr>
      <w:r>
        <w:drawing>
          <wp:inline xmlns:a="http://schemas.openxmlformats.org/drawingml/2006/main" xmlns:pic="http://schemas.openxmlformats.org/drawingml/2006/picture">
            <wp:extent cx="6035040" cy="3689367"/>
            <wp:docPr id="14" name="Picture 14"/>
            <wp:cNvGraphicFramePr>
              <a:graphicFrameLocks noChangeAspect="1"/>
            </wp:cNvGraphicFramePr>
            <a:graphic>
              <a:graphicData uri="http://schemas.openxmlformats.org/drawingml/2006/picture">
                <pic:pic>
                  <pic:nvPicPr>
                    <pic:cNvPr id="0" name="revenue_growth.png"/>
                    <pic:cNvPicPr/>
                  </pic:nvPicPr>
                  <pic:blipFill>
                    <a:blip r:embed="rId22"/>
                    <a:stretch>
                      <a:fillRect/>
                    </a:stretch>
                  </pic:blipFill>
                  <pic:spPr>
                    <a:xfrm>
                      <a:off x="0" y="0"/>
                      <a:ext cx="6035040" cy="3689367"/>
                    </a:xfrm>
                    <a:prstGeom prst="rect"/>
                  </pic:spPr>
                </pic:pic>
              </a:graphicData>
            </a:graphic>
          </wp:inline>
        </w:drawing>
      </w:r>
    </w:p>
    <w:p>
      <w:pPr>
        <w:pStyle w:val="BIKCaption"/>
        <w:jc w:val="center"/>
      </w:pPr>
      <w:r>
        <w:t>Figure 20.1 — MRR growth projection, three scenarios, 5-year horizon</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8"/>
              </w:rPr>
              <w:t>Year</w:t>
            </w:r>
          </w:p>
        </w:tc>
        <w:tc>
          <w:tcPr>
            <w:tcW w:type="dxa" w:w="1792"/>
            <w:shd w:val="clear" w:color="auto" w:fill="252320"/>
            <w:tcMar>
              <w:top w:w="60" w:type="dxa"/>
              <w:bottom w:w="60" w:type="dxa"/>
              <w:left w:w="100" w:type="dxa"/>
              <w:right w:w="100" w:type="dxa"/>
            </w:tcMar>
            <w:vAlign w:val="center"/>
          </w:tcPr>
          <w:p>
            <w:r/>
            <w:r>
              <w:rPr>
                <w:b/>
                <w:color w:val="FFFFFF"/>
                <w:sz w:val="18"/>
              </w:rPr>
              <w:t>Conservative MRR</w:t>
            </w:r>
          </w:p>
        </w:tc>
        <w:tc>
          <w:tcPr>
            <w:tcW w:type="dxa" w:w="1792"/>
            <w:shd w:val="clear" w:color="auto" w:fill="252320"/>
            <w:tcMar>
              <w:top w:w="60" w:type="dxa"/>
              <w:bottom w:w="60" w:type="dxa"/>
              <w:left w:w="100" w:type="dxa"/>
              <w:right w:w="100" w:type="dxa"/>
            </w:tcMar>
            <w:vAlign w:val="center"/>
          </w:tcPr>
          <w:p>
            <w:r/>
            <w:r>
              <w:rPr>
                <w:b/>
                <w:color w:val="FFFFFF"/>
                <w:sz w:val="18"/>
              </w:rPr>
              <w:t>Base case MRR</w:t>
            </w:r>
          </w:p>
        </w:tc>
        <w:tc>
          <w:tcPr>
            <w:tcW w:type="dxa" w:w="1792"/>
            <w:shd w:val="clear" w:color="auto" w:fill="252320"/>
            <w:tcMar>
              <w:top w:w="60" w:type="dxa"/>
              <w:bottom w:w="60" w:type="dxa"/>
              <w:left w:w="100" w:type="dxa"/>
              <w:right w:w="100" w:type="dxa"/>
            </w:tcMar>
            <w:vAlign w:val="center"/>
          </w:tcPr>
          <w:p>
            <w:r/>
            <w:r>
              <w:rPr>
                <w:b/>
                <w:color w:val="FFFFFF"/>
                <w:sz w:val="18"/>
              </w:rPr>
              <w:t>Aggressive MRR</w:t>
            </w:r>
          </w:p>
        </w:tc>
        <w:tc>
          <w:tcPr>
            <w:tcW w:type="dxa" w:w="1792"/>
            <w:shd w:val="clear" w:color="auto" w:fill="252320"/>
            <w:tcMar>
              <w:top w:w="60" w:type="dxa"/>
              <w:bottom w:w="60" w:type="dxa"/>
              <w:left w:w="100" w:type="dxa"/>
              <w:right w:w="100" w:type="dxa"/>
            </w:tcMar>
            <w:vAlign w:val="center"/>
          </w:tcPr>
          <w:p>
            <w:r/>
            <w:r>
              <w:rPr>
                <w:b/>
                <w:color w:val="FFFFFF"/>
                <w:sz w:val="18"/>
              </w:rPr>
              <w:t>Base case ARR</w:t>
            </w:r>
          </w:p>
        </w:tc>
      </w:tr>
      <w:tr>
        <w:tc>
          <w:tcPr>
            <w:tcW w:type="dxa" w:w="1792"/>
            <w:tcMar>
              <w:top w:w="60" w:type="dxa"/>
              <w:bottom w:w="60" w:type="dxa"/>
              <w:left w:w="100" w:type="dxa"/>
              <w:right w:w="100" w:type="dxa"/>
            </w:tcMar>
            <w:vAlign w:val="center"/>
          </w:tcPr>
          <w:p>
            <w:r/>
            <w:r>
              <w:rPr>
                <w:color w:val="3A3835"/>
                <w:sz w:val="18"/>
              </w:rPr>
              <w:t>Year 1</w:t>
            </w:r>
          </w:p>
        </w:tc>
        <w:tc>
          <w:tcPr>
            <w:tcW w:type="dxa" w:w="1792"/>
            <w:tcMar>
              <w:top w:w="60" w:type="dxa"/>
              <w:bottom w:w="60" w:type="dxa"/>
              <w:left w:w="100" w:type="dxa"/>
              <w:right w:w="100" w:type="dxa"/>
            </w:tcMar>
            <w:vAlign w:val="center"/>
          </w:tcPr>
          <w:p>
            <w:r/>
            <w:r>
              <w:rPr>
                <w:color w:val="3A3835"/>
                <w:sz w:val="18"/>
              </w:rPr>
              <w:t>$1,200</w:t>
            </w:r>
          </w:p>
        </w:tc>
        <w:tc>
          <w:tcPr>
            <w:tcW w:type="dxa" w:w="1792"/>
            <w:tcMar>
              <w:top w:w="60" w:type="dxa"/>
              <w:bottom w:w="60" w:type="dxa"/>
              <w:left w:w="100" w:type="dxa"/>
              <w:right w:w="100" w:type="dxa"/>
            </w:tcMar>
            <w:vAlign w:val="center"/>
          </w:tcPr>
          <w:p>
            <w:r/>
            <w:r>
              <w:rPr>
                <w:color w:val="3A3835"/>
                <w:sz w:val="18"/>
              </w:rPr>
              <w:t>$2,000</w:t>
            </w:r>
          </w:p>
        </w:tc>
        <w:tc>
          <w:tcPr>
            <w:tcW w:type="dxa" w:w="1792"/>
            <w:tcMar>
              <w:top w:w="60" w:type="dxa"/>
              <w:bottom w:w="60" w:type="dxa"/>
              <w:left w:w="100" w:type="dxa"/>
              <w:right w:w="100" w:type="dxa"/>
            </w:tcMar>
            <w:vAlign w:val="center"/>
          </w:tcPr>
          <w:p>
            <w:r/>
            <w:r>
              <w:rPr>
                <w:color w:val="3A3835"/>
                <w:sz w:val="18"/>
              </w:rPr>
              <w:t>$3,500</w:t>
            </w:r>
          </w:p>
        </w:tc>
        <w:tc>
          <w:tcPr>
            <w:tcW w:type="dxa" w:w="1792"/>
            <w:tcMar>
              <w:top w:w="60" w:type="dxa"/>
              <w:bottom w:w="60" w:type="dxa"/>
              <w:left w:w="100" w:type="dxa"/>
              <w:right w:w="100" w:type="dxa"/>
            </w:tcMar>
            <w:vAlign w:val="center"/>
          </w:tcPr>
          <w:p>
            <w:r/>
            <w:r>
              <w:rPr>
                <w:color w:val="3A3835"/>
                <w:sz w:val="18"/>
              </w:rPr>
              <w:t>$24,000</w:t>
            </w:r>
          </w:p>
        </w:tc>
      </w:tr>
      <w:tr>
        <w:tc>
          <w:tcPr>
            <w:tcW w:type="dxa" w:w="1792"/>
            <w:tcMar>
              <w:top w:w="60" w:type="dxa"/>
              <w:bottom w:w="60" w:type="dxa"/>
              <w:left w:w="100" w:type="dxa"/>
              <w:right w:w="100" w:type="dxa"/>
            </w:tcMar>
            <w:vAlign w:val="center"/>
            <w:shd w:val="clear" w:color="auto" w:fill="F2EFEA"/>
          </w:tcPr>
          <w:p>
            <w:r/>
            <w:r>
              <w:rPr>
                <w:color w:val="3A3835"/>
                <w:sz w:val="18"/>
              </w:rPr>
              <w:t>Year 2</w:t>
            </w:r>
          </w:p>
        </w:tc>
        <w:tc>
          <w:tcPr>
            <w:tcW w:type="dxa" w:w="1792"/>
            <w:tcMar>
              <w:top w:w="60" w:type="dxa"/>
              <w:bottom w:w="60" w:type="dxa"/>
              <w:left w:w="100" w:type="dxa"/>
              <w:right w:w="100" w:type="dxa"/>
            </w:tcMar>
            <w:vAlign w:val="center"/>
            <w:shd w:val="clear" w:color="auto" w:fill="F2EFEA"/>
          </w:tcPr>
          <w:p>
            <w:r/>
            <w:r>
              <w:rPr>
                <w:color w:val="3A3835"/>
                <w:sz w:val="18"/>
              </w:rPr>
              <w:t>$9,500</w:t>
            </w:r>
          </w:p>
        </w:tc>
        <w:tc>
          <w:tcPr>
            <w:tcW w:type="dxa" w:w="1792"/>
            <w:tcMar>
              <w:top w:w="60" w:type="dxa"/>
              <w:bottom w:w="60" w:type="dxa"/>
              <w:left w:w="100" w:type="dxa"/>
              <w:right w:w="100" w:type="dxa"/>
            </w:tcMar>
            <w:vAlign w:val="center"/>
            <w:shd w:val="clear" w:color="auto" w:fill="F2EFEA"/>
          </w:tcPr>
          <w:p>
            <w:r/>
            <w:r>
              <w:rPr>
                <w:color w:val="3A3835"/>
                <w:sz w:val="18"/>
              </w:rPr>
              <w:t>$15,000</w:t>
            </w:r>
          </w:p>
        </w:tc>
        <w:tc>
          <w:tcPr>
            <w:tcW w:type="dxa" w:w="1792"/>
            <w:tcMar>
              <w:top w:w="60" w:type="dxa"/>
              <w:bottom w:w="60" w:type="dxa"/>
              <w:left w:w="100" w:type="dxa"/>
              <w:right w:w="100" w:type="dxa"/>
            </w:tcMar>
            <w:vAlign w:val="center"/>
            <w:shd w:val="clear" w:color="auto" w:fill="F2EFEA"/>
          </w:tcPr>
          <w:p>
            <w:r/>
            <w:r>
              <w:rPr>
                <w:color w:val="3A3835"/>
                <w:sz w:val="18"/>
              </w:rPr>
              <w:t>$28,000</w:t>
            </w:r>
          </w:p>
        </w:tc>
        <w:tc>
          <w:tcPr>
            <w:tcW w:type="dxa" w:w="1792"/>
            <w:tcMar>
              <w:top w:w="60" w:type="dxa"/>
              <w:bottom w:w="60" w:type="dxa"/>
              <w:left w:w="100" w:type="dxa"/>
              <w:right w:w="100" w:type="dxa"/>
            </w:tcMar>
            <w:vAlign w:val="center"/>
            <w:shd w:val="clear" w:color="auto" w:fill="F2EFEA"/>
          </w:tcPr>
          <w:p>
            <w:r/>
            <w:r>
              <w:rPr>
                <w:color w:val="3A3835"/>
                <w:sz w:val="18"/>
              </w:rPr>
              <w:t>$180,000</w:t>
            </w:r>
          </w:p>
        </w:tc>
      </w:tr>
      <w:tr>
        <w:tc>
          <w:tcPr>
            <w:tcW w:type="dxa" w:w="1792"/>
            <w:tcMar>
              <w:top w:w="60" w:type="dxa"/>
              <w:bottom w:w="60" w:type="dxa"/>
              <w:left w:w="100" w:type="dxa"/>
              <w:right w:w="100" w:type="dxa"/>
            </w:tcMar>
            <w:vAlign w:val="center"/>
          </w:tcPr>
          <w:p>
            <w:r/>
            <w:r>
              <w:rPr>
                <w:color w:val="3A3835"/>
                <w:sz w:val="18"/>
              </w:rPr>
              <w:t>Year 3</w:t>
            </w:r>
          </w:p>
        </w:tc>
        <w:tc>
          <w:tcPr>
            <w:tcW w:type="dxa" w:w="1792"/>
            <w:tcMar>
              <w:top w:w="60" w:type="dxa"/>
              <w:bottom w:w="60" w:type="dxa"/>
              <w:left w:w="100" w:type="dxa"/>
              <w:right w:w="100" w:type="dxa"/>
            </w:tcMar>
            <w:vAlign w:val="center"/>
          </w:tcPr>
          <w:p>
            <w:r/>
            <w:r>
              <w:rPr>
                <w:color w:val="3A3835"/>
                <w:sz w:val="18"/>
              </w:rPr>
              <w:t>$28,000</w:t>
            </w:r>
          </w:p>
        </w:tc>
        <w:tc>
          <w:tcPr>
            <w:tcW w:type="dxa" w:w="1792"/>
            <w:tcMar>
              <w:top w:w="60" w:type="dxa"/>
              <w:bottom w:w="60" w:type="dxa"/>
              <w:left w:w="100" w:type="dxa"/>
              <w:right w:w="100" w:type="dxa"/>
            </w:tcMar>
            <w:vAlign w:val="center"/>
          </w:tcPr>
          <w:p>
            <w:r/>
            <w:r>
              <w:rPr>
                <w:color w:val="3A3835"/>
                <w:sz w:val="18"/>
              </w:rPr>
              <w:t>$50,000</w:t>
            </w:r>
          </w:p>
        </w:tc>
        <w:tc>
          <w:tcPr>
            <w:tcW w:type="dxa" w:w="1792"/>
            <w:tcMar>
              <w:top w:w="60" w:type="dxa"/>
              <w:bottom w:w="60" w:type="dxa"/>
              <w:left w:w="100" w:type="dxa"/>
              <w:right w:w="100" w:type="dxa"/>
            </w:tcMar>
            <w:vAlign w:val="center"/>
          </w:tcPr>
          <w:p>
            <w:r/>
            <w:r>
              <w:rPr>
                <w:color w:val="3A3835"/>
                <w:sz w:val="18"/>
              </w:rPr>
              <w:t>$95,000</w:t>
            </w:r>
          </w:p>
        </w:tc>
        <w:tc>
          <w:tcPr>
            <w:tcW w:type="dxa" w:w="1792"/>
            <w:tcMar>
              <w:top w:w="60" w:type="dxa"/>
              <w:bottom w:w="60" w:type="dxa"/>
              <w:left w:w="100" w:type="dxa"/>
              <w:right w:w="100" w:type="dxa"/>
            </w:tcMar>
            <w:vAlign w:val="center"/>
          </w:tcPr>
          <w:p>
            <w:r/>
            <w:r>
              <w:rPr>
                <w:color w:val="3A3835"/>
                <w:sz w:val="18"/>
              </w:rPr>
              <w:t>$600,000</w:t>
            </w:r>
          </w:p>
        </w:tc>
      </w:tr>
      <w:tr>
        <w:tc>
          <w:tcPr>
            <w:tcW w:type="dxa" w:w="1792"/>
            <w:tcMar>
              <w:top w:w="60" w:type="dxa"/>
              <w:bottom w:w="60" w:type="dxa"/>
              <w:left w:w="100" w:type="dxa"/>
              <w:right w:w="100" w:type="dxa"/>
            </w:tcMar>
            <w:vAlign w:val="center"/>
            <w:shd w:val="clear" w:color="auto" w:fill="F2EFEA"/>
          </w:tcPr>
          <w:p>
            <w:r/>
            <w:r>
              <w:rPr>
                <w:color w:val="3A3835"/>
                <w:sz w:val="18"/>
              </w:rPr>
              <w:t>Year 4</w:t>
            </w:r>
          </w:p>
        </w:tc>
        <w:tc>
          <w:tcPr>
            <w:tcW w:type="dxa" w:w="1792"/>
            <w:tcMar>
              <w:top w:w="60" w:type="dxa"/>
              <w:bottom w:w="60" w:type="dxa"/>
              <w:left w:w="100" w:type="dxa"/>
              <w:right w:w="100" w:type="dxa"/>
            </w:tcMar>
            <w:vAlign w:val="center"/>
            <w:shd w:val="clear" w:color="auto" w:fill="F2EFEA"/>
          </w:tcPr>
          <w:p>
            <w:r/>
            <w:r>
              <w:rPr>
                <w:color w:val="3A3835"/>
                <w:sz w:val="18"/>
              </w:rPr>
              <w:t>$55,000</w:t>
            </w:r>
          </w:p>
        </w:tc>
        <w:tc>
          <w:tcPr>
            <w:tcW w:type="dxa" w:w="1792"/>
            <w:tcMar>
              <w:top w:w="60" w:type="dxa"/>
              <w:bottom w:w="60" w:type="dxa"/>
              <w:left w:w="100" w:type="dxa"/>
              <w:right w:w="100" w:type="dxa"/>
            </w:tcMar>
            <w:vAlign w:val="center"/>
            <w:shd w:val="clear" w:color="auto" w:fill="F2EFEA"/>
          </w:tcPr>
          <w:p>
            <w:r/>
            <w:r>
              <w:rPr>
                <w:color w:val="3A3835"/>
                <w:sz w:val="18"/>
              </w:rPr>
              <w:t>$110,000</w:t>
            </w:r>
          </w:p>
        </w:tc>
        <w:tc>
          <w:tcPr>
            <w:tcW w:type="dxa" w:w="1792"/>
            <w:tcMar>
              <w:top w:w="60" w:type="dxa"/>
              <w:bottom w:w="60" w:type="dxa"/>
              <w:left w:w="100" w:type="dxa"/>
              <w:right w:w="100" w:type="dxa"/>
            </w:tcMar>
            <w:vAlign w:val="center"/>
            <w:shd w:val="clear" w:color="auto" w:fill="F2EFEA"/>
          </w:tcPr>
          <w:p>
            <w:r/>
            <w:r>
              <w:rPr>
                <w:color w:val="3A3835"/>
                <w:sz w:val="18"/>
              </w:rPr>
              <w:t>$210,000</w:t>
            </w:r>
          </w:p>
        </w:tc>
        <w:tc>
          <w:tcPr>
            <w:tcW w:type="dxa" w:w="1792"/>
            <w:tcMar>
              <w:top w:w="60" w:type="dxa"/>
              <w:bottom w:w="60" w:type="dxa"/>
              <w:left w:w="100" w:type="dxa"/>
              <w:right w:w="100" w:type="dxa"/>
            </w:tcMar>
            <w:vAlign w:val="center"/>
            <w:shd w:val="clear" w:color="auto" w:fill="F2EFEA"/>
          </w:tcPr>
          <w:p>
            <w:r/>
            <w:r>
              <w:rPr>
                <w:color w:val="3A3835"/>
                <w:sz w:val="18"/>
              </w:rPr>
              <w:t>$1,320,000</w:t>
            </w:r>
          </w:p>
        </w:tc>
      </w:tr>
      <w:tr>
        <w:tc>
          <w:tcPr>
            <w:tcW w:type="dxa" w:w="1792"/>
            <w:tcMar>
              <w:top w:w="60" w:type="dxa"/>
              <w:bottom w:w="60" w:type="dxa"/>
              <w:left w:w="100" w:type="dxa"/>
              <w:right w:w="100" w:type="dxa"/>
            </w:tcMar>
            <w:vAlign w:val="center"/>
          </w:tcPr>
          <w:p>
            <w:r/>
            <w:r>
              <w:rPr>
                <w:color w:val="3A3835"/>
                <w:sz w:val="18"/>
              </w:rPr>
              <w:t>Year 5</w:t>
            </w:r>
          </w:p>
        </w:tc>
        <w:tc>
          <w:tcPr>
            <w:tcW w:type="dxa" w:w="1792"/>
            <w:tcMar>
              <w:top w:w="60" w:type="dxa"/>
              <w:bottom w:w="60" w:type="dxa"/>
              <w:left w:w="100" w:type="dxa"/>
              <w:right w:w="100" w:type="dxa"/>
            </w:tcMar>
            <w:vAlign w:val="center"/>
          </w:tcPr>
          <w:p>
            <w:r/>
            <w:r>
              <w:rPr>
                <w:color w:val="3A3835"/>
                <w:sz w:val="18"/>
              </w:rPr>
              <w:t>$85,000</w:t>
            </w:r>
          </w:p>
        </w:tc>
        <w:tc>
          <w:tcPr>
            <w:tcW w:type="dxa" w:w="1792"/>
            <w:tcMar>
              <w:top w:w="60" w:type="dxa"/>
              <w:bottom w:w="60" w:type="dxa"/>
              <w:left w:w="100" w:type="dxa"/>
              <w:right w:w="100" w:type="dxa"/>
            </w:tcMar>
            <w:vAlign w:val="center"/>
          </w:tcPr>
          <w:p>
            <w:r/>
            <w:r>
              <w:rPr>
                <w:color w:val="3A3835"/>
                <w:sz w:val="18"/>
              </w:rPr>
              <w:t>$200,000</w:t>
            </w:r>
          </w:p>
        </w:tc>
        <w:tc>
          <w:tcPr>
            <w:tcW w:type="dxa" w:w="1792"/>
            <w:tcMar>
              <w:top w:w="60" w:type="dxa"/>
              <w:bottom w:w="60" w:type="dxa"/>
              <w:left w:w="100" w:type="dxa"/>
              <w:right w:w="100" w:type="dxa"/>
            </w:tcMar>
            <w:vAlign w:val="center"/>
          </w:tcPr>
          <w:p>
            <w:r/>
            <w:r>
              <w:rPr>
                <w:color w:val="3A3835"/>
                <w:sz w:val="18"/>
              </w:rPr>
              <w:t>$410,000</w:t>
            </w:r>
          </w:p>
        </w:tc>
        <w:tc>
          <w:tcPr>
            <w:tcW w:type="dxa" w:w="1792"/>
            <w:tcMar>
              <w:top w:w="60" w:type="dxa"/>
              <w:bottom w:w="60" w:type="dxa"/>
              <w:left w:w="100" w:type="dxa"/>
              <w:right w:w="100" w:type="dxa"/>
            </w:tcMar>
            <w:vAlign w:val="center"/>
          </w:tcPr>
          <w:p>
            <w:r/>
            <w:r>
              <w:rPr>
                <w:color w:val="3A3835"/>
                <w:sz w:val="18"/>
              </w:rPr>
              <w:t>$2,400,000</w:t>
            </w:r>
          </w:p>
        </w:tc>
      </w:tr>
    </w:tbl>
    <w:p>
      <w:pPr>
        <w:pStyle w:val="BIKCaption"/>
        <w:jc w:val="center"/>
      </w:pPr>
      <w:r>
        <w:t>Illustrative. Year 1–3 base-case figures reconcile directly to BIK's own published milestones (docs/pricing-strategy.md, docs/product-vision.md); Years 4–5 are model extrapolations at a decelerating S-curve growth rate, disclosed in Appendix C.</w:t>
      </w:r>
    </w:p>
    <w:p>
      <w:pPr>
        <w:pStyle w:val="BIKH1"/>
      </w:pPr>
      <w:r>
        <w:t>Illustrative Profit &amp; Loss Summary (Base Case)</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Line item</w:t>
            </w:r>
          </w:p>
        </w:tc>
        <w:tc>
          <w:tcPr>
            <w:tcW w:type="dxa" w:w="2239"/>
            <w:shd w:val="clear" w:color="auto" w:fill="252320"/>
            <w:tcMar>
              <w:top w:w="60" w:type="dxa"/>
              <w:bottom w:w="60" w:type="dxa"/>
              <w:left w:w="100" w:type="dxa"/>
              <w:right w:w="100" w:type="dxa"/>
            </w:tcMar>
            <w:vAlign w:val="center"/>
          </w:tcPr>
          <w:p>
            <w:r/>
            <w:r>
              <w:rPr>
                <w:b/>
                <w:color w:val="FFFFFF"/>
                <w:sz w:val="18"/>
              </w:rPr>
              <w:t>Year 1</w:t>
            </w:r>
          </w:p>
        </w:tc>
        <w:tc>
          <w:tcPr>
            <w:tcW w:type="dxa" w:w="2239"/>
            <w:shd w:val="clear" w:color="auto" w:fill="252320"/>
            <w:tcMar>
              <w:top w:w="60" w:type="dxa"/>
              <w:bottom w:w="60" w:type="dxa"/>
              <w:left w:w="100" w:type="dxa"/>
              <w:right w:w="100" w:type="dxa"/>
            </w:tcMar>
            <w:vAlign w:val="center"/>
          </w:tcPr>
          <w:p>
            <w:r/>
            <w:r>
              <w:rPr>
                <w:b/>
                <w:color w:val="FFFFFF"/>
                <w:sz w:val="18"/>
              </w:rPr>
              <w:t>Year 3</w:t>
            </w:r>
          </w:p>
        </w:tc>
        <w:tc>
          <w:tcPr>
            <w:tcW w:type="dxa" w:w="2239"/>
            <w:shd w:val="clear" w:color="auto" w:fill="252320"/>
            <w:tcMar>
              <w:top w:w="60" w:type="dxa"/>
              <w:bottom w:w="60" w:type="dxa"/>
              <w:left w:w="100" w:type="dxa"/>
              <w:right w:w="100" w:type="dxa"/>
            </w:tcMar>
            <w:vAlign w:val="center"/>
          </w:tcPr>
          <w:p>
            <w:r/>
            <w:r>
              <w:rPr>
                <w:b/>
                <w:color w:val="FFFFFF"/>
                <w:sz w:val="18"/>
              </w:rPr>
              <w:t>Year 5</w:t>
            </w:r>
          </w:p>
        </w:tc>
      </w:tr>
      <w:tr>
        <w:tc>
          <w:tcPr>
            <w:tcW w:type="dxa" w:w="2239"/>
            <w:tcMar>
              <w:top w:w="60" w:type="dxa"/>
              <w:bottom w:w="60" w:type="dxa"/>
              <w:left w:w="100" w:type="dxa"/>
              <w:right w:w="100" w:type="dxa"/>
            </w:tcMar>
            <w:vAlign w:val="center"/>
          </w:tcPr>
          <w:p>
            <w:r/>
            <w:r>
              <w:rPr>
                <w:color w:val="3A3835"/>
                <w:sz w:val="18"/>
              </w:rPr>
              <w:t>Recurring revenue (ARR)</w:t>
            </w:r>
          </w:p>
        </w:tc>
        <w:tc>
          <w:tcPr>
            <w:tcW w:type="dxa" w:w="2239"/>
            <w:tcMar>
              <w:top w:w="60" w:type="dxa"/>
              <w:bottom w:w="60" w:type="dxa"/>
              <w:left w:w="100" w:type="dxa"/>
              <w:right w:w="100" w:type="dxa"/>
            </w:tcMar>
            <w:vAlign w:val="center"/>
          </w:tcPr>
          <w:p>
            <w:r/>
            <w:r>
              <w:rPr>
                <w:color w:val="3A3835"/>
                <w:sz w:val="18"/>
              </w:rPr>
              <w:t>$24,000</w:t>
            </w:r>
          </w:p>
        </w:tc>
        <w:tc>
          <w:tcPr>
            <w:tcW w:type="dxa" w:w="2239"/>
            <w:tcMar>
              <w:top w:w="60" w:type="dxa"/>
              <w:bottom w:w="60" w:type="dxa"/>
              <w:left w:w="100" w:type="dxa"/>
              <w:right w:w="100" w:type="dxa"/>
            </w:tcMar>
            <w:vAlign w:val="center"/>
          </w:tcPr>
          <w:p>
            <w:r/>
            <w:r>
              <w:rPr>
                <w:color w:val="3A3835"/>
                <w:sz w:val="18"/>
              </w:rPr>
              <w:t>$600,000</w:t>
            </w:r>
          </w:p>
        </w:tc>
        <w:tc>
          <w:tcPr>
            <w:tcW w:type="dxa" w:w="2239"/>
            <w:tcMar>
              <w:top w:w="60" w:type="dxa"/>
              <w:bottom w:w="60" w:type="dxa"/>
              <w:left w:w="100" w:type="dxa"/>
              <w:right w:w="100" w:type="dxa"/>
            </w:tcMar>
            <w:vAlign w:val="center"/>
          </w:tcPr>
          <w:p>
            <w:r/>
            <w:r>
              <w:rPr>
                <w:color w:val="3A3835"/>
                <w:sz w:val="18"/>
              </w:rPr>
              <w:t>$2,400,000</w:t>
            </w:r>
          </w:p>
        </w:tc>
      </w:tr>
      <w:tr>
        <w:tc>
          <w:tcPr>
            <w:tcW w:type="dxa" w:w="2239"/>
            <w:tcMar>
              <w:top w:w="60" w:type="dxa"/>
              <w:bottom w:w="60" w:type="dxa"/>
              <w:left w:w="100" w:type="dxa"/>
              <w:right w:w="100" w:type="dxa"/>
            </w:tcMar>
            <w:vAlign w:val="center"/>
            <w:shd w:val="clear" w:color="auto" w:fill="F2EFEA"/>
          </w:tcPr>
          <w:p>
            <w:r/>
            <w:r>
              <w:rPr>
                <w:color w:val="3A3835"/>
                <w:sz w:val="18"/>
              </w:rPr>
              <w:t>Digital product revenue</w:t>
            </w:r>
          </w:p>
        </w:tc>
        <w:tc>
          <w:tcPr>
            <w:tcW w:type="dxa" w:w="2239"/>
            <w:tcMar>
              <w:top w:w="60" w:type="dxa"/>
              <w:bottom w:w="60" w:type="dxa"/>
              <w:left w:w="100" w:type="dxa"/>
              <w:right w:w="100" w:type="dxa"/>
            </w:tcMar>
            <w:vAlign w:val="center"/>
            <w:shd w:val="clear" w:color="auto" w:fill="F2EFEA"/>
          </w:tcPr>
          <w:p>
            <w:r/>
            <w:r>
              <w:rPr>
                <w:color w:val="3A3835"/>
                <w:sz w:val="18"/>
              </w:rPr>
              <w:t>$8,000</w:t>
            </w:r>
          </w:p>
        </w:tc>
        <w:tc>
          <w:tcPr>
            <w:tcW w:type="dxa" w:w="2239"/>
            <w:tcMar>
              <w:top w:w="60" w:type="dxa"/>
              <w:bottom w:w="60" w:type="dxa"/>
              <w:left w:w="100" w:type="dxa"/>
              <w:right w:w="100" w:type="dxa"/>
            </w:tcMar>
            <w:vAlign w:val="center"/>
            <w:shd w:val="clear" w:color="auto" w:fill="F2EFEA"/>
          </w:tcPr>
          <w:p>
            <w:r/>
            <w:r>
              <w:rPr>
                <w:color w:val="3A3835"/>
                <w:sz w:val="18"/>
              </w:rPr>
              <w:t>$35,000</w:t>
            </w:r>
          </w:p>
        </w:tc>
        <w:tc>
          <w:tcPr>
            <w:tcW w:type="dxa" w:w="2239"/>
            <w:tcMar>
              <w:top w:w="60" w:type="dxa"/>
              <w:bottom w:w="60" w:type="dxa"/>
              <w:left w:w="100" w:type="dxa"/>
              <w:right w:w="100" w:type="dxa"/>
            </w:tcMar>
            <w:vAlign w:val="center"/>
            <w:shd w:val="clear" w:color="auto" w:fill="F2EFEA"/>
          </w:tcPr>
          <w:p>
            <w:r/>
            <w:r>
              <w:rPr>
                <w:color w:val="3A3835"/>
                <w:sz w:val="18"/>
              </w:rPr>
              <w:t>$70,000</w:t>
            </w:r>
          </w:p>
        </w:tc>
      </w:tr>
      <w:tr>
        <w:tc>
          <w:tcPr>
            <w:tcW w:type="dxa" w:w="2239"/>
            <w:tcMar>
              <w:top w:w="60" w:type="dxa"/>
              <w:bottom w:w="60" w:type="dxa"/>
              <w:left w:w="100" w:type="dxa"/>
              <w:right w:w="100" w:type="dxa"/>
            </w:tcMar>
            <w:vAlign w:val="center"/>
          </w:tcPr>
          <w:p>
            <w:r/>
            <w:r>
              <w:rPr>
                <w:color w:val="3A3835"/>
                <w:sz w:val="18"/>
              </w:rPr>
              <w:t>Total revenue</w:t>
            </w:r>
          </w:p>
        </w:tc>
        <w:tc>
          <w:tcPr>
            <w:tcW w:type="dxa" w:w="2239"/>
            <w:tcMar>
              <w:top w:w="60" w:type="dxa"/>
              <w:bottom w:w="60" w:type="dxa"/>
              <w:left w:w="100" w:type="dxa"/>
              <w:right w:w="100" w:type="dxa"/>
            </w:tcMar>
            <w:vAlign w:val="center"/>
          </w:tcPr>
          <w:p>
            <w:r/>
            <w:r>
              <w:rPr>
                <w:color w:val="3A3835"/>
                <w:sz w:val="18"/>
              </w:rPr>
              <w:t>$32,000</w:t>
            </w:r>
          </w:p>
        </w:tc>
        <w:tc>
          <w:tcPr>
            <w:tcW w:type="dxa" w:w="2239"/>
            <w:tcMar>
              <w:top w:w="60" w:type="dxa"/>
              <w:bottom w:w="60" w:type="dxa"/>
              <w:left w:w="100" w:type="dxa"/>
              <w:right w:w="100" w:type="dxa"/>
            </w:tcMar>
            <w:vAlign w:val="center"/>
          </w:tcPr>
          <w:p>
            <w:r/>
            <w:r>
              <w:rPr>
                <w:color w:val="3A3835"/>
                <w:sz w:val="18"/>
              </w:rPr>
              <w:t>$635,000</w:t>
            </w:r>
          </w:p>
        </w:tc>
        <w:tc>
          <w:tcPr>
            <w:tcW w:type="dxa" w:w="2239"/>
            <w:tcMar>
              <w:top w:w="60" w:type="dxa"/>
              <w:bottom w:w="60" w:type="dxa"/>
              <w:left w:w="100" w:type="dxa"/>
              <w:right w:w="100" w:type="dxa"/>
            </w:tcMar>
            <w:vAlign w:val="center"/>
          </w:tcPr>
          <w:p>
            <w:r/>
            <w:r>
              <w:rPr>
                <w:color w:val="3A3835"/>
                <w:sz w:val="18"/>
              </w:rPr>
              <w:t>$2,470,000</w:t>
            </w:r>
          </w:p>
        </w:tc>
      </w:tr>
      <w:tr>
        <w:tc>
          <w:tcPr>
            <w:tcW w:type="dxa" w:w="2239"/>
            <w:tcMar>
              <w:top w:w="60" w:type="dxa"/>
              <w:bottom w:w="60" w:type="dxa"/>
              <w:left w:w="100" w:type="dxa"/>
              <w:right w:w="100" w:type="dxa"/>
            </w:tcMar>
            <w:vAlign w:val="center"/>
            <w:shd w:val="clear" w:color="auto" w:fill="F2EFEA"/>
          </w:tcPr>
          <w:p>
            <w:r/>
            <w:r>
              <w:rPr>
                <w:color w:val="3A3835"/>
                <w:sz w:val="18"/>
              </w:rPr>
              <w:t>Cost of revenue (LLM inference, cloud infra, payments)</w:t>
            </w:r>
          </w:p>
        </w:tc>
        <w:tc>
          <w:tcPr>
            <w:tcW w:type="dxa" w:w="2239"/>
            <w:tcMar>
              <w:top w:w="60" w:type="dxa"/>
              <w:bottom w:w="60" w:type="dxa"/>
              <w:left w:w="100" w:type="dxa"/>
              <w:right w:w="100" w:type="dxa"/>
            </w:tcMar>
            <w:vAlign w:val="center"/>
            <w:shd w:val="clear" w:color="auto" w:fill="F2EFEA"/>
          </w:tcPr>
          <w:p>
            <w:r/>
            <w:r>
              <w:rPr>
                <w:color w:val="3A3835"/>
                <w:sz w:val="18"/>
              </w:rPr>
              <w:t>$4,000</w:t>
            </w:r>
          </w:p>
        </w:tc>
        <w:tc>
          <w:tcPr>
            <w:tcW w:type="dxa" w:w="2239"/>
            <w:tcMar>
              <w:top w:w="60" w:type="dxa"/>
              <w:bottom w:w="60" w:type="dxa"/>
              <w:left w:w="100" w:type="dxa"/>
              <w:right w:w="100" w:type="dxa"/>
            </w:tcMar>
            <w:vAlign w:val="center"/>
            <w:shd w:val="clear" w:color="auto" w:fill="F2EFEA"/>
          </w:tcPr>
          <w:p>
            <w:r/>
            <w:r>
              <w:rPr>
                <w:color w:val="3A3835"/>
                <w:sz w:val="18"/>
              </w:rPr>
              <w:t>$70,000</w:t>
            </w:r>
          </w:p>
        </w:tc>
        <w:tc>
          <w:tcPr>
            <w:tcW w:type="dxa" w:w="2239"/>
            <w:tcMar>
              <w:top w:w="60" w:type="dxa"/>
              <w:bottom w:w="60" w:type="dxa"/>
              <w:left w:w="100" w:type="dxa"/>
              <w:right w:w="100" w:type="dxa"/>
            </w:tcMar>
            <w:vAlign w:val="center"/>
            <w:shd w:val="clear" w:color="auto" w:fill="F2EFEA"/>
          </w:tcPr>
          <w:p>
            <w:r/>
            <w:r>
              <w:rPr>
                <w:color w:val="3A3835"/>
                <w:sz w:val="18"/>
              </w:rPr>
              <w:t>$260,000</w:t>
            </w:r>
          </w:p>
        </w:tc>
      </w:tr>
      <w:tr>
        <w:tc>
          <w:tcPr>
            <w:tcW w:type="dxa" w:w="2239"/>
            <w:tcMar>
              <w:top w:w="60" w:type="dxa"/>
              <w:bottom w:w="60" w:type="dxa"/>
              <w:left w:w="100" w:type="dxa"/>
              <w:right w:w="100" w:type="dxa"/>
            </w:tcMar>
            <w:vAlign w:val="center"/>
          </w:tcPr>
          <w:p>
            <w:r/>
            <w:r>
              <w:rPr>
                <w:color w:val="3A3835"/>
                <w:sz w:val="18"/>
              </w:rPr>
              <w:t>Gross profit</w:t>
            </w:r>
          </w:p>
        </w:tc>
        <w:tc>
          <w:tcPr>
            <w:tcW w:type="dxa" w:w="2239"/>
            <w:tcMar>
              <w:top w:w="60" w:type="dxa"/>
              <w:bottom w:w="60" w:type="dxa"/>
              <w:left w:w="100" w:type="dxa"/>
              <w:right w:w="100" w:type="dxa"/>
            </w:tcMar>
            <w:vAlign w:val="center"/>
          </w:tcPr>
          <w:p>
            <w:r/>
            <w:r>
              <w:rPr>
                <w:color w:val="3A3835"/>
                <w:sz w:val="18"/>
              </w:rPr>
              <w:t>$28,000</w:t>
            </w:r>
          </w:p>
        </w:tc>
        <w:tc>
          <w:tcPr>
            <w:tcW w:type="dxa" w:w="2239"/>
            <w:tcMar>
              <w:top w:w="60" w:type="dxa"/>
              <w:bottom w:w="60" w:type="dxa"/>
              <w:left w:w="100" w:type="dxa"/>
              <w:right w:w="100" w:type="dxa"/>
            </w:tcMar>
            <w:vAlign w:val="center"/>
          </w:tcPr>
          <w:p>
            <w:r/>
            <w:r>
              <w:rPr>
                <w:color w:val="3A3835"/>
                <w:sz w:val="18"/>
              </w:rPr>
              <w:t>$565,000</w:t>
            </w:r>
          </w:p>
        </w:tc>
        <w:tc>
          <w:tcPr>
            <w:tcW w:type="dxa" w:w="2239"/>
            <w:tcMar>
              <w:top w:w="60" w:type="dxa"/>
              <w:bottom w:w="60" w:type="dxa"/>
              <w:left w:w="100" w:type="dxa"/>
              <w:right w:w="100" w:type="dxa"/>
            </w:tcMar>
            <w:vAlign w:val="center"/>
          </w:tcPr>
          <w:p>
            <w:r/>
            <w:r>
              <w:rPr>
                <w:color w:val="3A3835"/>
                <w:sz w:val="18"/>
              </w:rPr>
              <w:t>$2,210,000</w:t>
            </w:r>
          </w:p>
        </w:tc>
      </w:tr>
      <w:tr>
        <w:tc>
          <w:tcPr>
            <w:tcW w:type="dxa" w:w="2239"/>
            <w:tcMar>
              <w:top w:w="60" w:type="dxa"/>
              <w:bottom w:w="60" w:type="dxa"/>
              <w:left w:w="100" w:type="dxa"/>
              <w:right w:w="100" w:type="dxa"/>
            </w:tcMar>
            <w:vAlign w:val="center"/>
            <w:shd w:val="clear" w:color="auto" w:fill="F2EFEA"/>
          </w:tcPr>
          <w:p>
            <w:r/>
            <w:r>
              <w:rPr>
                <w:color w:val="3A3835"/>
                <w:sz w:val="18"/>
              </w:rPr>
              <w:t>Gross margin</w:t>
            </w:r>
          </w:p>
        </w:tc>
        <w:tc>
          <w:tcPr>
            <w:tcW w:type="dxa" w:w="2239"/>
            <w:tcMar>
              <w:top w:w="60" w:type="dxa"/>
              <w:bottom w:w="60" w:type="dxa"/>
              <w:left w:w="100" w:type="dxa"/>
              <w:right w:w="100" w:type="dxa"/>
            </w:tcMar>
            <w:vAlign w:val="center"/>
            <w:shd w:val="clear" w:color="auto" w:fill="F2EFEA"/>
          </w:tcPr>
          <w:p>
            <w:r/>
            <w:r>
              <w:rPr>
                <w:color w:val="3A3835"/>
                <w:sz w:val="18"/>
              </w:rPr>
              <w:t>~88%</w:t>
            </w:r>
          </w:p>
        </w:tc>
        <w:tc>
          <w:tcPr>
            <w:tcW w:type="dxa" w:w="2239"/>
            <w:tcMar>
              <w:top w:w="60" w:type="dxa"/>
              <w:bottom w:w="60" w:type="dxa"/>
              <w:left w:w="100" w:type="dxa"/>
              <w:right w:w="100" w:type="dxa"/>
            </w:tcMar>
            <w:vAlign w:val="center"/>
            <w:shd w:val="clear" w:color="auto" w:fill="F2EFEA"/>
          </w:tcPr>
          <w:p>
            <w:r/>
            <w:r>
              <w:rPr>
                <w:color w:val="3A3835"/>
                <w:sz w:val="18"/>
              </w:rPr>
              <w:t>~89%</w:t>
            </w:r>
          </w:p>
        </w:tc>
        <w:tc>
          <w:tcPr>
            <w:tcW w:type="dxa" w:w="2239"/>
            <w:tcMar>
              <w:top w:w="60" w:type="dxa"/>
              <w:bottom w:w="60" w:type="dxa"/>
              <w:left w:w="100" w:type="dxa"/>
              <w:right w:w="100" w:type="dxa"/>
            </w:tcMar>
            <w:vAlign w:val="center"/>
            <w:shd w:val="clear" w:color="auto" w:fill="F2EFEA"/>
          </w:tcPr>
          <w:p>
            <w:r/>
            <w:r>
              <w:rPr>
                <w:color w:val="3A3835"/>
                <w:sz w:val="18"/>
              </w:rPr>
              <w:t>~89%</w:t>
            </w:r>
          </w:p>
        </w:tc>
      </w:tr>
      <w:tr>
        <w:tc>
          <w:tcPr>
            <w:tcW w:type="dxa" w:w="2239"/>
            <w:tcMar>
              <w:top w:w="60" w:type="dxa"/>
              <w:bottom w:w="60" w:type="dxa"/>
              <w:left w:w="100" w:type="dxa"/>
              <w:right w:w="100" w:type="dxa"/>
            </w:tcMar>
            <w:vAlign w:val="center"/>
          </w:tcPr>
          <w:p>
            <w:r/>
            <w:r>
              <w:rPr>
                <w:color w:val="3A3835"/>
                <w:sz w:val="18"/>
              </w:rPr>
              <w:t>Sales &amp; marketing</w:t>
            </w:r>
          </w:p>
        </w:tc>
        <w:tc>
          <w:tcPr>
            <w:tcW w:type="dxa" w:w="2239"/>
            <w:tcMar>
              <w:top w:w="60" w:type="dxa"/>
              <w:bottom w:w="60" w:type="dxa"/>
              <w:left w:w="100" w:type="dxa"/>
              <w:right w:w="100" w:type="dxa"/>
            </w:tcMar>
            <w:vAlign w:val="center"/>
          </w:tcPr>
          <w:p>
            <w:r/>
            <w:r>
              <w:rPr>
                <w:color w:val="3A3835"/>
                <w:sz w:val="18"/>
              </w:rPr>
              <w:t>$3,000</w:t>
            </w:r>
          </w:p>
        </w:tc>
        <w:tc>
          <w:tcPr>
            <w:tcW w:type="dxa" w:w="2239"/>
            <w:tcMar>
              <w:top w:w="60" w:type="dxa"/>
              <w:bottom w:w="60" w:type="dxa"/>
              <w:left w:w="100" w:type="dxa"/>
              <w:right w:w="100" w:type="dxa"/>
            </w:tcMar>
            <w:vAlign w:val="center"/>
          </w:tcPr>
          <w:p>
            <w:r/>
            <w:r>
              <w:rPr>
                <w:color w:val="3A3835"/>
                <w:sz w:val="18"/>
              </w:rPr>
              <w:t>$95,000</w:t>
            </w:r>
          </w:p>
        </w:tc>
        <w:tc>
          <w:tcPr>
            <w:tcW w:type="dxa" w:w="2239"/>
            <w:tcMar>
              <w:top w:w="60" w:type="dxa"/>
              <w:bottom w:w="60" w:type="dxa"/>
              <w:left w:w="100" w:type="dxa"/>
              <w:right w:w="100" w:type="dxa"/>
            </w:tcMar>
            <w:vAlign w:val="center"/>
          </w:tcPr>
          <w:p>
            <w:r/>
            <w:r>
              <w:rPr>
                <w:color w:val="3A3835"/>
                <w:sz w:val="18"/>
              </w:rPr>
              <w:t>$370,000</w:t>
            </w:r>
          </w:p>
        </w:tc>
      </w:tr>
      <w:tr>
        <w:tc>
          <w:tcPr>
            <w:tcW w:type="dxa" w:w="2239"/>
            <w:tcMar>
              <w:top w:w="60" w:type="dxa"/>
              <w:bottom w:w="60" w:type="dxa"/>
              <w:left w:w="100" w:type="dxa"/>
              <w:right w:w="100" w:type="dxa"/>
            </w:tcMar>
            <w:vAlign w:val="center"/>
            <w:shd w:val="clear" w:color="auto" w:fill="F2EFEA"/>
          </w:tcPr>
          <w:p>
            <w:r/>
            <w:r>
              <w:rPr>
                <w:color w:val="3A3835"/>
                <w:sz w:val="18"/>
              </w:rPr>
              <w:t>R&amp;D / engineering &amp; product</w:t>
            </w:r>
          </w:p>
        </w:tc>
        <w:tc>
          <w:tcPr>
            <w:tcW w:type="dxa" w:w="2239"/>
            <w:tcMar>
              <w:top w:w="60" w:type="dxa"/>
              <w:bottom w:w="60" w:type="dxa"/>
              <w:left w:w="100" w:type="dxa"/>
              <w:right w:w="100" w:type="dxa"/>
            </w:tcMar>
            <w:vAlign w:val="center"/>
            <w:shd w:val="clear" w:color="auto" w:fill="F2EFEA"/>
          </w:tcPr>
          <w:p>
            <w:r/>
            <w:r>
              <w:rPr>
                <w:color w:val="3A3835"/>
                <w:sz w:val="18"/>
              </w:rPr>
              <w:t>In-kind (founder + services cross-subsidy)</w:t>
            </w:r>
          </w:p>
        </w:tc>
        <w:tc>
          <w:tcPr>
            <w:tcW w:type="dxa" w:w="2239"/>
            <w:tcMar>
              <w:top w:w="60" w:type="dxa"/>
              <w:bottom w:w="60" w:type="dxa"/>
              <w:left w:w="100" w:type="dxa"/>
              <w:right w:w="100" w:type="dxa"/>
            </w:tcMar>
            <w:vAlign w:val="center"/>
            <w:shd w:val="clear" w:color="auto" w:fill="F2EFEA"/>
          </w:tcPr>
          <w:p>
            <w:r/>
            <w:r>
              <w:rPr>
                <w:color w:val="3A3835"/>
                <w:sz w:val="18"/>
              </w:rPr>
              <w:t>$260,000</w:t>
            </w:r>
          </w:p>
        </w:tc>
        <w:tc>
          <w:tcPr>
            <w:tcW w:type="dxa" w:w="2239"/>
            <w:tcMar>
              <w:top w:w="60" w:type="dxa"/>
              <w:bottom w:w="60" w:type="dxa"/>
              <w:left w:w="100" w:type="dxa"/>
              <w:right w:w="100" w:type="dxa"/>
            </w:tcMar>
            <w:vAlign w:val="center"/>
            <w:shd w:val="clear" w:color="auto" w:fill="F2EFEA"/>
          </w:tcPr>
          <w:p>
            <w:r/>
            <w:r>
              <w:rPr>
                <w:color w:val="3A3835"/>
                <w:sz w:val="18"/>
              </w:rPr>
              <w:t>$820,000</w:t>
            </w:r>
          </w:p>
        </w:tc>
      </w:tr>
      <w:tr>
        <w:tc>
          <w:tcPr>
            <w:tcW w:type="dxa" w:w="2239"/>
            <w:tcMar>
              <w:top w:w="60" w:type="dxa"/>
              <w:bottom w:w="60" w:type="dxa"/>
              <w:left w:w="100" w:type="dxa"/>
              <w:right w:w="100" w:type="dxa"/>
            </w:tcMar>
            <w:vAlign w:val="center"/>
          </w:tcPr>
          <w:p>
            <w:r/>
            <w:r>
              <w:rPr>
                <w:color w:val="3A3835"/>
                <w:sz w:val="18"/>
              </w:rPr>
              <w:t>G&amp;A / compliance / legal review</w:t>
            </w:r>
          </w:p>
        </w:tc>
        <w:tc>
          <w:tcPr>
            <w:tcW w:type="dxa" w:w="2239"/>
            <w:tcMar>
              <w:top w:w="60" w:type="dxa"/>
              <w:bottom w:w="60" w:type="dxa"/>
              <w:left w:w="100" w:type="dxa"/>
              <w:right w:w="100" w:type="dxa"/>
            </w:tcMar>
            <w:vAlign w:val="center"/>
          </w:tcPr>
          <w:p>
            <w:r/>
            <w:r>
              <w:rPr>
                <w:color w:val="3A3835"/>
                <w:sz w:val="18"/>
              </w:rPr>
              <w:t>$2,000</w:t>
            </w:r>
          </w:p>
        </w:tc>
        <w:tc>
          <w:tcPr>
            <w:tcW w:type="dxa" w:w="2239"/>
            <w:tcMar>
              <w:top w:w="60" w:type="dxa"/>
              <w:bottom w:w="60" w:type="dxa"/>
              <w:left w:w="100" w:type="dxa"/>
              <w:right w:w="100" w:type="dxa"/>
            </w:tcMar>
            <w:vAlign w:val="center"/>
          </w:tcPr>
          <w:p>
            <w:r/>
            <w:r>
              <w:rPr>
                <w:color w:val="3A3835"/>
                <w:sz w:val="18"/>
              </w:rPr>
              <w:t>$45,000</w:t>
            </w:r>
          </w:p>
        </w:tc>
        <w:tc>
          <w:tcPr>
            <w:tcW w:type="dxa" w:w="2239"/>
            <w:tcMar>
              <w:top w:w="60" w:type="dxa"/>
              <w:bottom w:w="60" w:type="dxa"/>
              <w:left w:w="100" w:type="dxa"/>
              <w:right w:w="100" w:type="dxa"/>
            </w:tcMar>
            <w:vAlign w:val="center"/>
          </w:tcPr>
          <w:p>
            <w:r/>
            <w:r>
              <w:rPr>
                <w:color w:val="3A3835"/>
                <w:sz w:val="18"/>
              </w:rPr>
              <w:t>$140,000</w:t>
            </w:r>
          </w:p>
        </w:tc>
      </w:tr>
      <w:tr>
        <w:tc>
          <w:tcPr>
            <w:tcW w:type="dxa" w:w="2239"/>
            <w:tcMar>
              <w:top w:w="60" w:type="dxa"/>
              <w:bottom w:w="60" w:type="dxa"/>
              <w:left w:w="100" w:type="dxa"/>
              <w:right w:w="100" w:type="dxa"/>
            </w:tcMar>
            <w:vAlign w:val="center"/>
            <w:shd w:val="clear" w:color="auto" w:fill="F2EFEA"/>
          </w:tcPr>
          <w:p>
            <w:r/>
            <w:r>
              <w:rPr>
                <w:color w:val="3A3835"/>
                <w:sz w:val="18"/>
              </w:rPr>
              <w:t>EBITDA (illustrative)</w:t>
            </w:r>
          </w:p>
        </w:tc>
        <w:tc>
          <w:tcPr>
            <w:tcW w:type="dxa" w:w="2239"/>
            <w:tcMar>
              <w:top w:w="60" w:type="dxa"/>
              <w:bottom w:w="60" w:type="dxa"/>
              <w:left w:w="100" w:type="dxa"/>
              <w:right w:w="100" w:type="dxa"/>
            </w:tcMar>
            <w:vAlign w:val="center"/>
            <w:shd w:val="clear" w:color="auto" w:fill="F2EFEA"/>
          </w:tcPr>
          <w:p>
            <w:r/>
            <w:r>
              <w:rPr>
                <w:color w:val="3A3835"/>
                <w:sz w:val="18"/>
              </w:rPr>
              <w:t>$23,000</w:t>
            </w:r>
          </w:p>
        </w:tc>
        <w:tc>
          <w:tcPr>
            <w:tcW w:type="dxa" w:w="2239"/>
            <w:tcMar>
              <w:top w:w="60" w:type="dxa"/>
              <w:bottom w:w="60" w:type="dxa"/>
              <w:left w:w="100" w:type="dxa"/>
              <w:right w:w="100" w:type="dxa"/>
            </w:tcMar>
            <w:vAlign w:val="center"/>
            <w:shd w:val="clear" w:color="auto" w:fill="F2EFEA"/>
          </w:tcPr>
          <w:p>
            <w:r/>
            <w:r>
              <w:rPr>
                <w:color w:val="3A3835"/>
                <w:sz w:val="18"/>
              </w:rPr>
              <w:t>$165,000</w:t>
            </w:r>
          </w:p>
        </w:tc>
        <w:tc>
          <w:tcPr>
            <w:tcW w:type="dxa" w:w="2239"/>
            <w:tcMar>
              <w:top w:w="60" w:type="dxa"/>
              <w:bottom w:w="60" w:type="dxa"/>
              <w:left w:w="100" w:type="dxa"/>
              <w:right w:w="100" w:type="dxa"/>
            </w:tcMar>
            <w:vAlign w:val="center"/>
            <w:shd w:val="clear" w:color="auto" w:fill="F2EFEA"/>
          </w:tcPr>
          <w:p>
            <w:r/>
            <w:r>
              <w:rPr>
                <w:color w:val="3A3835"/>
                <w:sz w:val="18"/>
              </w:rPr>
              <w:t>$880,000</w:t>
            </w:r>
          </w:p>
        </w:tc>
      </w:tr>
    </w:tbl>
    <w:p>
      <w:pPr>
        <w:pStyle w:val="BIKCaption"/>
        <w:jc w:val="center"/>
      </w:pPr>
      <w:r>
        <w:t>Illustrative planning model, base case. Gross margin is modelled in line with typical vertical SaaS benchmarks (85–90%) given the low marginal cost of LLM inference at BIK's document-length use case.</w:t>
      </w:r>
    </w:p>
    <w:p>
      <w:pPr>
        <w:pStyle w:val="BIKH1"/>
      </w:pPr>
      <w:r>
        <w:t>Subscriber and Tool Growth</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Phase</w:t>
            </w:r>
          </w:p>
        </w:tc>
        <w:tc>
          <w:tcPr>
            <w:tcW w:type="dxa" w:w="2239"/>
            <w:shd w:val="clear" w:color="auto" w:fill="252320"/>
            <w:tcMar>
              <w:top w:w="60" w:type="dxa"/>
              <w:bottom w:w="60" w:type="dxa"/>
              <w:left w:w="100" w:type="dxa"/>
              <w:right w:w="100" w:type="dxa"/>
            </w:tcMar>
            <w:vAlign w:val="center"/>
          </w:tcPr>
          <w:p>
            <w:r/>
            <w:r>
              <w:rPr>
                <w:b/>
                <w:color w:val="FFFFFF"/>
                <w:sz w:val="18"/>
              </w:rPr>
              <w:t>Tools live (cumulative)</w:t>
            </w:r>
          </w:p>
        </w:tc>
        <w:tc>
          <w:tcPr>
            <w:tcW w:type="dxa" w:w="2239"/>
            <w:shd w:val="clear" w:color="auto" w:fill="252320"/>
            <w:tcMar>
              <w:top w:w="60" w:type="dxa"/>
              <w:bottom w:w="60" w:type="dxa"/>
              <w:left w:w="100" w:type="dxa"/>
              <w:right w:w="100" w:type="dxa"/>
            </w:tcMar>
            <w:vAlign w:val="center"/>
          </w:tcPr>
          <w:p>
            <w:r/>
            <w:r>
              <w:rPr>
                <w:b/>
                <w:color w:val="FFFFFF"/>
                <w:sz w:val="18"/>
              </w:rPr>
              <w:t>Paying subscribers</w:t>
            </w:r>
          </w:p>
        </w:tc>
        <w:tc>
          <w:tcPr>
            <w:tcW w:type="dxa" w:w="2239"/>
            <w:shd w:val="clear" w:color="auto" w:fill="252320"/>
            <w:tcMar>
              <w:top w:w="60" w:type="dxa"/>
              <w:bottom w:w="60" w:type="dxa"/>
              <w:left w:w="100" w:type="dxa"/>
              <w:right w:w="100" w:type="dxa"/>
            </w:tcMar>
            <w:vAlign w:val="center"/>
          </w:tcPr>
          <w:p>
            <w:r/>
            <w:r>
              <w:rPr>
                <w:b/>
                <w:color w:val="FFFFFF"/>
                <w:sz w:val="18"/>
              </w:rPr>
              <w:t>MRR (base case)</w:t>
            </w:r>
          </w:p>
        </w:tc>
      </w:tr>
      <w:tr>
        <w:tc>
          <w:tcPr>
            <w:tcW w:type="dxa" w:w="2239"/>
            <w:tcMar>
              <w:top w:w="60" w:type="dxa"/>
              <w:bottom w:w="60" w:type="dxa"/>
              <w:left w:w="100" w:type="dxa"/>
              <w:right w:w="100" w:type="dxa"/>
            </w:tcMar>
            <w:vAlign w:val="center"/>
          </w:tcPr>
          <w:p>
            <w:r/>
            <w:r>
              <w:rPr>
                <w:color w:val="3A3835"/>
                <w:sz w:val="18"/>
              </w:rPr>
              <w:t>Phase 1 (Q3 2026)</w:t>
            </w:r>
          </w:p>
        </w:tc>
        <w:tc>
          <w:tcPr>
            <w:tcW w:type="dxa" w:w="2239"/>
            <w:tcMar>
              <w:top w:w="60" w:type="dxa"/>
              <w:bottom w:w="60" w:type="dxa"/>
              <w:left w:w="100" w:type="dxa"/>
              <w:right w:w="100" w:type="dxa"/>
            </w:tcMar>
            <w:vAlign w:val="center"/>
          </w:tcPr>
          <w:p>
            <w:r/>
            <w:r>
              <w:rPr>
                <w:color w:val="3A3835"/>
                <w:sz w:val="18"/>
              </w:rPr>
              <w:t>10</w:t>
            </w:r>
          </w:p>
        </w:tc>
        <w:tc>
          <w:tcPr>
            <w:tcW w:type="dxa" w:w="2239"/>
            <w:tcMar>
              <w:top w:w="60" w:type="dxa"/>
              <w:bottom w:w="60" w:type="dxa"/>
              <w:left w:w="100" w:type="dxa"/>
              <w:right w:w="100" w:type="dxa"/>
            </w:tcMar>
            <w:vAlign w:val="center"/>
          </w:tcPr>
          <w:p>
            <w:r/>
            <w:r>
              <w:rPr>
                <w:color w:val="3A3835"/>
                <w:sz w:val="18"/>
              </w:rPr>
              <w:t>100</w:t>
            </w:r>
          </w:p>
        </w:tc>
        <w:tc>
          <w:tcPr>
            <w:tcW w:type="dxa" w:w="2239"/>
            <w:tcMar>
              <w:top w:w="60" w:type="dxa"/>
              <w:bottom w:w="60" w:type="dxa"/>
              <w:left w:w="100" w:type="dxa"/>
              <w:right w:w="100" w:type="dxa"/>
            </w:tcMar>
            <w:vAlign w:val="center"/>
          </w:tcPr>
          <w:p>
            <w:r/>
            <w:r>
              <w:rPr>
                <w:color w:val="3A3835"/>
                <w:sz w:val="18"/>
              </w:rPr>
              <w:t>$2,000</w:t>
            </w:r>
          </w:p>
        </w:tc>
      </w:tr>
      <w:tr>
        <w:tc>
          <w:tcPr>
            <w:tcW w:type="dxa" w:w="2239"/>
            <w:tcMar>
              <w:top w:w="60" w:type="dxa"/>
              <w:bottom w:w="60" w:type="dxa"/>
              <w:left w:w="100" w:type="dxa"/>
              <w:right w:w="100" w:type="dxa"/>
            </w:tcMar>
            <w:vAlign w:val="center"/>
            <w:shd w:val="clear" w:color="auto" w:fill="F2EFEA"/>
          </w:tcPr>
          <w:p>
            <w:r/>
            <w:r>
              <w:rPr>
                <w:color w:val="3A3835"/>
                <w:sz w:val="18"/>
              </w:rPr>
              <w:t>Phase 2 (Q1 2027)</w:t>
            </w:r>
          </w:p>
        </w:tc>
        <w:tc>
          <w:tcPr>
            <w:tcW w:type="dxa" w:w="2239"/>
            <w:tcMar>
              <w:top w:w="60" w:type="dxa"/>
              <w:bottom w:w="60" w:type="dxa"/>
              <w:left w:w="100" w:type="dxa"/>
              <w:right w:w="100" w:type="dxa"/>
            </w:tcMar>
            <w:vAlign w:val="center"/>
            <w:shd w:val="clear" w:color="auto" w:fill="F2EFEA"/>
          </w:tcPr>
          <w:p>
            <w:r/>
            <w:r>
              <w:rPr>
                <w:color w:val="3A3835"/>
                <w:sz w:val="18"/>
              </w:rPr>
              <w:t>25</w:t>
            </w:r>
          </w:p>
        </w:tc>
        <w:tc>
          <w:tcPr>
            <w:tcW w:type="dxa" w:w="2239"/>
            <w:tcMar>
              <w:top w:w="60" w:type="dxa"/>
              <w:bottom w:w="60" w:type="dxa"/>
              <w:left w:w="100" w:type="dxa"/>
              <w:right w:w="100" w:type="dxa"/>
            </w:tcMar>
            <w:vAlign w:val="center"/>
            <w:shd w:val="clear" w:color="auto" w:fill="F2EFEA"/>
          </w:tcPr>
          <w:p>
            <w:r/>
            <w:r>
              <w:rPr>
                <w:color w:val="3A3835"/>
                <w:sz w:val="18"/>
              </w:rPr>
              <w:t>500</w:t>
            </w:r>
          </w:p>
        </w:tc>
        <w:tc>
          <w:tcPr>
            <w:tcW w:type="dxa" w:w="2239"/>
            <w:tcMar>
              <w:top w:w="60" w:type="dxa"/>
              <w:bottom w:w="60" w:type="dxa"/>
              <w:left w:w="100" w:type="dxa"/>
              <w:right w:w="100" w:type="dxa"/>
            </w:tcMar>
            <w:vAlign w:val="center"/>
            <w:shd w:val="clear" w:color="auto" w:fill="F2EFEA"/>
          </w:tcPr>
          <w:p>
            <w:r/>
            <w:r>
              <w:rPr>
                <w:color w:val="3A3835"/>
                <w:sz w:val="18"/>
              </w:rPr>
              <w:t>$15,000</w:t>
            </w:r>
          </w:p>
        </w:tc>
      </w:tr>
      <w:tr>
        <w:tc>
          <w:tcPr>
            <w:tcW w:type="dxa" w:w="2239"/>
            <w:tcMar>
              <w:top w:w="60" w:type="dxa"/>
              <w:bottom w:w="60" w:type="dxa"/>
              <w:left w:w="100" w:type="dxa"/>
              <w:right w:w="100" w:type="dxa"/>
            </w:tcMar>
            <w:vAlign w:val="center"/>
          </w:tcPr>
          <w:p>
            <w:r/>
            <w:r>
              <w:rPr>
                <w:color w:val="3A3835"/>
                <w:sz w:val="18"/>
              </w:rPr>
              <w:t>Phase 3 (Q3 2027–2028)</w:t>
            </w:r>
          </w:p>
        </w:tc>
        <w:tc>
          <w:tcPr>
            <w:tcW w:type="dxa" w:w="2239"/>
            <w:tcMar>
              <w:top w:w="60" w:type="dxa"/>
              <w:bottom w:w="60" w:type="dxa"/>
              <w:left w:w="100" w:type="dxa"/>
              <w:right w:w="100" w:type="dxa"/>
            </w:tcMar>
            <w:vAlign w:val="center"/>
          </w:tcPr>
          <w:p>
            <w:r/>
            <w:r>
              <w:rPr>
                <w:color w:val="3A3835"/>
                <w:sz w:val="18"/>
              </w:rPr>
              <w:t>50</w:t>
            </w:r>
          </w:p>
        </w:tc>
        <w:tc>
          <w:tcPr>
            <w:tcW w:type="dxa" w:w="2239"/>
            <w:tcMar>
              <w:top w:w="60" w:type="dxa"/>
              <w:bottom w:w="60" w:type="dxa"/>
              <w:left w:w="100" w:type="dxa"/>
              <w:right w:w="100" w:type="dxa"/>
            </w:tcMar>
            <w:vAlign w:val="center"/>
          </w:tcPr>
          <w:p>
            <w:r/>
            <w:r>
              <w:rPr>
                <w:color w:val="3A3835"/>
                <w:sz w:val="18"/>
              </w:rPr>
              <w:t>1,500</w:t>
            </w:r>
          </w:p>
        </w:tc>
        <w:tc>
          <w:tcPr>
            <w:tcW w:type="dxa" w:w="2239"/>
            <w:tcMar>
              <w:top w:w="60" w:type="dxa"/>
              <w:bottom w:w="60" w:type="dxa"/>
              <w:left w:w="100" w:type="dxa"/>
              <w:right w:w="100" w:type="dxa"/>
            </w:tcMar>
            <w:vAlign w:val="center"/>
          </w:tcPr>
          <w:p>
            <w:r/>
            <w:r>
              <w:rPr>
                <w:color w:val="3A3835"/>
                <w:sz w:val="18"/>
              </w:rPr>
              <w:t>$50,000</w:t>
            </w:r>
          </w:p>
        </w:tc>
      </w:tr>
      <w:tr>
        <w:tc>
          <w:tcPr>
            <w:tcW w:type="dxa" w:w="2239"/>
            <w:tcMar>
              <w:top w:w="60" w:type="dxa"/>
              <w:bottom w:w="60" w:type="dxa"/>
              <w:left w:w="100" w:type="dxa"/>
              <w:right w:w="100" w:type="dxa"/>
            </w:tcMar>
            <w:vAlign w:val="center"/>
            <w:shd w:val="clear" w:color="auto" w:fill="F2EFEA"/>
          </w:tcPr>
          <w:p>
            <w:r/>
            <w:r>
              <w:rPr>
                <w:color w:val="3A3835"/>
                <w:sz w:val="18"/>
              </w:rPr>
              <w:t>Phase 4 (2028+)</w:t>
            </w:r>
          </w:p>
        </w:tc>
        <w:tc>
          <w:tcPr>
            <w:tcW w:type="dxa" w:w="2239"/>
            <w:tcMar>
              <w:top w:w="60" w:type="dxa"/>
              <w:bottom w:w="60" w:type="dxa"/>
              <w:left w:w="100" w:type="dxa"/>
              <w:right w:w="100" w:type="dxa"/>
            </w:tcMar>
            <w:vAlign w:val="center"/>
            <w:shd w:val="clear" w:color="auto" w:fill="F2EFEA"/>
          </w:tcPr>
          <w:p>
            <w:r/>
            <w:r>
              <w:rPr>
                <w:color w:val="3A3835"/>
                <w:sz w:val="18"/>
              </w:rPr>
              <w:t>105+</w:t>
            </w:r>
          </w:p>
        </w:tc>
        <w:tc>
          <w:tcPr>
            <w:tcW w:type="dxa" w:w="2239"/>
            <w:tcMar>
              <w:top w:w="60" w:type="dxa"/>
              <w:bottom w:w="60" w:type="dxa"/>
              <w:left w:w="100" w:type="dxa"/>
              <w:right w:w="100" w:type="dxa"/>
            </w:tcMar>
            <w:vAlign w:val="center"/>
            <w:shd w:val="clear" w:color="auto" w:fill="F2EFEA"/>
          </w:tcPr>
          <w:p>
            <w:r/>
            <w:r>
              <w:rPr>
                <w:color w:val="3A3835"/>
                <w:sz w:val="18"/>
              </w:rPr>
              <w:t>5,000+</w:t>
            </w:r>
          </w:p>
        </w:tc>
        <w:tc>
          <w:tcPr>
            <w:tcW w:type="dxa" w:w="2239"/>
            <w:tcMar>
              <w:top w:w="60" w:type="dxa"/>
              <w:bottom w:w="60" w:type="dxa"/>
              <w:left w:w="100" w:type="dxa"/>
              <w:right w:w="100" w:type="dxa"/>
            </w:tcMar>
            <w:vAlign w:val="center"/>
            <w:shd w:val="clear" w:color="auto" w:fill="F2EFEA"/>
          </w:tcPr>
          <w:p>
            <w:r/>
            <w:r>
              <w:rPr>
                <w:color w:val="3A3835"/>
                <w:sz w:val="18"/>
              </w:rPr>
              <w:t>$200,000+</w:t>
            </w:r>
          </w:p>
        </w:tc>
      </w:tr>
    </w:tbl>
    <w:p>
      <w:pPr>
        <w:pStyle w:val="BIKCaption"/>
        <w:jc w:val="center"/>
      </w:pPr>
      <w:r>
        <w:t>Source: docs/product-roadmap.md and docs/pricing-strategy.md — BIK's own published milestone targets</w:t>
      </w:r>
    </w:p>
    <w:p>
      <w:pPr>
        <w:pStyle w:val="BIKH1"/>
      </w:pPr>
      <w:r>
        <w:t>Quarterly MRR Build — Base Case (Illustrative)</w:t>
      </w:r>
    </w:p>
    <w:p>
      <w:pPr>
        <w:pStyle w:val="BIKBody"/>
        <w:jc w:val="both"/>
      </w:pPr>
      <w:r>
        <w:t>The annual figures above are built up from the following quarterly progression, which makes explicit the S-curve growth pattern assumed in Figure 20.1 rather than a straight-line run rate.</w:t>
      </w:r>
    </w:p>
    <w:tbl>
      <w:tblPr>
        <w:tblStyle w:val="TableGrid"/>
        <w:tblW w:type="auto" w:w="0"/>
        <w:tblLayout w:type="fixed"/>
        <w:tblLook w:firstColumn="1" w:firstRow="1" w:lastColumn="0" w:lastRow="0" w:noHBand="0" w:noVBand="1" w:val="04A0"/>
      </w:tblPr>
      <w:tblGrid>
        <w:gridCol w:w="1120"/>
        <w:gridCol w:w="1120"/>
        <w:gridCol w:w="1120"/>
        <w:gridCol w:w="1120"/>
        <w:gridCol w:w="1120"/>
        <w:gridCol w:w="1120"/>
        <w:gridCol w:w="1120"/>
        <w:gridCol w:w="1120"/>
      </w:tblGrid>
      <w:tr>
        <w:tc>
          <w:tcPr>
            <w:tcW w:type="dxa" w:w="1120"/>
            <w:shd w:val="clear" w:color="auto" w:fill="252320"/>
            <w:tcMar>
              <w:top w:w="60" w:type="dxa"/>
              <w:bottom w:w="60" w:type="dxa"/>
              <w:left w:w="100" w:type="dxa"/>
              <w:right w:w="100" w:type="dxa"/>
            </w:tcMar>
            <w:vAlign w:val="center"/>
          </w:tcPr>
          <w:p>
            <w:r/>
            <w:r>
              <w:rPr>
                <w:b/>
                <w:color w:val="FFFFFF"/>
                <w:sz w:val="17"/>
              </w:rPr>
              <w:t>Quarter</w:t>
            </w:r>
          </w:p>
        </w:tc>
        <w:tc>
          <w:tcPr>
            <w:tcW w:type="dxa" w:w="1120"/>
            <w:shd w:val="clear" w:color="auto" w:fill="252320"/>
            <w:tcMar>
              <w:top w:w="60" w:type="dxa"/>
              <w:bottom w:w="60" w:type="dxa"/>
              <w:left w:w="100" w:type="dxa"/>
              <w:right w:w="100" w:type="dxa"/>
            </w:tcMar>
            <w:vAlign w:val="center"/>
          </w:tcPr>
          <w:p>
            <w:r/>
            <w:r>
              <w:rPr>
                <w:b/>
                <w:color w:val="FFFFFF"/>
                <w:sz w:val="17"/>
              </w:rPr>
              <w:t>New paying subs (net)</w:t>
            </w:r>
          </w:p>
        </w:tc>
        <w:tc>
          <w:tcPr>
            <w:tcW w:type="dxa" w:w="1120"/>
            <w:shd w:val="clear" w:color="auto" w:fill="252320"/>
            <w:tcMar>
              <w:top w:w="60" w:type="dxa"/>
              <w:bottom w:w="60" w:type="dxa"/>
              <w:left w:w="100" w:type="dxa"/>
              <w:right w:w="100" w:type="dxa"/>
            </w:tcMar>
            <w:vAlign w:val="center"/>
          </w:tcPr>
          <w:p>
            <w:r/>
            <w:r>
              <w:rPr>
                <w:b/>
                <w:color w:val="FFFFFF"/>
                <w:sz w:val="17"/>
              </w:rPr>
              <w:t>Cumulative subs</w:t>
            </w:r>
          </w:p>
        </w:tc>
        <w:tc>
          <w:tcPr>
            <w:tcW w:type="dxa" w:w="1120"/>
            <w:shd w:val="clear" w:color="auto" w:fill="252320"/>
            <w:tcMar>
              <w:top w:w="60" w:type="dxa"/>
              <w:bottom w:w="60" w:type="dxa"/>
              <w:left w:w="100" w:type="dxa"/>
              <w:right w:w="100" w:type="dxa"/>
            </w:tcMar>
            <w:vAlign w:val="center"/>
          </w:tcPr>
          <w:p>
            <w:r/>
            <w:r>
              <w:rPr>
                <w:b/>
                <w:color w:val="FFFFFF"/>
                <w:sz w:val="17"/>
              </w:rPr>
              <w:t>MRR</w:t>
            </w:r>
          </w:p>
        </w:tc>
        <w:tc>
          <w:tcPr>
            <w:tcW w:type="dxa" w:w="1120"/>
            <w:shd w:val="clear" w:color="auto" w:fill="252320"/>
            <w:tcMar>
              <w:top w:w="60" w:type="dxa"/>
              <w:bottom w:w="60" w:type="dxa"/>
              <w:left w:w="100" w:type="dxa"/>
              <w:right w:w="100" w:type="dxa"/>
            </w:tcMar>
            <w:vAlign w:val="center"/>
          </w:tcPr>
          <w:p>
            <w:r/>
            <w:r>
              <w:rPr>
                <w:b/>
                <w:color w:val="FFFFFF"/>
                <w:sz w:val="17"/>
              </w:rPr>
              <w:t>Quarter</w:t>
            </w:r>
          </w:p>
        </w:tc>
        <w:tc>
          <w:tcPr>
            <w:tcW w:type="dxa" w:w="1120"/>
            <w:shd w:val="clear" w:color="auto" w:fill="252320"/>
            <w:tcMar>
              <w:top w:w="60" w:type="dxa"/>
              <w:bottom w:w="60" w:type="dxa"/>
              <w:left w:w="100" w:type="dxa"/>
              <w:right w:w="100" w:type="dxa"/>
            </w:tcMar>
            <w:vAlign w:val="center"/>
          </w:tcPr>
          <w:p>
            <w:r/>
            <w:r>
              <w:rPr>
                <w:b/>
                <w:color w:val="FFFFFF"/>
                <w:sz w:val="17"/>
              </w:rPr>
              <w:t>New paying subs (net)</w:t>
            </w:r>
          </w:p>
        </w:tc>
        <w:tc>
          <w:tcPr>
            <w:tcW w:type="dxa" w:w="1120"/>
            <w:shd w:val="clear" w:color="auto" w:fill="252320"/>
            <w:tcMar>
              <w:top w:w="60" w:type="dxa"/>
              <w:bottom w:w="60" w:type="dxa"/>
              <w:left w:w="100" w:type="dxa"/>
              <w:right w:w="100" w:type="dxa"/>
            </w:tcMar>
            <w:vAlign w:val="center"/>
          </w:tcPr>
          <w:p>
            <w:r/>
            <w:r>
              <w:rPr>
                <w:b/>
                <w:color w:val="FFFFFF"/>
                <w:sz w:val="17"/>
              </w:rPr>
              <w:t>Cumulative subs</w:t>
            </w:r>
          </w:p>
        </w:tc>
        <w:tc>
          <w:tcPr>
            <w:tcW w:type="dxa" w:w="1120"/>
            <w:shd w:val="clear" w:color="auto" w:fill="252320"/>
            <w:tcMar>
              <w:top w:w="60" w:type="dxa"/>
              <w:bottom w:w="60" w:type="dxa"/>
              <w:left w:w="100" w:type="dxa"/>
              <w:right w:w="100" w:type="dxa"/>
            </w:tcMar>
            <w:vAlign w:val="center"/>
          </w:tcPr>
          <w:p>
            <w:r/>
            <w:r>
              <w:rPr>
                <w:b/>
                <w:color w:val="FFFFFF"/>
                <w:sz w:val="17"/>
              </w:rPr>
              <w:t>MRR</w:t>
            </w:r>
          </w:p>
        </w:tc>
      </w:tr>
      <w:tr>
        <w:tc>
          <w:tcPr>
            <w:tcW w:type="dxa" w:w="1120"/>
            <w:tcMar>
              <w:top w:w="60" w:type="dxa"/>
              <w:bottom w:w="60" w:type="dxa"/>
              <w:left w:w="100" w:type="dxa"/>
              <w:right w:w="100" w:type="dxa"/>
            </w:tcMar>
            <w:vAlign w:val="center"/>
          </w:tcPr>
          <w:p>
            <w:r/>
            <w:r>
              <w:rPr>
                <w:color w:val="3A3835"/>
                <w:sz w:val="17"/>
              </w:rPr>
              <w:t>Q1</w:t>
            </w:r>
          </w:p>
        </w:tc>
        <w:tc>
          <w:tcPr>
            <w:tcW w:type="dxa" w:w="1120"/>
            <w:tcMar>
              <w:top w:w="60" w:type="dxa"/>
              <w:bottom w:w="60" w:type="dxa"/>
              <w:left w:w="100" w:type="dxa"/>
              <w:right w:w="100" w:type="dxa"/>
            </w:tcMar>
            <w:vAlign w:val="center"/>
          </w:tcPr>
          <w:p>
            <w:r/>
            <w:r>
              <w:rPr>
                <w:color w:val="3A3835"/>
                <w:sz w:val="17"/>
              </w:rPr>
              <w:t>35</w:t>
            </w:r>
          </w:p>
        </w:tc>
        <w:tc>
          <w:tcPr>
            <w:tcW w:type="dxa" w:w="1120"/>
            <w:tcMar>
              <w:top w:w="60" w:type="dxa"/>
              <w:bottom w:w="60" w:type="dxa"/>
              <w:left w:w="100" w:type="dxa"/>
              <w:right w:w="100" w:type="dxa"/>
            </w:tcMar>
            <w:vAlign w:val="center"/>
          </w:tcPr>
          <w:p>
            <w:r/>
            <w:r>
              <w:rPr>
                <w:color w:val="3A3835"/>
                <w:sz w:val="17"/>
              </w:rPr>
              <w:t>35</w:t>
            </w:r>
          </w:p>
        </w:tc>
        <w:tc>
          <w:tcPr>
            <w:tcW w:type="dxa" w:w="1120"/>
            <w:tcMar>
              <w:top w:w="60" w:type="dxa"/>
              <w:bottom w:w="60" w:type="dxa"/>
              <w:left w:w="100" w:type="dxa"/>
              <w:right w:w="100" w:type="dxa"/>
            </w:tcMar>
            <w:vAlign w:val="center"/>
          </w:tcPr>
          <w:p>
            <w:r/>
            <w:r>
              <w:rPr>
                <w:color w:val="3A3835"/>
                <w:sz w:val="17"/>
              </w:rPr>
              <w:t>$900</w:t>
            </w:r>
          </w:p>
        </w:tc>
        <w:tc>
          <w:tcPr>
            <w:tcW w:type="dxa" w:w="1120"/>
            <w:tcMar>
              <w:top w:w="60" w:type="dxa"/>
              <w:bottom w:w="60" w:type="dxa"/>
              <w:left w:w="100" w:type="dxa"/>
              <w:right w:w="100" w:type="dxa"/>
            </w:tcMar>
            <w:vAlign w:val="center"/>
          </w:tcPr>
          <w:p>
            <w:r/>
            <w:r>
              <w:rPr>
                <w:color w:val="3A3835"/>
                <w:sz w:val="17"/>
              </w:rPr>
              <w:t>Q11</w:t>
            </w:r>
          </w:p>
        </w:tc>
        <w:tc>
          <w:tcPr>
            <w:tcW w:type="dxa" w:w="1120"/>
            <w:tcMar>
              <w:top w:w="60" w:type="dxa"/>
              <w:bottom w:w="60" w:type="dxa"/>
              <w:left w:w="100" w:type="dxa"/>
              <w:right w:w="100" w:type="dxa"/>
            </w:tcMar>
            <w:vAlign w:val="center"/>
          </w:tcPr>
          <w:p>
            <w:r/>
            <w:r>
              <w:rPr>
                <w:color w:val="3A3835"/>
                <w:sz w:val="17"/>
              </w:rPr>
              <w:t>155</w:t>
            </w:r>
          </w:p>
        </w:tc>
        <w:tc>
          <w:tcPr>
            <w:tcW w:type="dxa" w:w="1120"/>
            <w:tcMar>
              <w:top w:w="60" w:type="dxa"/>
              <w:bottom w:w="60" w:type="dxa"/>
              <w:left w:w="100" w:type="dxa"/>
              <w:right w:w="100" w:type="dxa"/>
            </w:tcMar>
            <w:vAlign w:val="center"/>
          </w:tcPr>
          <w:p>
            <w:r/>
            <w:r>
              <w:rPr>
                <w:color w:val="3A3835"/>
                <w:sz w:val="17"/>
              </w:rPr>
              <w:t>1,180</w:t>
            </w:r>
          </w:p>
        </w:tc>
        <w:tc>
          <w:tcPr>
            <w:tcW w:type="dxa" w:w="1120"/>
            <w:tcMar>
              <w:top w:w="60" w:type="dxa"/>
              <w:bottom w:w="60" w:type="dxa"/>
              <w:left w:w="100" w:type="dxa"/>
              <w:right w:w="100" w:type="dxa"/>
            </w:tcMar>
            <w:vAlign w:val="center"/>
          </w:tcPr>
          <w:p>
            <w:r/>
            <w:r>
              <w:rPr>
                <w:color w:val="3A3835"/>
                <w:sz w:val="17"/>
              </w:rPr>
              <w:t>$34,500</w:t>
            </w:r>
          </w:p>
        </w:tc>
      </w:tr>
      <w:tr>
        <w:tc>
          <w:tcPr>
            <w:tcW w:type="dxa" w:w="1120"/>
            <w:tcMar>
              <w:top w:w="60" w:type="dxa"/>
              <w:bottom w:w="60" w:type="dxa"/>
              <w:left w:w="100" w:type="dxa"/>
              <w:right w:w="100" w:type="dxa"/>
            </w:tcMar>
            <w:vAlign w:val="center"/>
            <w:shd w:val="clear" w:color="auto" w:fill="F2EFEA"/>
          </w:tcPr>
          <w:p>
            <w:r/>
            <w:r>
              <w:rPr>
                <w:color w:val="3A3835"/>
                <w:sz w:val="17"/>
              </w:rPr>
              <w:t>Q2</w:t>
            </w:r>
          </w:p>
        </w:tc>
        <w:tc>
          <w:tcPr>
            <w:tcW w:type="dxa" w:w="1120"/>
            <w:tcMar>
              <w:top w:w="60" w:type="dxa"/>
              <w:bottom w:w="60" w:type="dxa"/>
              <w:left w:w="100" w:type="dxa"/>
              <w:right w:w="100" w:type="dxa"/>
            </w:tcMar>
            <w:vAlign w:val="center"/>
            <w:shd w:val="clear" w:color="auto" w:fill="F2EFEA"/>
          </w:tcPr>
          <w:p>
            <w:r/>
            <w:r>
              <w:rPr>
                <w:color w:val="3A3835"/>
                <w:sz w:val="17"/>
              </w:rPr>
              <w:t>40</w:t>
            </w:r>
          </w:p>
        </w:tc>
        <w:tc>
          <w:tcPr>
            <w:tcW w:type="dxa" w:w="1120"/>
            <w:tcMar>
              <w:top w:w="60" w:type="dxa"/>
              <w:bottom w:w="60" w:type="dxa"/>
              <w:left w:w="100" w:type="dxa"/>
              <w:right w:w="100" w:type="dxa"/>
            </w:tcMar>
            <w:vAlign w:val="center"/>
            <w:shd w:val="clear" w:color="auto" w:fill="F2EFEA"/>
          </w:tcPr>
          <w:p>
            <w:r/>
            <w:r>
              <w:rPr>
                <w:color w:val="3A3835"/>
                <w:sz w:val="17"/>
              </w:rPr>
              <w:t>75</w:t>
            </w:r>
          </w:p>
        </w:tc>
        <w:tc>
          <w:tcPr>
            <w:tcW w:type="dxa" w:w="1120"/>
            <w:tcMar>
              <w:top w:w="60" w:type="dxa"/>
              <w:bottom w:w="60" w:type="dxa"/>
              <w:left w:w="100" w:type="dxa"/>
              <w:right w:w="100" w:type="dxa"/>
            </w:tcMar>
            <w:vAlign w:val="center"/>
            <w:shd w:val="clear" w:color="auto" w:fill="F2EFEA"/>
          </w:tcPr>
          <w:p>
            <w:r/>
            <w:r>
              <w:rPr>
                <w:color w:val="3A3835"/>
                <w:sz w:val="17"/>
              </w:rPr>
              <w:t>$1,900</w:t>
            </w:r>
          </w:p>
        </w:tc>
        <w:tc>
          <w:tcPr>
            <w:tcW w:type="dxa" w:w="1120"/>
            <w:tcMar>
              <w:top w:w="60" w:type="dxa"/>
              <w:bottom w:w="60" w:type="dxa"/>
              <w:left w:w="100" w:type="dxa"/>
              <w:right w:w="100" w:type="dxa"/>
            </w:tcMar>
            <w:vAlign w:val="center"/>
            <w:shd w:val="clear" w:color="auto" w:fill="F2EFEA"/>
          </w:tcPr>
          <w:p>
            <w:r/>
            <w:r>
              <w:rPr>
                <w:color w:val="3A3835"/>
                <w:sz w:val="17"/>
              </w:rPr>
              <w:t>Q12</w:t>
            </w:r>
          </w:p>
        </w:tc>
        <w:tc>
          <w:tcPr>
            <w:tcW w:type="dxa" w:w="1120"/>
            <w:tcMar>
              <w:top w:w="60" w:type="dxa"/>
              <w:bottom w:w="60" w:type="dxa"/>
              <w:left w:w="100" w:type="dxa"/>
              <w:right w:w="100" w:type="dxa"/>
            </w:tcMar>
            <w:vAlign w:val="center"/>
            <w:shd w:val="clear" w:color="auto" w:fill="F2EFEA"/>
          </w:tcPr>
          <w:p>
            <w:r/>
            <w:r>
              <w:rPr>
                <w:color w:val="3A3835"/>
                <w:sz w:val="17"/>
              </w:rPr>
              <w:t>160</w:t>
            </w:r>
          </w:p>
        </w:tc>
        <w:tc>
          <w:tcPr>
            <w:tcW w:type="dxa" w:w="1120"/>
            <w:tcMar>
              <w:top w:w="60" w:type="dxa"/>
              <w:bottom w:w="60" w:type="dxa"/>
              <w:left w:w="100" w:type="dxa"/>
              <w:right w:w="100" w:type="dxa"/>
            </w:tcMar>
            <w:vAlign w:val="center"/>
            <w:shd w:val="clear" w:color="auto" w:fill="F2EFEA"/>
          </w:tcPr>
          <w:p>
            <w:r/>
            <w:r>
              <w:rPr>
                <w:color w:val="3A3835"/>
                <w:sz w:val="17"/>
              </w:rPr>
              <w:t>1,340</w:t>
            </w:r>
          </w:p>
        </w:tc>
        <w:tc>
          <w:tcPr>
            <w:tcW w:type="dxa" w:w="1120"/>
            <w:tcMar>
              <w:top w:w="60" w:type="dxa"/>
              <w:bottom w:w="60" w:type="dxa"/>
              <w:left w:w="100" w:type="dxa"/>
              <w:right w:w="100" w:type="dxa"/>
            </w:tcMar>
            <w:vAlign w:val="center"/>
            <w:shd w:val="clear" w:color="auto" w:fill="F2EFEA"/>
          </w:tcPr>
          <w:p>
            <w:r/>
            <w:r>
              <w:rPr>
                <w:color w:val="3A3835"/>
                <w:sz w:val="17"/>
              </w:rPr>
              <w:t>$41,200</w:t>
            </w:r>
          </w:p>
        </w:tc>
      </w:tr>
      <w:tr>
        <w:tc>
          <w:tcPr>
            <w:tcW w:type="dxa" w:w="1120"/>
            <w:tcMar>
              <w:top w:w="60" w:type="dxa"/>
              <w:bottom w:w="60" w:type="dxa"/>
              <w:left w:w="100" w:type="dxa"/>
              <w:right w:w="100" w:type="dxa"/>
            </w:tcMar>
            <w:vAlign w:val="center"/>
          </w:tcPr>
          <w:p>
            <w:r/>
            <w:r>
              <w:rPr>
                <w:color w:val="3A3835"/>
                <w:sz w:val="17"/>
              </w:rPr>
              <w:t>Q3</w:t>
            </w:r>
          </w:p>
        </w:tc>
        <w:tc>
          <w:tcPr>
            <w:tcW w:type="dxa" w:w="1120"/>
            <w:tcMar>
              <w:top w:w="60" w:type="dxa"/>
              <w:bottom w:w="60" w:type="dxa"/>
              <w:left w:w="100" w:type="dxa"/>
              <w:right w:w="100" w:type="dxa"/>
            </w:tcMar>
            <w:vAlign w:val="center"/>
          </w:tcPr>
          <w:p>
            <w:r/>
            <w:r>
              <w:rPr>
                <w:color w:val="3A3835"/>
                <w:sz w:val="17"/>
              </w:rPr>
              <w:t>25</w:t>
            </w:r>
          </w:p>
        </w:tc>
        <w:tc>
          <w:tcPr>
            <w:tcW w:type="dxa" w:w="1120"/>
            <w:tcMar>
              <w:top w:w="60" w:type="dxa"/>
              <w:bottom w:w="60" w:type="dxa"/>
              <w:left w:w="100" w:type="dxa"/>
              <w:right w:w="100" w:type="dxa"/>
            </w:tcMar>
            <w:vAlign w:val="center"/>
          </w:tcPr>
          <w:p>
            <w:r/>
            <w:r>
              <w:rPr>
                <w:color w:val="3A3835"/>
                <w:sz w:val="17"/>
              </w:rPr>
              <w:t>100</w:t>
            </w:r>
          </w:p>
        </w:tc>
        <w:tc>
          <w:tcPr>
            <w:tcW w:type="dxa" w:w="1120"/>
            <w:tcMar>
              <w:top w:w="60" w:type="dxa"/>
              <w:bottom w:w="60" w:type="dxa"/>
              <w:left w:w="100" w:type="dxa"/>
              <w:right w:w="100" w:type="dxa"/>
            </w:tcMar>
            <w:vAlign w:val="center"/>
          </w:tcPr>
          <w:p>
            <w:r/>
            <w:r>
              <w:rPr>
                <w:color w:val="3A3835"/>
                <w:sz w:val="17"/>
              </w:rPr>
              <w:t>$2,000</w:t>
            </w:r>
          </w:p>
        </w:tc>
        <w:tc>
          <w:tcPr>
            <w:tcW w:type="dxa" w:w="1120"/>
            <w:tcMar>
              <w:top w:w="60" w:type="dxa"/>
              <w:bottom w:w="60" w:type="dxa"/>
              <w:left w:w="100" w:type="dxa"/>
              <w:right w:w="100" w:type="dxa"/>
            </w:tcMar>
            <w:vAlign w:val="center"/>
          </w:tcPr>
          <w:p>
            <w:r/>
            <w:r>
              <w:rPr>
                <w:color w:val="3A3835"/>
                <w:sz w:val="17"/>
              </w:rPr>
              <w:t>Q13</w:t>
            </w:r>
          </w:p>
        </w:tc>
        <w:tc>
          <w:tcPr>
            <w:tcW w:type="dxa" w:w="1120"/>
            <w:tcMar>
              <w:top w:w="60" w:type="dxa"/>
              <w:bottom w:w="60" w:type="dxa"/>
              <w:left w:w="100" w:type="dxa"/>
              <w:right w:w="100" w:type="dxa"/>
            </w:tcMar>
            <w:vAlign w:val="center"/>
          </w:tcPr>
          <w:p>
            <w:r/>
            <w:r>
              <w:rPr>
                <w:color w:val="3A3835"/>
                <w:sz w:val="17"/>
              </w:rPr>
              <w:t>165</w:t>
            </w:r>
          </w:p>
        </w:tc>
        <w:tc>
          <w:tcPr>
            <w:tcW w:type="dxa" w:w="1120"/>
            <w:tcMar>
              <w:top w:w="60" w:type="dxa"/>
              <w:bottom w:w="60" w:type="dxa"/>
              <w:left w:w="100" w:type="dxa"/>
              <w:right w:w="100" w:type="dxa"/>
            </w:tcMar>
            <w:vAlign w:val="center"/>
          </w:tcPr>
          <w:p>
            <w:r/>
            <w:r>
              <w:rPr>
                <w:color w:val="3A3835"/>
                <w:sz w:val="17"/>
              </w:rPr>
              <w:t>1,505</w:t>
            </w:r>
          </w:p>
        </w:tc>
        <w:tc>
          <w:tcPr>
            <w:tcW w:type="dxa" w:w="1120"/>
            <w:tcMar>
              <w:top w:w="60" w:type="dxa"/>
              <w:bottom w:w="60" w:type="dxa"/>
              <w:left w:w="100" w:type="dxa"/>
              <w:right w:w="100" w:type="dxa"/>
            </w:tcMar>
            <w:vAlign w:val="center"/>
          </w:tcPr>
          <w:p>
            <w:r/>
            <w:r>
              <w:rPr>
                <w:color w:val="3A3835"/>
                <w:sz w:val="17"/>
              </w:rPr>
              <w:t>$46,600</w:t>
            </w:r>
          </w:p>
        </w:tc>
      </w:tr>
      <w:tr>
        <w:tc>
          <w:tcPr>
            <w:tcW w:type="dxa" w:w="1120"/>
            <w:tcMar>
              <w:top w:w="60" w:type="dxa"/>
              <w:bottom w:w="60" w:type="dxa"/>
              <w:left w:w="100" w:type="dxa"/>
              <w:right w:w="100" w:type="dxa"/>
            </w:tcMar>
            <w:vAlign w:val="center"/>
            <w:shd w:val="clear" w:color="auto" w:fill="F2EFEA"/>
          </w:tcPr>
          <w:p>
            <w:r/>
            <w:r>
              <w:rPr>
                <w:color w:val="3A3835"/>
                <w:sz w:val="17"/>
              </w:rPr>
              <w:t>Q4</w:t>
            </w:r>
          </w:p>
        </w:tc>
        <w:tc>
          <w:tcPr>
            <w:tcW w:type="dxa" w:w="1120"/>
            <w:tcMar>
              <w:top w:w="60" w:type="dxa"/>
              <w:bottom w:w="60" w:type="dxa"/>
              <w:left w:w="100" w:type="dxa"/>
              <w:right w:w="100" w:type="dxa"/>
            </w:tcMar>
            <w:vAlign w:val="center"/>
            <w:shd w:val="clear" w:color="auto" w:fill="F2EFEA"/>
          </w:tcPr>
          <w:p>
            <w:r/>
            <w:r>
              <w:rPr>
                <w:color w:val="3A3835"/>
                <w:sz w:val="17"/>
              </w:rPr>
              <w:t>60</w:t>
            </w:r>
          </w:p>
        </w:tc>
        <w:tc>
          <w:tcPr>
            <w:tcW w:type="dxa" w:w="1120"/>
            <w:tcMar>
              <w:top w:w="60" w:type="dxa"/>
              <w:bottom w:w="60" w:type="dxa"/>
              <w:left w:w="100" w:type="dxa"/>
              <w:right w:w="100" w:type="dxa"/>
            </w:tcMar>
            <w:vAlign w:val="center"/>
            <w:shd w:val="clear" w:color="auto" w:fill="F2EFEA"/>
          </w:tcPr>
          <w:p>
            <w:r/>
            <w:r>
              <w:rPr>
                <w:color w:val="3A3835"/>
                <w:sz w:val="17"/>
              </w:rPr>
              <w:t>160</w:t>
            </w:r>
          </w:p>
        </w:tc>
        <w:tc>
          <w:tcPr>
            <w:tcW w:type="dxa" w:w="1120"/>
            <w:tcMar>
              <w:top w:w="60" w:type="dxa"/>
              <w:bottom w:w="60" w:type="dxa"/>
              <w:left w:w="100" w:type="dxa"/>
              <w:right w:w="100" w:type="dxa"/>
            </w:tcMar>
            <w:vAlign w:val="center"/>
            <w:shd w:val="clear" w:color="auto" w:fill="F2EFEA"/>
          </w:tcPr>
          <w:p>
            <w:r/>
            <w:r>
              <w:rPr>
                <w:color w:val="3A3835"/>
                <w:sz w:val="17"/>
              </w:rPr>
              <w:t>$4,300</w:t>
            </w:r>
          </w:p>
        </w:tc>
        <w:tc>
          <w:tcPr>
            <w:tcW w:type="dxa" w:w="1120"/>
            <w:tcMar>
              <w:top w:w="60" w:type="dxa"/>
              <w:bottom w:w="60" w:type="dxa"/>
              <w:left w:w="100" w:type="dxa"/>
              <w:right w:w="100" w:type="dxa"/>
            </w:tcMar>
            <w:vAlign w:val="center"/>
            <w:shd w:val="clear" w:color="auto" w:fill="F2EFEA"/>
          </w:tcPr>
          <w:p>
            <w:r/>
            <w:r>
              <w:rPr>
                <w:color w:val="3A3835"/>
                <w:sz w:val="17"/>
              </w:rPr>
              <w:t>Q14</w:t>
            </w:r>
          </w:p>
        </w:tc>
        <w:tc>
          <w:tcPr>
            <w:tcW w:type="dxa" w:w="1120"/>
            <w:tcMar>
              <w:top w:w="60" w:type="dxa"/>
              <w:bottom w:w="60" w:type="dxa"/>
              <w:left w:w="100" w:type="dxa"/>
              <w:right w:w="100" w:type="dxa"/>
            </w:tcMar>
            <w:vAlign w:val="center"/>
            <w:shd w:val="clear" w:color="auto" w:fill="F2EFEA"/>
          </w:tcPr>
          <w:p>
            <w:r/>
            <w:r>
              <w:rPr>
                <w:color w:val="3A3835"/>
                <w:sz w:val="17"/>
              </w:rPr>
              <w:t>150</w:t>
            </w:r>
          </w:p>
        </w:tc>
        <w:tc>
          <w:tcPr>
            <w:tcW w:type="dxa" w:w="1120"/>
            <w:tcMar>
              <w:top w:w="60" w:type="dxa"/>
              <w:bottom w:w="60" w:type="dxa"/>
              <w:left w:w="100" w:type="dxa"/>
              <w:right w:w="100" w:type="dxa"/>
            </w:tcMar>
            <w:vAlign w:val="center"/>
            <w:shd w:val="clear" w:color="auto" w:fill="F2EFEA"/>
          </w:tcPr>
          <w:p>
            <w:r/>
            <w:r>
              <w:rPr>
                <w:color w:val="3A3835"/>
                <w:sz w:val="17"/>
              </w:rPr>
              <w:t>1,655</w:t>
            </w:r>
          </w:p>
        </w:tc>
        <w:tc>
          <w:tcPr>
            <w:tcW w:type="dxa" w:w="1120"/>
            <w:tcMar>
              <w:top w:w="60" w:type="dxa"/>
              <w:bottom w:w="60" w:type="dxa"/>
              <w:left w:w="100" w:type="dxa"/>
              <w:right w:w="100" w:type="dxa"/>
            </w:tcMar>
            <w:vAlign w:val="center"/>
            <w:shd w:val="clear" w:color="auto" w:fill="F2EFEA"/>
          </w:tcPr>
          <w:p>
            <w:r/>
            <w:r>
              <w:rPr>
                <w:color w:val="3A3835"/>
                <w:sz w:val="17"/>
              </w:rPr>
              <w:t>$52,100</w:t>
            </w:r>
          </w:p>
        </w:tc>
      </w:tr>
      <w:tr>
        <w:tc>
          <w:tcPr>
            <w:tcW w:type="dxa" w:w="1120"/>
            <w:tcMar>
              <w:top w:w="60" w:type="dxa"/>
              <w:bottom w:w="60" w:type="dxa"/>
              <w:left w:w="100" w:type="dxa"/>
              <w:right w:w="100" w:type="dxa"/>
            </w:tcMar>
            <w:vAlign w:val="center"/>
          </w:tcPr>
          <w:p>
            <w:r/>
            <w:r>
              <w:rPr>
                <w:color w:val="3A3835"/>
                <w:sz w:val="17"/>
              </w:rPr>
              <w:t>Q5</w:t>
            </w:r>
          </w:p>
        </w:tc>
        <w:tc>
          <w:tcPr>
            <w:tcW w:type="dxa" w:w="1120"/>
            <w:tcMar>
              <w:top w:w="60" w:type="dxa"/>
              <w:bottom w:w="60" w:type="dxa"/>
              <w:left w:w="100" w:type="dxa"/>
              <w:right w:w="100" w:type="dxa"/>
            </w:tcMar>
            <w:vAlign w:val="center"/>
          </w:tcPr>
          <w:p>
            <w:r/>
            <w:r>
              <w:rPr>
                <w:color w:val="3A3835"/>
                <w:sz w:val="17"/>
              </w:rPr>
              <w:t>70</w:t>
            </w:r>
          </w:p>
        </w:tc>
        <w:tc>
          <w:tcPr>
            <w:tcW w:type="dxa" w:w="1120"/>
            <w:tcMar>
              <w:top w:w="60" w:type="dxa"/>
              <w:bottom w:w="60" w:type="dxa"/>
              <w:left w:w="100" w:type="dxa"/>
              <w:right w:w="100" w:type="dxa"/>
            </w:tcMar>
            <w:vAlign w:val="center"/>
          </w:tcPr>
          <w:p>
            <w:r/>
            <w:r>
              <w:rPr>
                <w:color w:val="3A3835"/>
                <w:sz w:val="17"/>
              </w:rPr>
              <w:t>230</w:t>
            </w:r>
          </w:p>
        </w:tc>
        <w:tc>
          <w:tcPr>
            <w:tcW w:type="dxa" w:w="1120"/>
            <w:tcMar>
              <w:top w:w="60" w:type="dxa"/>
              <w:bottom w:w="60" w:type="dxa"/>
              <w:left w:w="100" w:type="dxa"/>
              <w:right w:w="100" w:type="dxa"/>
            </w:tcMar>
            <w:vAlign w:val="center"/>
          </w:tcPr>
          <w:p>
            <w:r/>
            <w:r>
              <w:rPr>
                <w:color w:val="3A3835"/>
                <w:sz w:val="17"/>
              </w:rPr>
              <w:t>$6,600</w:t>
            </w:r>
          </w:p>
        </w:tc>
        <w:tc>
          <w:tcPr>
            <w:tcW w:type="dxa" w:w="1120"/>
            <w:tcMar>
              <w:top w:w="60" w:type="dxa"/>
              <w:bottom w:w="60" w:type="dxa"/>
              <w:left w:w="100" w:type="dxa"/>
              <w:right w:w="100" w:type="dxa"/>
            </w:tcMar>
            <w:vAlign w:val="center"/>
          </w:tcPr>
          <w:p>
            <w:r/>
            <w:r>
              <w:rPr>
                <w:color w:val="3A3835"/>
                <w:sz w:val="17"/>
              </w:rPr>
              <w:t>Q15</w:t>
            </w:r>
          </w:p>
        </w:tc>
        <w:tc>
          <w:tcPr>
            <w:tcW w:type="dxa" w:w="1120"/>
            <w:tcMar>
              <w:top w:w="60" w:type="dxa"/>
              <w:bottom w:w="60" w:type="dxa"/>
              <w:left w:w="100" w:type="dxa"/>
              <w:right w:w="100" w:type="dxa"/>
            </w:tcMar>
            <w:vAlign w:val="center"/>
          </w:tcPr>
          <w:p>
            <w:r/>
            <w:r>
              <w:rPr>
                <w:color w:val="3A3835"/>
                <w:sz w:val="17"/>
              </w:rPr>
              <w:t>145</w:t>
            </w:r>
          </w:p>
        </w:tc>
        <w:tc>
          <w:tcPr>
            <w:tcW w:type="dxa" w:w="1120"/>
            <w:tcMar>
              <w:top w:w="60" w:type="dxa"/>
              <w:bottom w:w="60" w:type="dxa"/>
              <w:left w:w="100" w:type="dxa"/>
              <w:right w:w="100" w:type="dxa"/>
            </w:tcMar>
            <w:vAlign w:val="center"/>
          </w:tcPr>
          <w:p>
            <w:r/>
            <w:r>
              <w:rPr>
                <w:color w:val="3A3835"/>
                <w:sz w:val="17"/>
              </w:rPr>
              <w:t>1,800</w:t>
            </w:r>
          </w:p>
        </w:tc>
        <w:tc>
          <w:tcPr>
            <w:tcW w:type="dxa" w:w="1120"/>
            <w:tcMar>
              <w:top w:w="60" w:type="dxa"/>
              <w:bottom w:w="60" w:type="dxa"/>
              <w:left w:w="100" w:type="dxa"/>
              <w:right w:w="100" w:type="dxa"/>
            </w:tcMar>
            <w:vAlign w:val="center"/>
          </w:tcPr>
          <w:p>
            <w:r/>
            <w:r>
              <w:rPr>
                <w:color w:val="3A3835"/>
                <w:sz w:val="17"/>
              </w:rPr>
              <w:t>$57,800</w:t>
            </w:r>
          </w:p>
        </w:tc>
      </w:tr>
      <w:tr>
        <w:tc>
          <w:tcPr>
            <w:tcW w:type="dxa" w:w="1120"/>
            <w:tcMar>
              <w:top w:w="60" w:type="dxa"/>
              <w:bottom w:w="60" w:type="dxa"/>
              <w:left w:w="100" w:type="dxa"/>
              <w:right w:w="100" w:type="dxa"/>
            </w:tcMar>
            <w:vAlign w:val="center"/>
            <w:shd w:val="clear" w:color="auto" w:fill="F2EFEA"/>
          </w:tcPr>
          <w:p>
            <w:r/>
            <w:r>
              <w:rPr>
                <w:color w:val="3A3835"/>
                <w:sz w:val="17"/>
              </w:rPr>
              <w:t>Q6</w:t>
            </w:r>
          </w:p>
        </w:tc>
        <w:tc>
          <w:tcPr>
            <w:tcW w:type="dxa" w:w="1120"/>
            <w:tcMar>
              <w:top w:w="60" w:type="dxa"/>
              <w:bottom w:w="60" w:type="dxa"/>
              <w:left w:w="100" w:type="dxa"/>
              <w:right w:w="100" w:type="dxa"/>
            </w:tcMar>
            <w:vAlign w:val="center"/>
            <w:shd w:val="clear" w:color="auto" w:fill="F2EFEA"/>
          </w:tcPr>
          <w:p>
            <w:r/>
            <w:r>
              <w:rPr>
                <w:color w:val="3A3835"/>
                <w:sz w:val="17"/>
              </w:rPr>
              <w:t>85</w:t>
            </w:r>
          </w:p>
        </w:tc>
        <w:tc>
          <w:tcPr>
            <w:tcW w:type="dxa" w:w="1120"/>
            <w:tcMar>
              <w:top w:w="60" w:type="dxa"/>
              <w:bottom w:w="60" w:type="dxa"/>
              <w:left w:w="100" w:type="dxa"/>
              <w:right w:w="100" w:type="dxa"/>
            </w:tcMar>
            <w:vAlign w:val="center"/>
            <w:shd w:val="clear" w:color="auto" w:fill="F2EFEA"/>
          </w:tcPr>
          <w:p>
            <w:r/>
            <w:r>
              <w:rPr>
                <w:color w:val="3A3835"/>
                <w:sz w:val="17"/>
              </w:rPr>
              <w:t>315</w:t>
            </w:r>
          </w:p>
        </w:tc>
        <w:tc>
          <w:tcPr>
            <w:tcW w:type="dxa" w:w="1120"/>
            <w:tcMar>
              <w:top w:w="60" w:type="dxa"/>
              <w:bottom w:w="60" w:type="dxa"/>
              <w:left w:w="100" w:type="dxa"/>
              <w:right w:w="100" w:type="dxa"/>
            </w:tcMar>
            <w:vAlign w:val="center"/>
            <w:shd w:val="clear" w:color="auto" w:fill="F2EFEA"/>
          </w:tcPr>
          <w:p>
            <w:r/>
            <w:r>
              <w:rPr>
                <w:color w:val="3A3835"/>
                <w:sz w:val="17"/>
              </w:rPr>
              <w:t>$9,200</w:t>
            </w:r>
          </w:p>
        </w:tc>
        <w:tc>
          <w:tcPr>
            <w:tcW w:type="dxa" w:w="1120"/>
            <w:tcMar>
              <w:top w:w="60" w:type="dxa"/>
              <w:bottom w:w="60" w:type="dxa"/>
              <w:left w:w="100" w:type="dxa"/>
              <w:right w:w="100" w:type="dxa"/>
            </w:tcMar>
            <w:vAlign w:val="center"/>
            <w:shd w:val="clear" w:color="auto" w:fill="F2EFEA"/>
          </w:tcPr>
          <w:p>
            <w:r/>
            <w:r>
              <w:rPr>
                <w:color w:val="3A3835"/>
                <w:sz w:val="17"/>
              </w:rPr>
              <w:t>Q16</w:t>
            </w:r>
          </w:p>
        </w:tc>
        <w:tc>
          <w:tcPr>
            <w:tcW w:type="dxa" w:w="1120"/>
            <w:tcMar>
              <w:top w:w="60" w:type="dxa"/>
              <w:bottom w:w="60" w:type="dxa"/>
              <w:left w:w="100" w:type="dxa"/>
              <w:right w:w="100" w:type="dxa"/>
            </w:tcMar>
            <w:vAlign w:val="center"/>
            <w:shd w:val="clear" w:color="auto" w:fill="F2EFEA"/>
          </w:tcPr>
          <w:p>
            <w:r/>
            <w:r>
              <w:rPr>
                <w:color w:val="3A3835"/>
                <w:sz w:val="17"/>
              </w:rPr>
              <w:t>140</w:t>
            </w:r>
          </w:p>
        </w:tc>
        <w:tc>
          <w:tcPr>
            <w:tcW w:type="dxa" w:w="1120"/>
            <w:tcMar>
              <w:top w:w="60" w:type="dxa"/>
              <w:bottom w:w="60" w:type="dxa"/>
              <w:left w:w="100" w:type="dxa"/>
              <w:right w:w="100" w:type="dxa"/>
            </w:tcMar>
            <w:vAlign w:val="center"/>
            <w:shd w:val="clear" w:color="auto" w:fill="F2EFEA"/>
          </w:tcPr>
          <w:p>
            <w:r/>
            <w:r>
              <w:rPr>
                <w:color w:val="3A3835"/>
                <w:sz w:val="17"/>
              </w:rPr>
              <w:t>1,940</w:t>
            </w:r>
          </w:p>
        </w:tc>
        <w:tc>
          <w:tcPr>
            <w:tcW w:type="dxa" w:w="1120"/>
            <w:tcMar>
              <w:top w:w="60" w:type="dxa"/>
              <w:bottom w:w="60" w:type="dxa"/>
              <w:left w:w="100" w:type="dxa"/>
              <w:right w:w="100" w:type="dxa"/>
            </w:tcMar>
            <w:vAlign w:val="center"/>
            <w:shd w:val="clear" w:color="auto" w:fill="F2EFEA"/>
          </w:tcPr>
          <w:p>
            <w:r/>
            <w:r>
              <w:rPr>
                <w:color w:val="3A3835"/>
                <w:sz w:val="17"/>
              </w:rPr>
              <w:t>$63,500</w:t>
            </w:r>
          </w:p>
        </w:tc>
      </w:tr>
      <w:tr>
        <w:tc>
          <w:tcPr>
            <w:tcW w:type="dxa" w:w="1120"/>
            <w:tcMar>
              <w:top w:w="60" w:type="dxa"/>
              <w:bottom w:w="60" w:type="dxa"/>
              <w:left w:w="100" w:type="dxa"/>
              <w:right w:w="100" w:type="dxa"/>
            </w:tcMar>
            <w:vAlign w:val="center"/>
          </w:tcPr>
          <w:p>
            <w:r/>
            <w:r>
              <w:rPr>
                <w:color w:val="3A3835"/>
                <w:sz w:val="17"/>
              </w:rPr>
              <w:t>Q7</w:t>
            </w:r>
          </w:p>
        </w:tc>
        <w:tc>
          <w:tcPr>
            <w:tcW w:type="dxa" w:w="1120"/>
            <w:tcMar>
              <w:top w:w="60" w:type="dxa"/>
              <w:bottom w:w="60" w:type="dxa"/>
              <w:left w:w="100" w:type="dxa"/>
              <w:right w:w="100" w:type="dxa"/>
            </w:tcMar>
            <w:vAlign w:val="center"/>
          </w:tcPr>
          <w:p>
            <w:r/>
            <w:r>
              <w:rPr>
                <w:color w:val="3A3835"/>
                <w:sz w:val="17"/>
              </w:rPr>
              <w:t>95</w:t>
            </w:r>
          </w:p>
        </w:tc>
        <w:tc>
          <w:tcPr>
            <w:tcW w:type="dxa" w:w="1120"/>
            <w:tcMar>
              <w:top w:w="60" w:type="dxa"/>
              <w:bottom w:w="60" w:type="dxa"/>
              <w:left w:w="100" w:type="dxa"/>
              <w:right w:w="100" w:type="dxa"/>
            </w:tcMar>
            <w:vAlign w:val="center"/>
          </w:tcPr>
          <w:p>
            <w:r/>
            <w:r>
              <w:rPr>
                <w:color w:val="3A3835"/>
                <w:sz w:val="17"/>
              </w:rPr>
              <w:t>410</w:t>
            </w:r>
          </w:p>
        </w:tc>
        <w:tc>
          <w:tcPr>
            <w:tcW w:type="dxa" w:w="1120"/>
            <w:tcMar>
              <w:top w:w="60" w:type="dxa"/>
              <w:bottom w:w="60" w:type="dxa"/>
              <w:left w:w="100" w:type="dxa"/>
              <w:right w:w="100" w:type="dxa"/>
            </w:tcMar>
            <w:vAlign w:val="center"/>
          </w:tcPr>
          <w:p>
            <w:r/>
            <w:r>
              <w:rPr>
                <w:color w:val="3A3835"/>
                <w:sz w:val="17"/>
              </w:rPr>
              <w:t>$12,100</w:t>
            </w:r>
          </w:p>
        </w:tc>
        <w:tc>
          <w:tcPr>
            <w:tcW w:type="dxa" w:w="1120"/>
            <w:tcMar>
              <w:top w:w="60" w:type="dxa"/>
              <w:bottom w:w="60" w:type="dxa"/>
              <w:left w:w="100" w:type="dxa"/>
              <w:right w:w="100" w:type="dxa"/>
            </w:tcMar>
            <w:vAlign w:val="center"/>
          </w:tcPr>
          <w:p>
            <w:r/>
            <w:r>
              <w:rPr>
                <w:color w:val="3A3835"/>
                <w:sz w:val="17"/>
              </w:rPr>
              <w:t>Q17</w:t>
            </w:r>
          </w:p>
        </w:tc>
        <w:tc>
          <w:tcPr>
            <w:tcW w:type="dxa" w:w="1120"/>
            <w:tcMar>
              <w:top w:w="60" w:type="dxa"/>
              <w:bottom w:w="60" w:type="dxa"/>
              <w:left w:w="100" w:type="dxa"/>
              <w:right w:w="100" w:type="dxa"/>
            </w:tcMar>
            <w:vAlign w:val="center"/>
          </w:tcPr>
          <w:p>
            <w:r/>
            <w:r>
              <w:rPr>
                <w:color w:val="3A3835"/>
                <w:sz w:val="17"/>
              </w:rPr>
              <w:t>170</w:t>
            </w:r>
          </w:p>
        </w:tc>
        <w:tc>
          <w:tcPr>
            <w:tcW w:type="dxa" w:w="1120"/>
            <w:tcMar>
              <w:top w:w="60" w:type="dxa"/>
              <w:bottom w:w="60" w:type="dxa"/>
              <w:left w:w="100" w:type="dxa"/>
              <w:right w:w="100" w:type="dxa"/>
            </w:tcMar>
            <w:vAlign w:val="center"/>
          </w:tcPr>
          <w:p>
            <w:r/>
            <w:r>
              <w:rPr>
                <w:color w:val="3A3835"/>
                <w:sz w:val="17"/>
              </w:rPr>
              <w:t>2,110</w:t>
            </w:r>
          </w:p>
        </w:tc>
        <w:tc>
          <w:tcPr>
            <w:tcW w:type="dxa" w:w="1120"/>
            <w:tcMar>
              <w:top w:w="60" w:type="dxa"/>
              <w:bottom w:w="60" w:type="dxa"/>
              <w:left w:w="100" w:type="dxa"/>
              <w:right w:w="100" w:type="dxa"/>
            </w:tcMar>
            <w:vAlign w:val="center"/>
          </w:tcPr>
          <w:p>
            <w:r/>
            <w:r>
              <w:rPr>
                <w:color w:val="3A3835"/>
                <w:sz w:val="17"/>
              </w:rPr>
              <w:t>$72,400</w:t>
            </w:r>
          </w:p>
        </w:tc>
      </w:tr>
      <w:tr>
        <w:tc>
          <w:tcPr>
            <w:tcW w:type="dxa" w:w="1120"/>
            <w:tcMar>
              <w:top w:w="60" w:type="dxa"/>
              <w:bottom w:w="60" w:type="dxa"/>
              <w:left w:w="100" w:type="dxa"/>
              <w:right w:w="100" w:type="dxa"/>
            </w:tcMar>
            <w:vAlign w:val="center"/>
            <w:shd w:val="clear" w:color="auto" w:fill="F2EFEA"/>
          </w:tcPr>
          <w:p>
            <w:r/>
            <w:r>
              <w:rPr>
                <w:color w:val="3A3835"/>
                <w:sz w:val="17"/>
              </w:rPr>
              <w:t>Q8</w:t>
            </w:r>
          </w:p>
        </w:tc>
        <w:tc>
          <w:tcPr>
            <w:tcW w:type="dxa" w:w="1120"/>
            <w:tcMar>
              <w:top w:w="60" w:type="dxa"/>
              <w:bottom w:w="60" w:type="dxa"/>
              <w:left w:w="100" w:type="dxa"/>
              <w:right w:w="100" w:type="dxa"/>
            </w:tcMar>
            <w:vAlign w:val="center"/>
            <w:shd w:val="clear" w:color="auto" w:fill="F2EFEA"/>
          </w:tcPr>
          <w:p>
            <w:r/>
            <w:r>
              <w:rPr>
                <w:color w:val="3A3835"/>
                <w:sz w:val="17"/>
              </w:rPr>
              <w:t>90</w:t>
            </w:r>
          </w:p>
        </w:tc>
        <w:tc>
          <w:tcPr>
            <w:tcW w:type="dxa" w:w="1120"/>
            <w:tcMar>
              <w:top w:w="60" w:type="dxa"/>
              <w:bottom w:w="60" w:type="dxa"/>
              <w:left w:w="100" w:type="dxa"/>
              <w:right w:w="100" w:type="dxa"/>
            </w:tcMar>
            <w:vAlign w:val="center"/>
            <w:shd w:val="clear" w:color="auto" w:fill="F2EFEA"/>
          </w:tcPr>
          <w:p>
            <w:r/>
            <w:r>
              <w:rPr>
                <w:color w:val="3A3835"/>
                <w:sz w:val="17"/>
              </w:rPr>
              <w:t>500</w:t>
            </w:r>
          </w:p>
        </w:tc>
        <w:tc>
          <w:tcPr>
            <w:tcW w:type="dxa" w:w="1120"/>
            <w:tcMar>
              <w:top w:w="60" w:type="dxa"/>
              <w:bottom w:w="60" w:type="dxa"/>
              <w:left w:w="100" w:type="dxa"/>
              <w:right w:w="100" w:type="dxa"/>
            </w:tcMar>
            <w:vAlign w:val="center"/>
            <w:shd w:val="clear" w:color="auto" w:fill="F2EFEA"/>
          </w:tcPr>
          <w:p>
            <w:r/>
            <w:r>
              <w:rPr>
                <w:color w:val="3A3835"/>
                <w:sz w:val="17"/>
              </w:rPr>
              <w:t>$15,000</w:t>
            </w:r>
          </w:p>
        </w:tc>
        <w:tc>
          <w:tcPr>
            <w:tcW w:type="dxa" w:w="1120"/>
            <w:tcMar>
              <w:top w:w="60" w:type="dxa"/>
              <w:bottom w:w="60" w:type="dxa"/>
              <w:left w:w="100" w:type="dxa"/>
              <w:right w:w="100" w:type="dxa"/>
            </w:tcMar>
            <w:vAlign w:val="center"/>
            <w:shd w:val="clear" w:color="auto" w:fill="F2EFEA"/>
          </w:tcPr>
          <w:p>
            <w:r/>
            <w:r>
              <w:rPr>
                <w:color w:val="3A3835"/>
                <w:sz w:val="17"/>
              </w:rPr>
              <w:t>Q18</w:t>
            </w:r>
          </w:p>
        </w:tc>
        <w:tc>
          <w:tcPr>
            <w:tcW w:type="dxa" w:w="1120"/>
            <w:tcMar>
              <w:top w:w="60" w:type="dxa"/>
              <w:bottom w:w="60" w:type="dxa"/>
              <w:left w:w="100" w:type="dxa"/>
              <w:right w:w="100" w:type="dxa"/>
            </w:tcMar>
            <w:vAlign w:val="center"/>
            <w:shd w:val="clear" w:color="auto" w:fill="F2EFEA"/>
          </w:tcPr>
          <w:p>
            <w:r/>
            <w:r>
              <w:rPr>
                <w:color w:val="3A3835"/>
                <w:sz w:val="17"/>
              </w:rPr>
              <w:t>185</w:t>
            </w:r>
          </w:p>
        </w:tc>
        <w:tc>
          <w:tcPr>
            <w:tcW w:type="dxa" w:w="1120"/>
            <w:tcMar>
              <w:top w:w="60" w:type="dxa"/>
              <w:bottom w:w="60" w:type="dxa"/>
              <w:left w:w="100" w:type="dxa"/>
              <w:right w:w="100" w:type="dxa"/>
            </w:tcMar>
            <w:vAlign w:val="center"/>
            <w:shd w:val="clear" w:color="auto" w:fill="F2EFEA"/>
          </w:tcPr>
          <w:p>
            <w:r/>
            <w:r>
              <w:rPr>
                <w:color w:val="3A3835"/>
                <w:sz w:val="17"/>
              </w:rPr>
              <w:t>2,295</w:t>
            </w:r>
          </w:p>
        </w:tc>
        <w:tc>
          <w:tcPr>
            <w:tcW w:type="dxa" w:w="1120"/>
            <w:tcMar>
              <w:top w:w="60" w:type="dxa"/>
              <w:bottom w:w="60" w:type="dxa"/>
              <w:left w:w="100" w:type="dxa"/>
              <w:right w:w="100" w:type="dxa"/>
            </w:tcMar>
            <w:vAlign w:val="center"/>
            <w:shd w:val="clear" w:color="auto" w:fill="F2EFEA"/>
          </w:tcPr>
          <w:p>
            <w:r/>
            <w:r>
              <w:rPr>
                <w:color w:val="3A3835"/>
                <w:sz w:val="17"/>
              </w:rPr>
              <w:t>$82,900</w:t>
            </w:r>
          </w:p>
        </w:tc>
      </w:tr>
      <w:tr>
        <w:tc>
          <w:tcPr>
            <w:tcW w:type="dxa" w:w="1120"/>
            <w:tcMar>
              <w:top w:w="60" w:type="dxa"/>
              <w:bottom w:w="60" w:type="dxa"/>
              <w:left w:w="100" w:type="dxa"/>
              <w:right w:w="100" w:type="dxa"/>
            </w:tcMar>
            <w:vAlign w:val="center"/>
          </w:tcPr>
          <w:p>
            <w:r/>
            <w:r>
              <w:rPr>
                <w:color w:val="3A3835"/>
                <w:sz w:val="17"/>
              </w:rPr>
              <w:t>Q9</w:t>
            </w:r>
          </w:p>
        </w:tc>
        <w:tc>
          <w:tcPr>
            <w:tcW w:type="dxa" w:w="1120"/>
            <w:tcMar>
              <w:top w:w="60" w:type="dxa"/>
              <w:bottom w:w="60" w:type="dxa"/>
              <w:left w:w="100" w:type="dxa"/>
              <w:right w:w="100" w:type="dxa"/>
            </w:tcMar>
            <w:vAlign w:val="center"/>
          </w:tcPr>
          <w:p>
            <w:r/>
            <w:r>
              <w:rPr>
                <w:color w:val="3A3835"/>
                <w:sz w:val="17"/>
              </w:rPr>
              <w:t>120</w:t>
            </w:r>
          </w:p>
        </w:tc>
        <w:tc>
          <w:tcPr>
            <w:tcW w:type="dxa" w:w="1120"/>
            <w:tcMar>
              <w:top w:w="60" w:type="dxa"/>
              <w:bottom w:w="60" w:type="dxa"/>
              <w:left w:w="100" w:type="dxa"/>
              <w:right w:w="100" w:type="dxa"/>
            </w:tcMar>
            <w:vAlign w:val="center"/>
          </w:tcPr>
          <w:p>
            <w:r/>
            <w:r>
              <w:rPr>
                <w:color w:val="3A3835"/>
                <w:sz w:val="17"/>
              </w:rPr>
              <w:t>620</w:t>
            </w:r>
          </w:p>
        </w:tc>
        <w:tc>
          <w:tcPr>
            <w:tcW w:type="dxa" w:w="1120"/>
            <w:tcMar>
              <w:top w:w="60" w:type="dxa"/>
              <w:bottom w:w="60" w:type="dxa"/>
              <w:left w:w="100" w:type="dxa"/>
              <w:right w:w="100" w:type="dxa"/>
            </w:tcMar>
            <w:vAlign w:val="center"/>
          </w:tcPr>
          <w:p>
            <w:r/>
            <w:r>
              <w:rPr>
                <w:color w:val="3A3835"/>
                <w:sz w:val="17"/>
              </w:rPr>
              <w:t>$19,800</w:t>
            </w:r>
          </w:p>
        </w:tc>
        <w:tc>
          <w:tcPr>
            <w:tcW w:type="dxa" w:w="1120"/>
            <w:tcMar>
              <w:top w:w="60" w:type="dxa"/>
              <w:bottom w:w="60" w:type="dxa"/>
              <w:left w:w="100" w:type="dxa"/>
              <w:right w:w="100" w:type="dxa"/>
            </w:tcMar>
            <w:vAlign w:val="center"/>
          </w:tcPr>
          <w:p>
            <w:r/>
            <w:r>
              <w:rPr>
                <w:color w:val="3A3835"/>
                <w:sz w:val="17"/>
              </w:rPr>
              <w:t>Q19</w:t>
            </w:r>
          </w:p>
        </w:tc>
        <w:tc>
          <w:tcPr>
            <w:tcW w:type="dxa" w:w="1120"/>
            <w:tcMar>
              <w:top w:w="60" w:type="dxa"/>
              <w:bottom w:w="60" w:type="dxa"/>
              <w:left w:w="100" w:type="dxa"/>
              <w:right w:w="100" w:type="dxa"/>
            </w:tcMar>
            <w:vAlign w:val="center"/>
          </w:tcPr>
          <w:p>
            <w:r/>
            <w:r>
              <w:rPr>
                <w:color w:val="3A3835"/>
                <w:sz w:val="17"/>
              </w:rPr>
              <w:t>205</w:t>
            </w:r>
          </w:p>
        </w:tc>
        <w:tc>
          <w:tcPr>
            <w:tcW w:type="dxa" w:w="1120"/>
            <w:tcMar>
              <w:top w:w="60" w:type="dxa"/>
              <w:bottom w:w="60" w:type="dxa"/>
              <w:left w:w="100" w:type="dxa"/>
              <w:right w:w="100" w:type="dxa"/>
            </w:tcMar>
            <w:vAlign w:val="center"/>
          </w:tcPr>
          <w:p>
            <w:r/>
            <w:r>
              <w:rPr>
                <w:color w:val="3A3835"/>
                <w:sz w:val="17"/>
              </w:rPr>
              <w:t>2,500</w:t>
            </w:r>
          </w:p>
        </w:tc>
        <w:tc>
          <w:tcPr>
            <w:tcW w:type="dxa" w:w="1120"/>
            <w:tcMar>
              <w:top w:w="60" w:type="dxa"/>
              <w:bottom w:w="60" w:type="dxa"/>
              <w:left w:w="100" w:type="dxa"/>
              <w:right w:w="100" w:type="dxa"/>
            </w:tcMar>
            <w:vAlign w:val="center"/>
          </w:tcPr>
          <w:p>
            <w:r/>
            <w:r>
              <w:rPr>
                <w:color w:val="3A3835"/>
                <w:sz w:val="17"/>
              </w:rPr>
              <w:t>$95,600</w:t>
            </w:r>
          </w:p>
        </w:tc>
      </w:tr>
      <w:tr>
        <w:tc>
          <w:tcPr>
            <w:tcW w:type="dxa" w:w="1120"/>
            <w:tcMar>
              <w:top w:w="60" w:type="dxa"/>
              <w:bottom w:w="60" w:type="dxa"/>
              <w:left w:w="100" w:type="dxa"/>
              <w:right w:w="100" w:type="dxa"/>
            </w:tcMar>
            <w:vAlign w:val="center"/>
            <w:shd w:val="clear" w:color="auto" w:fill="F2EFEA"/>
          </w:tcPr>
          <w:p>
            <w:r/>
            <w:r>
              <w:rPr>
                <w:color w:val="3A3835"/>
                <w:sz w:val="17"/>
              </w:rPr>
              <w:t>Q10</w:t>
            </w:r>
          </w:p>
        </w:tc>
        <w:tc>
          <w:tcPr>
            <w:tcW w:type="dxa" w:w="1120"/>
            <w:tcMar>
              <w:top w:w="60" w:type="dxa"/>
              <w:bottom w:w="60" w:type="dxa"/>
              <w:left w:w="100" w:type="dxa"/>
              <w:right w:w="100" w:type="dxa"/>
            </w:tcMar>
            <w:vAlign w:val="center"/>
            <w:shd w:val="clear" w:color="auto" w:fill="F2EFEA"/>
          </w:tcPr>
          <w:p>
            <w:r/>
            <w:r>
              <w:rPr>
                <w:color w:val="3A3835"/>
                <w:sz w:val="17"/>
              </w:rPr>
              <w:t>135</w:t>
            </w:r>
          </w:p>
        </w:tc>
        <w:tc>
          <w:tcPr>
            <w:tcW w:type="dxa" w:w="1120"/>
            <w:tcMar>
              <w:top w:w="60" w:type="dxa"/>
              <w:bottom w:w="60" w:type="dxa"/>
              <w:left w:w="100" w:type="dxa"/>
              <w:right w:w="100" w:type="dxa"/>
            </w:tcMar>
            <w:vAlign w:val="center"/>
            <w:shd w:val="clear" w:color="auto" w:fill="F2EFEA"/>
          </w:tcPr>
          <w:p>
            <w:r/>
            <w:r>
              <w:rPr>
                <w:color w:val="3A3835"/>
                <w:sz w:val="17"/>
              </w:rPr>
              <w:t>755</w:t>
            </w:r>
          </w:p>
        </w:tc>
        <w:tc>
          <w:tcPr>
            <w:tcW w:type="dxa" w:w="1120"/>
            <w:tcMar>
              <w:top w:w="60" w:type="dxa"/>
              <w:bottom w:w="60" w:type="dxa"/>
              <w:left w:w="100" w:type="dxa"/>
              <w:right w:w="100" w:type="dxa"/>
            </w:tcMar>
            <w:vAlign w:val="center"/>
            <w:shd w:val="clear" w:color="auto" w:fill="F2EFEA"/>
          </w:tcPr>
          <w:p>
            <w:r/>
            <w:r>
              <w:rPr>
                <w:color w:val="3A3835"/>
                <w:sz w:val="17"/>
              </w:rPr>
              <w:t>$27,300</w:t>
            </w:r>
          </w:p>
        </w:tc>
        <w:tc>
          <w:tcPr>
            <w:tcW w:type="dxa" w:w="1120"/>
            <w:tcMar>
              <w:top w:w="60" w:type="dxa"/>
              <w:bottom w:w="60" w:type="dxa"/>
              <w:left w:w="100" w:type="dxa"/>
              <w:right w:w="100" w:type="dxa"/>
            </w:tcMar>
            <w:vAlign w:val="center"/>
            <w:shd w:val="clear" w:color="auto" w:fill="F2EFEA"/>
          </w:tcPr>
          <w:p>
            <w:r/>
            <w:r>
              <w:rPr>
                <w:color w:val="3A3835"/>
                <w:sz w:val="17"/>
              </w:rPr>
              <w:t>Q20</w:t>
            </w:r>
          </w:p>
        </w:tc>
        <w:tc>
          <w:tcPr>
            <w:tcW w:type="dxa" w:w="1120"/>
            <w:tcMar>
              <w:top w:w="60" w:type="dxa"/>
              <w:bottom w:w="60" w:type="dxa"/>
              <w:left w:w="100" w:type="dxa"/>
              <w:right w:w="100" w:type="dxa"/>
            </w:tcMar>
            <w:vAlign w:val="center"/>
            <w:shd w:val="clear" w:color="auto" w:fill="F2EFEA"/>
          </w:tcPr>
          <w:p>
            <w:r/>
            <w:r>
              <w:rPr>
                <w:color w:val="3A3835"/>
                <w:sz w:val="17"/>
              </w:rPr>
              <w:t>230</w:t>
            </w:r>
          </w:p>
        </w:tc>
        <w:tc>
          <w:tcPr>
            <w:tcW w:type="dxa" w:w="1120"/>
            <w:tcMar>
              <w:top w:w="60" w:type="dxa"/>
              <w:bottom w:w="60" w:type="dxa"/>
              <w:left w:w="100" w:type="dxa"/>
              <w:right w:w="100" w:type="dxa"/>
            </w:tcMar>
            <w:vAlign w:val="center"/>
            <w:shd w:val="clear" w:color="auto" w:fill="F2EFEA"/>
          </w:tcPr>
          <w:p>
            <w:r/>
            <w:r>
              <w:rPr>
                <w:color w:val="3A3835"/>
                <w:sz w:val="17"/>
              </w:rPr>
              <w:t>2,730</w:t>
            </w:r>
          </w:p>
        </w:tc>
        <w:tc>
          <w:tcPr>
            <w:tcW w:type="dxa" w:w="1120"/>
            <w:tcMar>
              <w:top w:w="60" w:type="dxa"/>
              <w:bottom w:w="60" w:type="dxa"/>
              <w:left w:w="100" w:type="dxa"/>
              <w:right w:w="100" w:type="dxa"/>
            </w:tcMar>
            <w:vAlign w:val="center"/>
            <w:shd w:val="clear" w:color="auto" w:fill="F2EFEA"/>
          </w:tcPr>
          <w:p>
            <w:r/>
            <w:r>
              <w:rPr>
                <w:color w:val="3A3835"/>
                <w:sz w:val="17"/>
              </w:rPr>
              <w:t>$110,300</w:t>
            </w:r>
          </w:p>
        </w:tc>
      </w:tr>
    </w:tbl>
    <w:p>
      <w:pPr>
        <w:pStyle w:val="BIKCaption"/>
        <w:jc w:val="center"/>
      </w:pPr>
      <w:r>
        <w:t>Illustrative base-case quarterly progression, Years 1–5 (Q1–Q20). Figures are rounded and reconcile approximately, not exactly, to the annual figures above due to rounding and mid-quarter cohort timing.</w:t>
      </w:r>
    </w:p>
    <w:p>
      <w:pPr>
        <w:pStyle w:val="BIKH1"/>
      </w:pPr>
      <w:r>
        <w:t>Illustrative Operating Expenditure by Function</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8"/>
              </w:rPr>
              <w:t>Function</w:t>
            </w:r>
          </w:p>
        </w:tc>
        <w:tc>
          <w:tcPr>
            <w:tcW w:type="dxa" w:w="1792"/>
            <w:shd w:val="clear" w:color="auto" w:fill="252320"/>
            <w:tcMar>
              <w:top w:w="60" w:type="dxa"/>
              <w:bottom w:w="60" w:type="dxa"/>
              <w:left w:w="100" w:type="dxa"/>
              <w:right w:w="100" w:type="dxa"/>
            </w:tcMar>
            <w:vAlign w:val="center"/>
          </w:tcPr>
          <w:p>
            <w:r/>
            <w:r>
              <w:rPr>
                <w:b/>
                <w:color w:val="FFFFFF"/>
                <w:sz w:val="18"/>
              </w:rPr>
              <w:t>Year 1</w:t>
            </w:r>
          </w:p>
        </w:tc>
        <w:tc>
          <w:tcPr>
            <w:tcW w:type="dxa" w:w="1792"/>
            <w:shd w:val="clear" w:color="auto" w:fill="252320"/>
            <w:tcMar>
              <w:top w:w="60" w:type="dxa"/>
              <w:bottom w:w="60" w:type="dxa"/>
              <w:left w:w="100" w:type="dxa"/>
              <w:right w:w="100" w:type="dxa"/>
            </w:tcMar>
            <w:vAlign w:val="center"/>
          </w:tcPr>
          <w:p>
            <w:r/>
            <w:r>
              <w:rPr>
                <w:b/>
                <w:color w:val="FFFFFF"/>
                <w:sz w:val="18"/>
              </w:rPr>
              <w:t>Year 3</w:t>
            </w:r>
          </w:p>
        </w:tc>
        <w:tc>
          <w:tcPr>
            <w:tcW w:type="dxa" w:w="1792"/>
            <w:shd w:val="clear" w:color="auto" w:fill="252320"/>
            <w:tcMar>
              <w:top w:w="60" w:type="dxa"/>
              <w:bottom w:w="60" w:type="dxa"/>
              <w:left w:w="100" w:type="dxa"/>
              <w:right w:w="100" w:type="dxa"/>
            </w:tcMar>
            <w:vAlign w:val="center"/>
          </w:tcPr>
          <w:p>
            <w:r/>
            <w:r>
              <w:rPr>
                <w:b/>
                <w:color w:val="FFFFFF"/>
                <w:sz w:val="18"/>
              </w:rPr>
              <w:t>Year 5</w:t>
            </w:r>
          </w:p>
        </w:tc>
        <w:tc>
          <w:tcPr>
            <w:tcW w:type="dxa" w:w="1792"/>
            <w:shd w:val="clear" w:color="auto" w:fill="252320"/>
            <w:tcMar>
              <w:top w:w="60" w:type="dxa"/>
              <w:bottom w:w="60" w:type="dxa"/>
              <w:left w:w="100" w:type="dxa"/>
              <w:right w:w="100" w:type="dxa"/>
            </w:tcMar>
            <w:vAlign w:val="center"/>
          </w:tcPr>
          <w:p>
            <w:r/>
            <w:r>
              <w:rPr>
                <w:b/>
                <w:color w:val="FFFFFF"/>
                <w:sz w:val="18"/>
              </w:rPr>
              <w:t>Notes</w:t>
            </w:r>
          </w:p>
        </w:tc>
      </w:tr>
      <w:tr>
        <w:tc>
          <w:tcPr>
            <w:tcW w:type="dxa" w:w="1792"/>
            <w:tcMar>
              <w:top w:w="60" w:type="dxa"/>
              <w:bottom w:w="60" w:type="dxa"/>
              <w:left w:w="100" w:type="dxa"/>
              <w:right w:w="100" w:type="dxa"/>
            </w:tcMar>
            <w:vAlign w:val="center"/>
          </w:tcPr>
          <w:p>
            <w:r/>
            <w:r>
              <w:rPr>
                <w:color w:val="3A3835"/>
                <w:sz w:val="18"/>
              </w:rPr>
              <w:t>Engineering &amp; product</w:t>
            </w:r>
          </w:p>
        </w:tc>
        <w:tc>
          <w:tcPr>
            <w:tcW w:type="dxa" w:w="1792"/>
            <w:tcMar>
              <w:top w:w="60" w:type="dxa"/>
              <w:bottom w:w="60" w:type="dxa"/>
              <w:left w:w="100" w:type="dxa"/>
              <w:right w:w="100" w:type="dxa"/>
            </w:tcMar>
            <w:vAlign w:val="center"/>
          </w:tcPr>
          <w:p>
            <w:r/>
            <w:r>
              <w:rPr>
                <w:color w:val="3A3835"/>
                <w:sz w:val="18"/>
              </w:rPr>
              <w:t>In-kind (founder time)</w:t>
            </w:r>
          </w:p>
        </w:tc>
        <w:tc>
          <w:tcPr>
            <w:tcW w:type="dxa" w:w="1792"/>
            <w:tcMar>
              <w:top w:w="60" w:type="dxa"/>
              <w:bottom w:w="60" w:type="dxa"/>
              <w:left w:w="100" w:type="dxa"/>
              <w:right w:w="100" w:type="dxa"/>
            </w:tcMar>
            <w:vAlign w:val="center"/>
          </w:tcPr>
          <w:p>
            <w:r/>
            <w:r>
              <w:rPr>
                <w:color w:val="3A3835"/>
                <w:sz w:val="18"/>
              </w:rPr>
              <w:t>$260,000</w:t>
            </w:r>
          </w:p>
        </w:tc>
        <w:tc>
          <w:tcPr>
            <w:tcW w:type="dxa" w:w="1792"/>
            <w:tcMar>
              <w:top w:w="60" w:type="dxa"/>
              <w:bottom w:w="60" w:type="dxa"/>
              <w:left w:w="100" w:type="dxa"/>
              <w:right w:w="100" w:type="dxa"/>
            </w:tcMar>
            <w:vAlign w:val="center"/>
          </w:tcPr>
          <w:p>
            <w:r/>
            <w:r>
              <w:rPr>
                <w:color w:val="3A3835"/>
                <w:sz w:val="18"/>
              </w:rPr>
              <w:t>$820,000</w:t>
            </w:r>
          </w:p>
        </w:tc>
        <w:tc>
          <w:tcPr>
            <w:tcW w:type="dxa" w:w="1792"/>
            <w:tcMar>
              <w:top w:w="60" w:type="dxa"/>
              <w:bottom w:w="60" w:type="dxa"/>
              <w:left w:w="100" w:type="dxa"/>
              <w:right w:w="100" w:type="dxa"/>
            </w:tcMar>
            <w:vAlign w:val="center"/>
          </w:tcPr>
          <w:p>
            <w:r/>
            <w:r>
              <w:rPr>
                <w:color w:val="3A3835"/>
                <w:sz w:val="18"/>
              </w:rPr>
              <w:t>Grows from founder-led to a Phase 3+ dedicated team (Chapter 10)</w:t>
            </w:r>
          </w:p>
        </w:tc>
      </w:tr>
      <w:tr>
        <w:tc>
          <w:tcPr>
            <w:tcW w:type="dxa" w:w="1792"/>
            <w:tcMar>
              <w:top w:w="60" w:type="dxa"/>
              <w:bottom w:w="60" w:type="dxa"/>
              <w:left w:w="100" w:type="dxa"/>
              <w:right w:w="100" w:type="dxa"/>
            </w:tcMar>
            <w:vAlign w:val="center"/>
            <w:shd w:val="clear" w:color="auto" w:fill="F2EFEA"/>
          </w:tcPr>
          <w:p>
            <w:r/>
            <w:r>
              <w:rPr>
                <w:color w:val="3A3835"/>
                <w:sz w:val="18"/>
              </w:rPr>
              <w:t>Sales &amp; marketing</w:t>
            </w:r>
          </w:p>
        </w:tc>
        <w:tc>
          <w:tcPr>
            <w:tcW w:type="dxa" w:w="1792"/>
            <w:tcMar>
              <w:top w:w="60" w:type="dxa"/>
              <w:bottom w:w="60" w:type="dxa"/>
              <w:left w:w="100" w:type="dxa"/>
              <w:right w:w="100" w:type="dxa"/>
            </w:tcMar>
            <w:vAlign w:val="center"/>
            <w:shd w:val="clear" w:color="auto" w:fill="F2EFEA"/>
          </w:tcPr>
          <w:p>
            <w:r/>
            <w:r>
              <w:rPr>
                <w:color w:val="3A3835"/>
                <w:sz w:val="18"/>
              </w:rPr>
              <w:t>$3,000</w:t>
            </w:r>
          </w:p>
        </w:tc>
        <w:tc>
          <w:tcPr>
            <w:tcW w:type="dxa" w:w="1792"/>
            <w:tcMar>
              <w:top w:w="60" w:type="dxa"/>
              <w:bottom w:w="60" w:type="dxa"/>
              <w:left w:w="100" w:type="dxa"/>
              <w:right w:w="100" w:type="dxa"/>
            </w:tcMar>
            <w:vAlign w:val="center"/>
            <w:shd w:val="clear" w:color="auto" w:fill="F2EFEA"/>
          </w:tcPr>
          <w:p>
            <w:r/>
            <w:r>
              <w:rPr>
                <w:color w:val="3A3835"/>
                <w:sz w:val="18"/>
              </w:rPr>
              <w:t>$95,000</w:t>
            </w:r>
          </w:p>
        </w:tc>
        <w:tc>
          <w:tcPr>
            <w:tcW w:type="dxa" w:w="1792"/>
            <w:tcMar>
              <w:top w:w="60" w:type="dxa"/>
              <w:bottom w:w="60" w:type="dxa"/>
              <w:left w:w="100" w:type="dxa"/>
              <w:right w:w="100" w:type="dxa"/>
            </w:tcMar>
            <w:vAlign w:val="center"/>
            <w:shd w:val="clear" w:color="auto" w:fill="F2EFEA"/>
          </w:tcPr>
          <w:p>
            <w:r/>
            <w:r>
              <w:rPr>
                <w:color w:val="3A3835"/>
                <w:sz w:val="18"/>
              </w:rPr>
              <w:t>$370,000</w:t>
            </w:r>
          </w:p>
        </w:tc>
        <w:tc>
          <w:tcPr>
            <w:tcW w:type="dxa" w:w="1792"/>
            <w:tcMar>
              <w:top w:w="60" w:type="dxa"/>
              <w:bottom w:w="60" w:type="dxa"/>
              <w:left w:w="100" w:type="dxa"/>
              <w:right w:w="100" w:type="dxa"/>
            </w:tcMar>
            <w:vAlign w:val="center"/>
            <w:shd w:val="clear" w:color="auto" w:fill="F2EFEA"/>
          </w:tcPr>
          <w:p>
            <w:r/>
            <w:r>
              <w:rPr>
                <w:color w:val="3A3835"/>
                <w:sz w:val="18"/>
              </w:rPr>
              <w:t>Predominantly organic/content-led through Phase 2; paid acquisition enters from Phase 3</w:t>
            </w:r>
          </w:p>
        </w:tc>
      </w:tr>
      <w:tr>
        <w:tc>
          <w:tcPr>
            <w:tcW w:type="dxa" w:w="1792"/>
            <w:tcMar>
              <w:top w:w="60" w:type="dxa"/>
              <w:bottom w:w="60" w:type="dxa"/>
              <w:left w:w="100" w:type="dxa"/>
              <w:right w:w="100" w:type="dxa"/>
            </w:tcMar>
            <w:vAlign w:val="center"/>
          </w:tcPr>
          <w:p>
            <w:r/>
            <w:r>
              <w:rPr>
                <w:color w:val="3A3835"/>
                <w:sz w:val="18"/>
              </w:rPr>
              <w:t>Customer support</w:t>
            </w:r>
          </w:p>
        </w:tc>
        <w:tc>
          <w:tcPr>
            <w:tcW w:type="dxa" w:w="1792"/>
            <w:tcMar>
              <w:top w:w="60" w:type="dxa"/>
              <w:bottom w:w="60" w:type="dxa"/>
              <w:left w:w="100" w:type="dxa"/>
              <w:right w:w="100" w:type="dxa"/>
            </w:tcMar>
            <w:vAlign w:val="center"/>
          </w:tcPr>
          <w:p>
            <w:r/>
            <w:r>
              <w:rPr>
                <w:color w:val="3A3835"/>
                <w:sz w:val="18"/>
              </w:rPr>
              <w:t>In-kind (founder time)</w:t>
            </w:r>
          </w:p>
        </w:tc>
        <w:tc>
          <w:tcPr>
            <w:tcW w:type="dxa" w:w="1792"/>
            <w:tcMar>
              <w:top w:w="60" w:type="dxa"/>
              <w:bottom w:w="60" w:type="dxa"/>
              <w:left w:w="100" w:type="dxa"/>
              <w:right w:w="100" w:type="dxa"/>
            </w:tcMar>
            <w:vAlign w:val="center"/>
          </w:tcPr>
          <w:p>
            <w:r/>
            <w:r>
              <w:rPr>
                <w:color w:val="3A3835"/>
                <w:sz w:val="18"/>
              </w:rPr>
              <w:t>$40,000</w:t>
            </w:r>
          </w:p>
        </w:tc>
        <w:tc>
          <w:tcPr>
            <w:tcW w:type="dxa" w:w="1792"/>
            <w:tcMar>
              <w:top w:w="60" w:type="dxa"/>
              <w:bottom w:w="60" w:type="dxa"/>
              <w:left w:w="100" w:type="dxa"/>
              <w:right w:w="100" w:type="dxa"/>
            </w:tcMar>
            <w:vAlign w:val="center"/>
          </w:tcPr>
          <w:p>
            <w:r/>
            <w:r>
              <w:rPr>
                <w:color w:val="3A3835"/>
                <w:sz w:val="18"/>
              </w:rPr>
              <w:t>$150,000</w:t>
            </w:r>
          </w:p>
        </w:tc>
        <w:tc>
          <w:tcPr>
            <w:tcW w:type="dxa" w:w="1792"/>
            <w:tcMar>
              <w:top w:w="60" w:type="dxa"/>
              <w:bottom w:w="60" w:type="dxa"/>
              <w:left w:w="100" w:type="dxa"/>
              <w:right w:w="100" w:type="dxa"/>
            </w:tcMar>
            <w:vAlign w:val="center"/>
          </w:tcPr>
          <w:p>
            <w:r/>
            <w:r>
              <w:rPr>
                <w:color w:val="3A3835"/>
                <w:sz w:val="18"/>
              </w:rPr>
              <w:t>First dedicated hire targeted for Phase 2 (Chapter 10)</w:t>
            </w:r>
          </w:p>
        </w:tc>
      </w:tr>
      <w:tr>
        <w:tc>
          <w:tcPr>
            <w:tcW w:type="dxa" w:w="1792"/>
            <w:tcMar>
              <w:top w:w="60" w:type="dxa"/>
              <w:bottom w:w="60" w:type="dxa"/>
              <w:left w:w="100" w:type="dxa"/>
              <w:right w:w="100" w:type="dxa"/>
            </w:tcMar>
            <w:vAlign w:val="center"/>
            <w:shd w:val="clear" w:color="auto" w:fill="F2EFEA"/>
          </w:tcPr>
          <w:p>
            <w:r/>
            <w:r>
              <w:rPr>
                <w:color w:val="3A3835"/>
                <w:sz w:val="18"/>
              </w:rPr>
              <w:t>Compliance &amp; legal review</w:t>
            </w:r>
          </w:p>
        </w:tc>
        <w:tc>
          <w:tcPr>
            <w:tcW w:type="dxa" w:w="1792"/>
            <w:tcMar>
              <w:top w:w="60" w:type="dxa"/>
              <w:bottom w:w="60" w:type="dxa"/>
              <w:left w:w="100" w:type="dxa"/>
              <w:right w:w="100" w:type="dxa"/>
            </w:tcMar>
            <w:vAlign w:val="center"/>
            <w:shd w:val="clear" w:color="auto" w:fill="F2EFEA"/>
          </w:tcPr>
          <w:p>
            <w:r/>
            <w:r>
              <w:rPr>
                <w:color w:val="3A3835"/>
                <w:sz w:val="18"/>
              </w:rPr>
              <w:t>$2,000</w:t>
            </w:r>
          </w:p>
        </w:tc>
        <w:tc>
          <w:tcPr>
            <w:tcW w:type="dxa" w:w="1792"/>
            <w:tcMar>
              <w:top w:w="60" w:type="dxa"/>
              <w:bottom w:w="60" w:type="dxa"/>
              <w:left w:w="100" w:type="dxa"/>
              <w:right w:w="100" w:type="dxa"/>
            </w:tcMar>
            <w:vAlign w:val="center"/>
            <w:shd w:val="clear" w:color="auto" w:fill="F2EFEA"/>
          </w:tcPr>
          <w:p>
            <w:r/>
            <w:r>
              <w:rPr>
                <w:color w:val="3A3835"/>
                <w:sz w:val="18"/>
              </w:rPr>
              <w:t>$45,000</w:t>
            </w:r>
          </w:p>
        </w:tc>
        <w:tc>
          <w:tcPr>
            <w:tcW w:type="dxa" w:w="1792"/>
            <w:tcMar>
              <w:top w:w="60" w:type="dxa"/>
              <w:bottom w:w="60" w:type="dxa"/>
              <w:left w:w="100" w:type="dxa"/>
              <w:right w:w="100" w:type="dxa"/>
            </w:tcMar>
            <w:vAlign w:val="center"/>
            <w:shd w:val="clear" w:color="auto" w:fill="F2EFEA"/>
          </w:tcPr>
          <w:p>
            <w:r/>
            <w:r>
              <w:rPr>
                <w:color w:val="3A3835"/>
                <w:sz w:val="18"/>
              </w:rPr>
              <w:t>$140,000</w:t>
            </w:r>
          </w:p>
        </w:tc>
        <w:tc>
          <w:tcPr>
            <w:tcW w:type="dxa" w:w="1792"/>
            <w:tcMar>
              <w:top w:w="60" w:type="dxa"/>
              <w:bottom w:w="60" w:type="dxa"/>
              <w:left w:w="100" w:type="dxa"/>
              <w:right w:w="100" w:type="dxa"/>
            </w:tcMar>
            <w:vAlign w:val="center"/>
            <w:shd w:val="clear" w:color="auto" w:fill="F2EFEA"/>
          </w:tcPr>
          <w:p>
            <w:r/>
            <w:r>
              <w:rPr>
                <w:color w:val="3A3835"/>
                <w:sz w:val="18"/>
              </w:rPr>
              <w:t>Scales with tool catalogue breadth and the Legal and Safety Tool Register cadence (Chapter 27)</w:t>
            </w:r>
          </w:p>
        </w:tc>
      </w:tr>
      <w:tr>
        <w:tc>
          <w:tcPr>
            <w:tcW w:type="dxa" w:w="1792"/>
            <w:tcMar>
              <w:top w:w="60" w:type="dxa"/>
              <w:bottom w:w="60" w:type="dxa"/>
              <w:left w:w="100" w:type="dxa"/>
              <w:right w:w="100" w:type="dxa"/>
            </w:tcMar>
            <w:vAlign w:val="center"/>
          </w:tcPr>
          <w:p>
            <w:r/>
            <w:r>
              <w:rPr>
                <w:color w:val="3A3835"/>
                <w:sz w:val="18"/>
              </w:rPr>
              <w:t>G&amp;A (finance, admin, tooling)</w:t>
            </w:r>
          </w:p>
        </w:tc>
        <w:tc>
          <w:tcPr>
            <w:tcW w:type="dxa" w:w="1792"/>
            <w:tcMar>
              <w:top w:w="60" w:type="dxa"/>
              <w:bottom w:w="60" w:type="dxa"/>
              <w:left w:w="100" w:type="dxa"/>
              <w:right w:w="100" w:type="dxa"/>
            </w:tcMar>
            <w:vAlign w:val="center"/>
          </w:tcPr>
          <w:p>
            <w:r/>
            <w:r>
              <w:rPr>
                <w:color w:val="3A3835"/>
                <w:sz w:val="18"/>
              </w:rPr>
              <w:t>In-kind (founder time)</w:t>
            </w:r>
          </w:p>
        </w:tc>
        <w:tc>
          <w:tcPr>
            <w:tcW w:type="dxa" w:w="1792"/>
            <w:tcMar>
              <w:top w:w="60" w:type="dxa"/>
              <w:bottom w:w="60" w:type="dxa"/>
              <w:left w:w="100" w:type="dxa"/>
              <w:right w:w="100" w:type="dxa"/>
            </w:tcMar>
            <w:vAlign w:val="center"/>
          </w:tcPr>
          <w:p>
            <w:r/>
            <w:r>
              <w:rPr>
                <w:color w:val="3A3835"/>
                <w:sz w:val="18"/>
              </w:rPr>
              <w:t>$25,000</w:t>
            </w:r>
          </w:p>
        </w:tc>
        <w:tc>
          <w:tcPr>
            <w:tcW w:type="dxa" w:w="1792"/>
            <w:tcMar>
              <w:top w:w="60" w:type="dxa"/>
              <w:bottom w:w="60" w:type="dxa"/>
              <w:left w:w="100" w:type="dxa"/>
              <w:right w:w="100" w:type="dxa"/>
            </w:tcMar>
            <w:vAlign w:val="center"/>
          </w:tcPr>
          <w:p>
            <w:r/>
            <w:r>
              <w:rPr>
                <w:color w:val="3A3835"/>
                <w:sz w:val="18"/>
              </w:rPr>
              <w:t>$90,000</w:t>
            </w:r>
          </w:p>
        </w:tc>
        <w:tc>
          <w:tcPr>
            <w:tcW w:type="dxa" w:w="1792"/>
            <w:tcMar>
              <w:top w:w="60" w:type="dxa"/>
              <w:bottom w:w="60" w:type="dxa"/>
              <w:left w:w="100" w:type="dxa"/>
              <w:right w:w="100" w:type="dxa"/>
            </w:tcMar>
            <w:vAlign w:val="center"/>
          </w:tcPr>
          <w:p>
            <w:r/>
            <w:r>
              <w:rPr>
                <w:color w:val="3A3835"/>
                <w:sz w:val="18"/>
              </w:rPr>
              <w:t>Formalises ahead of any institutional raise (Chapter 25 exit-readiness)</w:t>
            </w:r>
          </w:p>
        </w:tc>
      </w:tr>
    </w:tbl>
    <w:p>
      <w:pPr>
        <w:pStyle w:val="BIKCaption"/>
        <w:jc w:val="center"/>
      </w:pPr>
      <w:r>
        <w:t>Illustrative planning model, base case, consistent with the P&amp;L summary above.</w:t>
      </w:r>
    </w:p>
    <w:p>
      <w:pPr>
        <w:pStyle w:val="BIKH1"/>
      </w:pPr>
      <w:r>
        <w:t>Sensitivity Analysis</w:t>
      </w:r>
    </w:p>
    <w:p>
      <w:pPr>
        <w:pStyle w:val="BIKBody"/>
        <w:jc w:val="both"/>
      </w:pPr>
      <w:r>
        <w:t>The single largest driver of the five-year outcome is not pricing or CAC — it is churn, because recurring revenue businesses compound or decay geometrically with retention. Holding all other assumptions constant, moving from the base-case 3.2% monthly churn to the pessimistic 4.5% regime reduces Year 5 MRR by roughly 29%; moving to the optimistic 2.4% regime increases it by roughly 38%. This is why Chapter 6's operating-model argument — that document history and integration depth should structurally reduce churn over time — is not a minor product nicety but the single highest-leverage lever in the entire financial model.</w:t>
      </w:r>
    </w:p>
    <w:p>
      <w:pPr>
        <w:pStyle w:val="BIKChapterLabel"/>
      </w:pPr>
      <w:r>
        <w:t>PART F — FINANCIAL MODEL</w:t>
      </w:r>
    </w:p>
    <w:p>
      <w:pPr>
        <w:pStyle w:val="BIKChapterTitle"/>
        <w:pBdr>
          <w:bottom w:val="single" w:sz="18" w:space="8" w:color="D85A30"/>
        </w:pBdr>
      </w:pPr>
      <w:r>
        <w:t>21   Valuation Drivers</w:t>
      </w:r>
    </w:p>
    <w:p>
      <w:pPr>
        <w:pStyle w:val="BIKH1"/>
      </w:pPr>
      <w:r>
        <w:t>How Vertical AI SaaS Businesses Are Valued</w:t>
      </w:r>
    </w:p>
    <w:p>
      <w:pPr>
        <w:pStyle w:val="BIKBody"/>
        <w:jc w:val="both"/>
      </w:pPr>
      <w:r>
        <w:t>Vertical SaaS businesses are typically valued on a multiple of Annual Recurring Revenue (ARR), with the multiple itself a function of growth rate, gross margin, net revenue retention, and — increasingly, for AI-native vertical products — the defensibility of the domain layer around the underlying model (Chapter 5). This chapter builds an illustrative valuation bridge from BIK's own Year 5 base-case ARR rather than importing an external comparable set that may not reflect BIK's specific stage or category.</w:t>
      </w:r>
    </w:p>
    <w:p>
      <w:pPr>
        <w:jc w:val="center"/>
      </w:pPr>
      <w:r>
        <w:drawing>
          <wp:inline xmlns:a="http://schemas.openxmlformats.org/drawingml/2006/main" xmlns:pic="http://schemas.openxmlformats.org/drawingml/2006/picture">
            <wp:extent cx="6035040" cy="4590448"/>
            <wp:docPr id="15" name="Picture 15"/>
            <wp:cNvGraphicFramePr>
              <a:graphicFrameLocks noChangeAspect="1"/>
            </wp:cNvGraphicFramePr>
            <a:graphic>
              <a:graphicData uri="http://schemas.openxmlformats.org/drawingml/2006/picture">
                <pic:pic>
                  <pic:nvPicPr>
                    <pic:cNvPr id="0" name="valuation_bridge.png"/>
                    <pic:cNvPicPr/>
                  </pic:nvPicPr>
                  <pic:blipFill>
                    <a:blip r:embed="rId23"/>
                    <a:stretch>
                      <a:fillRect/>
                    </a:stretch>
                  </pic:blipFill>
                  <pic:spPr>
                    <a:xfrm>
                      <a:off x="0" y="0"/>
                      <a:ext cx="6035040" cy="4590448"/>
                    </a:xfrm>
                    <a:prstGeom prst="rect"/>
                  </pic:spPr>
                </pic:pic>
              </a:graphicData>
            </a:graphic>
          </wp:inline>
        </w:drawing>
      </w:r>
    </w:p>
    <w:p>
      <w:pPr>
        <w:pStyle w:val="BIKCaption"/>
        <w:jc w:val="center"/>
      </w:pPr>
      <w:r>
        <w:t>Figure 21.1 — Illustrative valuation bridge, Year 5 base case</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Value driver</w:t>
            </w:r>
          </w:p>
        </w:tc>
        <w:tc>
          <w:tcPr>
            <w:tcW w:type="dxa" w:w="4479"/>
            <w:shd w:val="clear" w:color="auto" w:fill="252320"/>
            <w:tcMar>
              <w:top w:w="60" w:type="dxa"/>
              <w:bottom w:w="60" w:type="dxa"/>
              <w:left w:w="100" w:type="dxa"/>
              <w:right w:w="100" w:type="dxa"/>
            </w:tcMar>
            <w:vAlign w:val="center"/>
          </w:tcPr>
          <w:p>
            <w:r/>
            <w:r>
              <w:rPr>
                <w:b/>
                <w:color w:val="FFFFFF"/>
                <w:sz w:val="18"/>
              </w:rPr>
              <w:t>Why it matters for BIK specifically</w:t>
            </w:r>
          </w:p>
        </w:tc>
      </w:tr>
      <w:tr>
        <w:tc>
          <w:tcPr>
            <w:tcW w:type="dxa" w:w="4479"/>
            <w:tcMar>
              <w:top w:w="60" w:type="dxa"/>
              <w:bottom w:w="60" w:type="dxa"/>
              <w:left w:w="100" w:type="dxa"/>
              <w:right w:w="100" w:type="dxa"/>
            </w:tcMar>
            <w:vAlign w:val="center"/>
          </w:tcPr>
          <w:p>
            <w:r/>
            <w:r>
              <w:rPr>
                <w:color w:val="3A3835"/>
                <w:sz w:val="18"/>
              </w:rPr>
              <w:t>Net revenue retention</w:t>
            </w:r>
          </w:p>
        </w:tc>
        <w:tc>
          <w:tcPr>
            <w:tcW w:type="dxa" w:w="4479"/>
            <w:tcMar>
              <w:top w:w="60" w:type="dxa"/>
              <w:bottom w:w="60" w:type="dxa"/>
              <w:left w:w="100" w:type="dxa"/>
              <w:right w:w="100" w:type="dxa"/>
            </w:tcMar>
            <w:vAlign w:val="center"/>
          </w:tcPr>
          <w:p>
            <w:r/>
            <w:r>
              <w:rPr>
                <w:color w:val="3A3835"/>
                <w:sz w:val="18"/>
              </w:rPr>
              <w:t>The strongest single lever — Chapter 20's sensitivity analysis shows how directly churn/retention flows into terminal value</w:t>
            </w:r>
          </w:p>
        </w:tc>
      </w:tr>
      <w:tr>
        <w:tc>
          <w:tcPr>
            <w:tcW w:type="dxa" w:w="4479"/>
            <w:tcMar>
              <w:top w:w="60" w:type="dxa"/>
              <w:bottom w:w="60" w:type="dxa"/>
              <w:left w:w="100" w:type="dxa"/>
              <w:right w:w="100" w:type="dxa"/>
            </w:tcMar>
            <w:vAlign w:val="center"/>
            <w:shd w:val="clear" w:color="auto" w:fill="F2EFEA"/>
          </w:tcPr>
          <w:p>
            <w:r/>
            <w:r>
              <w:rPr>
                <w:color w:val="3A3835"/>
                <w:sz w:val="18"/>
              </w:rPr>
              <w:t>Gross margin</w:t>
            </w:r>
          </w:p>
        </w:tc>
        <w:tc>
          <w:tcPr>
            <w:tcW w:type="dxa" w:w="4479"/>
            <w:tcMar>
              <w:top w:w="60" w:type="dxa"/>
              <w:bottom w:w="60" w:type="dxa"/>
              <w:left w:w="100" w:type="dxa"/>
              <w:right w:w="100" w:type="dxa"/>
            </w:tcMar>
            <w:vAlign w:val="center"/>
            <w:shd w:val="clear" w:color="auto" w:fill="F2EFEA"/>
          </w:tcPr>
          <w:p>
            <w:r/>
            <w:r>
              <w:rPr>
                <w:color w:val="3A3835"/>
                <w:sz w:val="18"/>
              </w:rPr>
              <w:t>BIK's ~88–89% modelled gross margin (low LLM cost per document relative to subscription price) supports a premium multiple versus low-margin services-heavy comparables</w:t>
            </w:r>
          </w:p>
        </w:tc>
      </w:tr>
      <w:tr>
        <w:tc>
          <w:tcPr>
            <w:tcW w:type="dxa" w:w="4479"/>
            <w:tcMar>
              <w:top w:w="60" w:type="dxa"/>
              <w:bottom w:w="60" w:type="dxa"/>
              <w:left w:w="100" w:type="dxa"/>
              <w:right w:w="100" w:type="dxa"/>
            </w:tcMar>
            <w:vAlign w:val="center"/>
          </w:tcPr>
          <w:p>
            <w:r/>
            <w:r>
              <w:rPr>
                <w:color w:val="3A3835"/>
                <w:sz w:val="18"/>
              </w:rPr>
              <w:t>Growth rate durability</w:t>
            </w:r>
          </w:p>
        </w:tc>
        <w:tc>
          <w:tcPr>
            <w:tcW w:type="dxa" w:w="4479"/>
            <w:tcMar>
              <w:top w:w="60" w:type="dxa"/>
              <w:bottom w:w="60" w:type="dxa"/>
              <w:left w:w="100" w:type="dxa"/>
              <w:right w:w="100" w:type="dxa"/>
            </w:tcMar>
            <w:vAlign w:val="center"/>
          </w:tcPr>
          <w:p>
            <w:r/>
            <w:r>
              <w:rPr>
                <w:color w:val="3A3835"/>
                <w:sz w:val="18"/>
              </w:rPr>
              <w:t>A multi-year, phase-gated roadmap (Chapter 13) with disclosed dependencies is more defensible to a valuer than an undifferentiated hockey-stick projection</w:t>
            </w:r>
          </w:p>
        </w:tc>
      </w:tr>
      <w:tr>
        <w:tc>
          <w:tcPr>
            <w:tcW w:type="dxa" w:w="4479"/>
            <w:tcMar>
              <w:top w:w="60" w:type="dxa"/>
              <w:bottom w:w="60" w:type="dxa"/>
              <w:left w:w="100" w:type="dxa"/>
              <w:right w:w="100" w:type="dxa"/>
            </w:tcMar>
            <w:vAlign w:val="center"/>
            <w:shd w:val="clear" w:color="auto" w:fill="F2EFEA"/>
          </w:tcPr>
          <w:p>
            <w:r/>
            <w:r>
              <w:rPr>
                <w:color w:val="3A3835"/>
                <w:sz w:val="18"/>
              </w:rPr>
              <w:t>Domain defensibility</w:t>
            </w:r>
          </w:p>
        </w:tc>
        <w:tc>
          <w:tcPr>
            <w:tcW w:type="dxa" w:w="4479"/>
            <w:tcMar>
              <w:top w:w="60" w:type="dxa"/>
              <w:bottom w:w="60" w:type="dxa"/>
              <w:left w:w="100" w:type="dxa"/>
              <w:right w:w="100" w:type="dxa"/>
            </w:tcMar>
            <w:vAlign w:val="center"/>
            <w:shd w:val="clear" w:color="auto" w:fill="F2EFEA"/>
          </w:tcPr>
          <w:p>
            <w:r/>
            <w:r>
              <w:rPr>
                <w:color w:val="3A3835"/>
                <w:sz w:val="18"/>
              </w:rPr>
              <w:t>The construction-specific schema, the Legal and Safety Tool Register, and Decision 001 are exactly the assets a vertical-AI valuation premium is paid for (Chapter 5, Chapter 7)</w:t>
            </w:r>
          </w:p>
        </w:tc>
      </w:tr>
      <w:tr>
        <w:tc>
          <w:tcPr>
            <w:tcW w:type="dxa" w:w="4479"/>
            <w:tcMar>
              <w:top w:w="60" w:type="dxa"/>
              <w:bottom w:w="60" w:type="dxa"/>
              <w:left w:w="100" w:type="dxa"/>
              <w:right w:w="100" w:type="dxa"/>
            </w:tcMar>
            <w:vAlign w:val="center"/>
          </w:tcPr>
          <w:p>
            <w:r/>
            <w:r>
              <w:rPr>
                <w:color w:val="3A3835"/>
                <w:sz w:val="18"/>
              </w:rPr>
              <w:t>Integration depth / switching cost</w:t>
            </w:r>
          </w:p>
        </w:tc>
        <w:tc>
          <w:tcPr>
            <w:tcW w:type="dxa" w:w="4479"/>
            <w:tcMar>
              <w:top w:w="60" w:type="dxa"/>
              <w:bottom w:w="60" w:type="dxa"/>
              <w:left w:w="100" w:type="dxa"/>
              <w:right w:w="100" w:type="dxa"/>
            </w:tcMar>
            <w:vAlign w:val="center"/>
          </w:tcPr>
          <w:p>
            <w:r/>
            <w:r>
              <w:rPr>
                <w:color w:val="3A3835"/>
                <w:sz w:val="18"/>
              </w:rPr>
              <w:t>Live Xero/MYOB/ServiceM8 integrations (Phase 3) convert a valuation story about a nice tool into a valuation story about embedded infrastructure</w:t>
            </w:r>
          </w:p>
        </w:tc>
      </w:tr>
      <w:tr>
        <w:tc>
          <w:tcPr>
            <w:tcW w:type="dxa" w:w="4479"/>
            <w:tcMar>
              <w:top w:w="60" w:type="dxa"/>
              <w:bottom w:w="60" w:type="dxa"/>
              <w:left w:w="100" w:type="dxa"/>
              <w:right w:w="100" w:type="dxa"/>
            </w:tcMar>
            <w:vAlign w:val="center"/>
            <w:shd w:val="clear" w:color="auto" w:fill="F2EFEA"/>
          </w:tcPr>
          <w:p>
            <w:r/>
            <w:r>
              <w:rPr>
                <w:color w:val="3A3835"/>
                <w:sz w:val="18"/>
              </w:rPr>
              <w:t>Enterprise / white-label optionality</w:t>
            </w:r>
          </w:p>
        </w:tc>
        <w:tc>
          <w:tcPr>
            <w:tcW w:type="dxa" w:w="4479"/>
            <w:tcMar>
              <w:top w:w="60" w:type="dxa"/>
              <w:bottom w:w="60" w:type="dxa"/>
              <w:left w:w="100" w:type="dxa"/>
              <w:right w:w="100" w:type="dxa"/>
            </w:tcMar>
            <w:vAlign w:val="center"/>
            <w:shd w:val="clear" w:color="auto" w:fill="F2EFEA"/>
          </w:tcPr>
          <w:p>
            <w:r/>
            <w:r>
              <w:rPr>
                <w:color w:val="3A3835"/>
                <w:sz w:val="18"/>
              </w:rPr>
              <w:t>A credible enterprise and white-label pathway (Chapter 22) supports a valuation premium even before material enterprise revenue exists, because it expands the addressable exit-buyer set</w:t>
            </w:r>
          </w:p>
        </w:tc>
      </w:tr>
    </w:tbl>
    <w:p>
      <w:pPr>
        <w:spacing w:after="120"/>
      </w:pPr>
    </w:p>
    <w:p>
      <w:pPr>
        <w:pStyle w:val="BIKH1"/>
      </w:pPr>
      <w:r>
        <w:t>Illustrative Valuation Ranges by Milestone</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Milestone</w:t>
            </w:r>
          </w:p>
        </w:tc>
        <w:tc>
          <w:tcPr>
            <w:tcW w:type="dxa" w:w="2239"/>
            <w:shd w:val="clear" w:color="auto" w:fill="252320"/>
            <w:tcMar>
              <w:top w:w="60" w:type="dxa"/>
              <w:bottom w:w="60" w:type="dxa"/>
              <w:left w:w="100" w:type="dxa"/>
              <w:right w:w="100" w:type="dxa"/>
            </w:tcMar>
            <w:vAlign w:val="center"/>
          </w:tcPr>
          <w:p>
            <w:r/>
            <w:r>
              <w:rPr>
                <w:b/>
                <w:color w:val="FFFFFF"/>
                <w:sz w:val="18"/>
              </w:rPr>
              <w:t>Illustrative ARR</w:t>
            </w:r>
          </w:p>
        </w:tc>
        <w:tc>
          <w:tcPr>
            <w:tcW w:type="dxa" w:w="2239"/>
            <w:shd w:val="clear" w:color="auto" w:fill="252320"/>
            <w:tcMar>
              <w:top w:w="60" w:type="dxa"/>
              <w:bottom w:w="60" w:type="dxa"/>
              <w:left w:w="100" w:type="dxa"/>
              <w:right w:w="100" w:type="dxa"/>
            </w:tcMar>
            <w:vAlign w:val="center"/>
          </w:tcPr>
          <w:p>
            <w:r/>
            <w:r>
              <w:rPr>
                <w:b/>
                <w:color w:val="FFFFFF"/>
                <w:sz w:val="18"/>
              </w:rPr>
              <w:t>Illustrative revenue multiple range</w:t>
            </w:r>
          </w:p>
        </w:tc>
        <w:tc>
          <w:tcPr>
            <w:tcW w:type="dxa" w:w="2239"/>
            <w:shd w:val="clear" w:color="auto" w:fill="252320"/>
            <w:tcMar>
              <w:top w:w="60" w:type="dxa"/>
              <w:bottom w:w="60" w:type="dxa"/>
              <w:left w:w="100" w:type="dxa"/>
              <w:right w:w="100" w:type="dxa"/>
            </w:tcMar>
            <w:vAlign w:val="center"/>
          </w:tcPr>
          <w:p>
            <w:r/>
            <w:r>
              <w:rPr>
                <w:b/>
                <w:color w:val="FFFFFF"/>
                <w:sz w:val="18"/>
              </w:rPr>
              <w:t>Illustrative enterprise value range</w:t>
            </w:r>
          </w:p>
        </w:tc>
      </w:tr>
      <w:tr>
        <w:tc>
          <w:tcPr>
            <w:tcW w:type="dxa" w:w="2239"/>
            <w:tcMar>
              <w:top w:w="60" w:type="dxa"/>
              <w:bottom w:w="60" w:type="dxa"/>
              <w:left w:w="100" w:type="dxa"/>
              <w:right w:w="100" w:type="dxa"/>
            </w:tcMar>
            <w:vAlign w:val="center"/>
          </w:tcPr>
          <w:p>
            <w:r/>
            <w:r>
              <w:rPr>
                <w:color w:val="3A3835"/>
                <w:sz w:val="18"/>
              </w:rPr>
              <w:t>Phase 2 complete (500 subscribers, $15K MRR)</w:t>
            </w:r>
          </w:p>
        </w:tc>
        <w:tc>
          <w:tcPr>
            <w:tcW w:type="dxa" w:w="2239"/>
            <w:tcMar>
              <w:top w:w="60" w:type="dxa"/>
              <w:bottom w:w="60" w:type="dxa"/>
              <w:left w:w="100" w:type="dxa"/>
              <w:right w:w="100" w:type="dxa"/>
            </w:tcMar>
            <w:vAlign w:val="center"/>
          </w:tcPr>
          <w:p>
            <w:r/>
            <w:r>
              <w:rPr>
                <w:color w:val="3A3835"/>
                <w:sz w:val="18"/>
              </w:rPr>
              <w:t>$180,000</w:t>
            </w:r>
          </w:p>
        </w:tc>
        <w:tc>
          <w:tcPr>
            <w:tcW w:type="dxa" w:w="2239"/>
            <w:tcMar>
              <w:top w:w="60" w:type="dxa"/>
              <w:bottom w:w="60" w:type="dxa"/>
              <w:left w:w="100" w:type="dxa"/>
              <w:right w:w="100" w:type="dxa"/>
            </w:tcMar>
            <w:vAlign w:val="center"/>
          </w:tcPr>
          <w:p>
            <w:r/>
            <w:r>
              <w:rPr>
                <w:color w:val="3A3835"/>
                <w:sz w:val="18"/>
              </w:rPr>
              <w:t>4x – 7x</w:t>
            </w:r>
          </w:p>
        </w:tc>
        <w:tc>
          <w:tcPr>
            <w:tcW w:type="dxa" w:w="2239"/>
            <w:tcMar>
              <w:top w:w="60" w:type="dxa"/>
              <w:bottom w:w="60" w:type="dxa"/>
              <w:left w:w="100" w:type="dxa"/>
              <w:right w:w="100" w:type="dxa"/>
            </w:tcMar>
            <w:vAlign w:val="center"/>
          </w:tcPr>
          <w:p>
            <w:r/>
            <w:r>
              <w:rPr>
                <w:color w:val="3A3835"/>
                <w:sz w:val="18"/>
              </w:rPr>
              <w:t>$0.7M – $1.3M</w:t>
            </w:r>
          </w:p>
        </w:tc>
      </w:tr>
      <w:tr>
        <w:tc>
          <w:tcPr>
            <w:tcW w:type="dxa" w:w="2239"/>
            <w:tcMar>
              <w:top w:w="60" w:type="dxa"/>
              <w:bottom w:w="60" w:type="dxa"/>
              <w:left w:w="100" w:type="dxa"/>
              <w:right w:w="100" w:type="dxa"/>
            </w:tcMar>
            <w:vAlign w:val="center"/>
            <w:shd w:val="clear" w:color="auto" w:fill="F2EFEA"/>
          </w:tcPr>
          <w:p>
            <w:r/>
            <w:r>
              <w:rPr>
                <w:color w:val="3A3835"/>
                <w:sz w:val="18"/>
              </w:rPr>
              <w:t>Phase 3 complete (1,500 subscribers, $50K MRR)</w:t>
            </w:r>
          </w:p>
        </w:tc>
        <w:tc>
          <w:tcPr>
            <w:tcW w:type="dxa" w:w="2239"/>
            <w:tcMar>
              <w:top w:w="60" w:type="dxa"/>
              <w:bottom w:w="60" w:type="dxa"/>
              <w:left w:w="100" w:type="dxa"/>
              <w:right w:w="100" w:type="dxa"/>
            </w:tcMar>
            <w:vAlign w:val="center"/>
            <w:shd w:val="clear" w:color="auto" w:fill="F2EFEA"/>
          </w:tcPr>
          <w:p>
            <w:r/>
            <w:r>
              <w:rPr>
                <w:color w:val="3A3835"/>
                <w:sz w:val="18"/>
              </w:rPr>
              <w:t>$600,000</w:t>
            </w:r>
          </w:p>
        </w:tc>
        <w:tc>
          <w:tcPr>
            <w:tcW w:type="dxa" w:w="2239"/>
            <w:tcMar>
              <w:top w:w="60" w:type="dxa"/>
              <w:bottom w:w="60" w:type="dxa"/>
              <w:left w:w="100" w:type="dxa"/>
              <w:right w:w="100" w:type="dxa"/>
            </w:tcMar>
            <w:vAlign w:val="center"/>
            <w:shd w:val="clear" w:color="auto" w:fill="F2EFEA"/>
          </w:tcPr>
          <w:p>
            <w:r/>
            <w:r>
              <w:rPr>
                <w:color w:val="3A3835"/>
                <w:sz w:val="18"/>
              </w:rPr>
              <w:t>5x – 9x</w:t>
            </w:r>
          </w:p>
        </w:tc>
        <w:tc>
          <w:tcPr>
            <w:tcW w:type="dxa" w:w="2239"/>
            <w:tcMar>
              <w:top w:w="60" w:type="dxa"/>
              <w:bottom w:w="60" w:type="dxa"/>
              <w:left w:w="100" w:type="dxa"/>
              <w:right w:w="100" w:type="dxa"/>
            </w:tcMar>
            <w:vAlign w:val="center"/>
            <w:shd w:val="clear" w:color="auto" w:fill="F2EFEA"/>
          </w:tcPr>
          <w:p>
            <w:r/>
            <w:r>
              <w:rPr>
                <w:color w:val="3A3835"/>
                <w:sz w:val="18"/>
              </w:rPr>
              <w:t>$3.0M – $5.4M</w:t>
            </w:r>
          </w:p>
        </w:tc>
      </w:tr>
      <w:tr>
        <w:tc>
          <w:tcPr>
            <w:tcW w:type="dxa" w:w="2239"/>
            <w:tcMar>
              <w:top w:w="60" w:type="dxa"/>
              <w:bottom w:w="60" w:type="dxa"/>
              <w:left w:w="100" w:type="dxa"/>
              <w:right w:w="100" w:type="dxa"/>
            </w:tcMar>
            <w:vAlign w:val="center"/>
          </w:tcPr>
          <w:p>
            <w:r/>
            <w:r>
              <w:rPr>
                <w:color w:val="3A3835"/>
                <w:sz w:val="18"/>
              </w:rPr>
              <w:t>Phase 4 mature (5,000+ subscribers, $200K+ MRR)</w:t>
            </w:r>
          </w:p>
        </w:tc>
        <w:tc>
          <w:tcPr>
            <w:tcW w:type="dxa" w:w="2239"/>
            <w:tcMar>
              <w:top w:w="60" w:type="dxa"/>
              <w:bottom w:w="60" w:type="dxa"/>
              <w:left w:w="100" w:type="dxa"/>
              <w:right w:w="100" w:type="dxa"/>
            </w:tcMar>
            <w:vAlign w:val="center"/>
          </w:tcPr>
          <w:p>
            <w:r/>
            <w:r>
              <w:rPr>
                <w:color w:val="3A3835"/>
                <w:sz w:val="18"/>
              </w:rPr>
              <w:t>$2,400,000</w:t>
            </w:r>
          </w:p>
        </w:tc>
        <w:tc>
          <w:tcPr>
            <w:tcW w:type="dxa" w:w="2239"/>
            <w:tcMar>
              <w:top w:w="60" w:type="dxa"/>
              <w:bottom w:w="60" w:type="dxa"/>
              <w:left w:w="100" w:type="dxa"/>
              <w:right w:w="100" w:type="dxa"/>
            </w:tcMar>
            <w:vAlign w:val="center"/>
          </w:tcPr>
          <w:p>
            <w:r/>
            <w:r>
              <w:rPr>
                <w:color w:val="3A3835"/>
                <w:sz w:val="18"/>
              </w:rPr>
              <w:t>6x – 12x</w:t>
            </w:r>
          </w:p>
        </w:tc>
        <w:tc>
          <w:tcPr>
            <w:tcW w:type="dxa" w:w="2239"/>
            <w:tcMar>
              <w:top w:w="60" w:type="dxa"/>
              <w:bottom w:w="60" w:type="dxa"/>
              <w:left w:w="100" w:type="dxa"/>
              <w:right w:w="100" w:type="dxa"/>
            </w:tcMar>
            <w:vAlign w:val="center"/>
          </w:tcPr>
          <w:p>
            <w:r/>
            <w:r>
              <w:rPr>
                <w:color w:val="3A3835"/>
                <w:sz w:val="18"/>
              </w:rPr>
              <w:t>$14.4M – $28.8M</w:t>
            </w:r>
          </w:p>
        </w:tc>
      </w:tr>
    </w:tbl>
    <w:p>
      <w:pPr>
        <w:pStyle w:val="BIKCaption"/>
        <w:jc w:val="center"/>
      </w:pPr>
      <w:r>
        <w:t>Illustrative only. Multiples are directional ranges consistent with publicly discussed vertical SaaS transaction commentary in 2024–2026, not a valuation opinion, fairness opinion, or guarantee. Actual multiples at any transaction date depend on prevailing capital markets conditions, realised (not modelled) growth and retention, and buyer-specific strategic premium.</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WHAT WOULD MOVE BIK FROM THE LOW END TO THE HIGH END OF ANY RANGE</w:t>
            </w:r>
          </w:p>
          <w:p>
            <w:r>
              <w:rPr>
                <w:color w:val="FFFFFF"/>
                <w:sz w:val="20"/>
              </w:rPr>
              <w:t>Three things, in order of leverage: (1) demonstrated net revenue retention above 100% for at least four consecutive quarters, (2) at least one live, revenue-generating enterprise or white-label partnership (Chapter 22), and (3) a clean legal/compliance record with zero material incidents from AI-generated content — the exact discipline Chapter 11's governance framework is designed to protect.</w:t>
            </w:r>
          </w:p>
        </w:tc>
      </w:tr>
    </w:tbl>
    <w:p>
      <w:pPr>
        <w:spacing w:after="80"/>
      </w:pPr>
    </w:p>
    <w:p>
      <w:r>
        <w:br w:type="page"/>
      </w:r>
    </w:p>
    <w:p/>
    <w:p/>
    <w:p/>
    <w:p/>
    <w:p/>
    <w:p/>
    <w:p>
      <w:pPr>
        <w:jc w:val="center"/>
      </w:pPr>
      <w:r>
        <w:rPr>
          <w:b/>
          <w:color w:val="D85A30"/>
          <w:sz w:val="26"/>
        </w:rPr>
        <w:t>PART G — ENTERPRISE, EXPANSION &amp; ACQUISITION</w:t>
      </w:r>
    </w:p>
    <w:p>
      <w:pPr>
        <w:jc w:val="center"/>
      </w:pPr>
      <w:r>
        <w:rPr>
          <w:b/>
          <w:color w:val="252320"/>
          <w:sz w:val="60"/>
        </w:rPr>
        <w:t>The Strategic Question: Standalone Business or Acquisition Target?</w:t>
      </w:r>
    </w:p>
    <w:p>
      <w:pPr>
        <w:jc w:val="center"/>
      </w:pPr>
      <w:r>
        <w:rPr>
          <w:i/>
          <w:color w:val="888780"/>
          <w:sz w:val="23"/>
        </w:rPr>
        <w:t>Enterprise and white-label opportunities, international expansion, and a clear-eyed view of acquisition pathways</w:t>
      </w:r>
    </w:p>
    <w:p>
      <w:r>
        <w:br w:type="page"/>
      </w:r>
    </w:p>
    <w:p>
      <w:pPr>
        <w:pStyle w:val="BIKChapterLabel"/>
      </w:pPr>
      <w:r>
        <w:t>PART G — ENTERPRISE &amp; ACQUISITION</w:t>
      </w:r>
    </w:p>
    <w:p>
      <w:pPr>
        <w:pStyle w:val="BIKChapterTitle"/>
        <w:pBdr>
          <w:bottom w:val="single" w:sz="18" w:space="8" w:color="D85A30"/>
        </w:pBdr>
      </w:pPr>
      <w:r>
        <w:t>22   Enterprise Strategy &amp; White-Label Opportunities</w:t>
      </w:r>
    </w:p>
    <w:p>
      <w:pPr>
        <w:pStyle w:val="BIKH1"/>
      </w:pPr>
      <w:r>
        <w:t>Beyond the SME Subscriber</w:t>
      </w:r>
    </w:p>
    <w:p>
      <w:pPr>
        <w:pStyle w:val="BIKBody"/>
        <w:jc w:val="both"/>
      </w:pPr>
      <w:r>
        <w:t>BIK's core market through Phase 3 is deliberately the 1–50 person trade business (Chapter 8). Enterprise and white-label motion is a Phase 4+ opportunity layered on top of that base once integration depth and platform maturity make it credible — not a distraction from it. This chapter sets out where that opportunity plausibly sits.</w:t>
      </w:r>
    </w:p>
    <w:p>
      <w:pPr>
        <w:pStyle w:val="BIKH1"/>
      </w:pPr>
      <w:r>
        <w:t>Enterprise Opportunity Categories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Opportunity</w:t>
            </w:r>
          </w:p>
        </w:tc>
        <w:tc>
          <w:tcPr>
            <w:tcW w:type="dxa" w:w="2986"/>
            <w:shd w:val="clear" w:color="auto" w:fill="252320"/>
            <w:tcMar>
              <w:top w:w="60" w:type="dxa"/>
              <w:bottom w:w="60" w:type="dxa"/>
              <w:left w:w="100" w:type="dxa"/>
              <w:right w:w="100" w:type="dxa"/>
            </w:tcMar>
            <w:vAlign w:val="center"/>
          </w:tcPr>
          <w:p>
            <w:r/>
            <w:r>
              <w:rPr>
                <w:b/>
                <w:color w:val="FFFFFF"/>
                <w:sz w:val="18"/>
              </w:rPr>
              <w:t>Description</w:t>
            </w:r>
          </w:p>
        </w:tc>
        <w:tc>
          <w:tcPr>
            <w:tcW w:type="dxa" w:w="2986"/>
            <w:shd w:val="clear" w:color="auto" w:fill="252320"/>
            <w:tcMar>
              <w:top w:w="60" w:type="dxa"/>
              <w:bottom w:w="60" w:type="dxa"/>
              <w:left w:w="100" w:type="dxa"/>
              <w:right w:w="100" w:type="dxa"/>
            </w:tcMar>
            <w:vAlign w:val="center"/>
          </w:tcPr>
          <w:p>
            <w:r/>
            <w:r>
              <w:rPr>
                <w:b/>
                <w:color w:val="FFFFFF"/>
                <w:sz w:val="18"/>
              </w:rPr>
              <w:t>Illustrative counterpart</w:t>
            </w:r>
          </w:p>
        </w:tc>
      </w:tr>
      <w:tr>
        <w:tc>
          <w:tcPr>
            <w:tcW w:type="dxa" w:w="2986"/>
            <w:tcMar>
              <w:top w:w="60" w:type="dxa"/>
              <w:bottom w:w="60" w:type="dxa"/>
              <w:left w:w="100" w:type="dxa"/>
              <w:right w:w="100" w:type="dxa"/>
            </w:tcMar>
            <w:vAlign w:val="center"/>
          </w:tcPr>
          <w:p>
            <w:r/>
            <w:r>
              <w:rPr>
                <w:color w:val="3A3835"/>
                <w:sz w:val="18"/>
              </w:rPr>
              <w:t>White-label document engine</w:t>
            </w:r>
          </w:p>
        </w:tc>
        <w:tc>
          <w:tcPr>
            <w:tcW w:type="dxa" w:w="2986"/>
            <w:tcMar>
              <w:top w:w="60" w:type="dxa"/>
              <w:bottom w:w="60" w:type="dxa"/>
              <w:left w:w="100" w:type="dxa"/>
              <w:right w:w="100" w:type="dxa"/>
            </w:tcMar>
            <w:vAlign w:val="center"/>
          </w:tcPr>
          <w:p>
            <w:r/>
            <w:r>
              <w:rPr>
                <w:color w:val="3A3835"/>
                <w:sz w:val="18"/>
              </w:rPr>
              <w:t>License the AI document engine and construction-domain template library to a platform that already owns the trade-business relationship but lacks document generation depth</w:t>
            </w:r>
          </w:p>
        </w:tc>
        <w:tc>
          <w:tcPr>
            <w:tcW w:type="dxa" w:w="2986"/>
            <w:tcMar>
              <w:top w:w="60" w:type="dxa"/>
              <w:bottom w:w="60" w:type="dxa"/>
              <w:left w:w="100" w:type="dxa"/>
              <w:right w:w="100" w:type="dxa"/>
            </w:tcMar>
            <w:vAlign w:val="center"/>
          </w:tcPr>
          <w:p>
            <w:r/>
            <w:r>
              <w:rPr>
                <w:color w:val="3A3835"/>
                <w:sz w:val="18"/>
              </w:rPr>
              <w:t>Field-service platforms (ServiceM8-, AroFlo-, Tradify-scale players) seeking an AI document feature without building one natively</w:t>
            </w:r>
          </w:p>
        </w:tc>
      </w:tr>
      <w:tr>
        <w:tc>
          <w:tcPr>
            <w:tcW w:type="dxa" w:w="2986"/>
            <w:tcMar>
              <w:top w:w="60" w:type="dxa"/>
              <w:bottom w:w="60" w:type="dxa"/>
              <w:left w:w="100" w:type="dxa"/>
              <w:right w:w="100" w:type="dxa"/>
            </w:tcMar>
            <w:vAlign w:val="center"/>
            <w:shd w:val="clear" w:color="auto" w:fill="F2EFEA"/>
          </w:tcPr>
          <w:p>
            <w:r/>
            <w:r>
              <w:rPr>
                <w:color w:val="3A3835"/>
                <w:sz w:val="18"/>
              </w:rPr>
              <w:t>Embedded finance / compliance partner channel</w:t>
            </w:r>
          </w:p>
        </w:tc>
        <w:tc>
          <w:tcPr>
            <w:tcW w:type="dxa" w:w="2986"/>
            <w:tcMar>
              <w:top w:w="60" w:type="dxa"/>
              <w:bottom w:w="60" w:type="dxa"/>
              <w:left w:w="100" w:type="dxa"/>
              <w:right w:w="100" w:type="dxa"/>
            </w:tcMar>
            <w:vAlign w:val="center"/>
            <w:shd w:val="clear" w:color="auto" w:fill="F2EFEA"/>
          </w:tcPr>
          <w:p>
            <w:r/>
            <w:r>
              <w:rPr>
                <w:color w:val="3A3835"/>
                <w:sz w:val="18"/>
              </w:rPr>
              <w:t>Distribution partnership with an insurer, bank or surety provider that wants a compliance-quality documentation trail as a condition of a product (e.g. contract works insurance, payment protection)</w:t>
            </w:r>
          </w:p>
        </w:tc>
        <w:tc>
          <w:tcPr>
            <w:tcW w:type="dxa" w:w="2986"/>
            <w:tcMar>
              <w:top w:w="60" w:type="dxa"/>
              <w:bottom w:w="60" w:type="dxa"/>
              <w:left w:w="100" w:type="dxa"/>
              <w:right w:w="100" w:type="dxa"/>
            </w:tcMar>
            <w:vAlign w:val="center"/>
            <w:shd w:val="clear" w:color="auto" w:fill="F2EFEA"/>
          </w:tcPr>
          <w:p>
            <w:r/>
            <w:r>
              <w:rPr>
                <w:color w:val="3A3835"/>
                <w:sz w:val="18"/>
              </w:rPr>
              <w:t>Banking and insurance partners seeking reduced claims risk through better-documented projects</w:t>
            </w:r>
          </w:p>
        </w:tc>
      </w:tr>
      <w:tr>
        <w:tc>
          <w:tcPr>
            <w:tcW w:type="dxa" w:w="2986"/>
            <w:tcMar>
              <w:top w:w="60" w:type="dxa"/>
              <w:bottom w:w="60" w:type="dxa"/>
              <w:left w:w="100" w:type="dxa"/>
              <w:right w:w="100" w:type="dxa"/>
            </w:tcMar>
            <w:vAlign w:val="center"/>
          </w:tcPr>
          <w:p>
            <w:r/>
            <w:r>
              <w:rPr>
                <w:color w:val="3A3835"/>
                <w:sz w:val="18"/>
              </w:rPr>
              <w:t>Franchise / group builder rollout</w:t>
            </w:r>
          </w:p>
        </w:tc>
        <w:tc>
          <w:tcPr>
            <w:tcW w:type="dxa" w:w="2986"/>
            <w:tcMar>
              <w:top w:w="60" w:type="dxa"/>
              <w:bottom w:w="60" w:type="dxa"/>
              <w:left w:w="100" w:type="dxa"/>
              <w:right w:w="100" w:type="dxa"/>
            </w:tcMar>
            <w:vAlign w:val="center"/>
          </w:tcPr>
          <w:p>
            <w:r/>
            <w:r>
              <w:rPr>
                <w:color w:val="3A3835"/>
                <w:sz w:val="18"/>
              </w:rPr>
              <w:t>A single enterprise licence covering a franchise network or multi-branch building group, with centralised billing and branded output per branch</w:t>
            </w:r>
          </w:p>
        </w:tc>
        <w:tc>
          <w:tcPr>
            <w:tcW w:type="dxa" w:w="2986"/>
            <w:tcMar>
              <w:top w:w="60" w:type="dxa"/>
              <w:bottom w:w="60" w:type="dxa"/>
              <w:left w:w="100" w:type="dxa"/>
              <w:right w:w="100" w:type="dxa"/>
            </w:tcMar>
            <w:vAlign w:val="center"/>
          </w:tcPr>
          <w:p>
            <w:r/>
            <w:r>
              <w:rPr>
                <w:color w:val="3A3835"/>
                <w:sz w:val="18"/>
              </w:rPr>
              <w:t>National franchise renovation and building groups</w:t>
            </w:r>
          </w:p>
        </w:tc>
      </w:tr>
      <w:tr>
        <w:tc>
          <w:tcPr>
            <w:tcW w:type="dxa" w:w="2986"/>
            <w:tcMar>
              <w:top w:w="60" w:type="dxa"/>
              <w:bottom w:w="60" w:type="dxa"/>
              <w:left w:w="100" w:type="dxa"/>
              <w:right w:w="100" w:type="dxa"/>
            </w:tcMar>
            <w:vAlign w:val="center"/>
            <w:shd w:val="clear" w:color="auto" w:fill="F2EFEA"/>
          </w:tcPr>
          <w:p>
            <w:r/>
            <w:r>
              <w:rPr>
                <w:color w:val="3A3835"/>
                <w:sz w:val="18"/>
              </w:rPr>
              <w:t>API access for vertical software builders</w:t>
            </w:r>
          </w:p>
        </w:tc>
        <w:tc>
          <w:tcPr>
            <w:tcW w:type="dxa" w:w="2986"/>
            <w:tcMar>
              <w:top w:w="60" w:type="dxa"/>
              <w:bottom w:w="60" w:type="dxa"/>
              <w:left w:w="100" w:type="dxa"/>
              <w:right w:w="100" w:type="dxa"/>
            </w:tcMar>
            <w:vAlign w:val="center"/>
            <w:shd w:val="clear" w:color="auto" w:fill="F2EFEA"/>
          </w:tcPr>
          <w:p>
            <w:r/>
            <w:r>
              <w:rPr>
                <w:color w:val="3A3835"/>
                <w:sz w:val="18"/>
              </w:rPr>
              <w:t>Expose the document generation engine via API for adjacent software vendors to embed BIK-quality document output inside their own products</w:t>
            </w:r>
          </w:p>
        </w:tc>
        <w:tc>
          <w:tcPr>
            <w:tcW w:type="dxa" w:w="2986"/>
            <w:tcMar>
              <w:top w:w="60" w:type="dxa"/>
              <w:bottom w:w="60" w:type="dxa"/>
              <w:left w:w="100" w:type="dxa"/>
              <w:right w:w="100" w:type="dxa"/>
            </w:tcMar>
            <w:vAlign w:val="center"/>
            <w:shd w:val="clear" w:color="auto" w:fill="F2EFEA"/>
          </w:tcPr>
          <w:p>
            <w:r/>
            <w:r>
              <w:rPr>
                <w:color w:val="3A3835"/>
                <w:sz w:val="18"/>
              </w:rPr>
              <w:t>Adjacent AU trade software vendors without a document AI capability</w:t>
            </w:r>
          </w:p>
        </w:tc>
      </w:tr>
    </w:tbl>
    <w:p>
      <w:pPr>
        <w:spacing w:after="120"/>
      </w:pPr>
    </w:p>
    <w:p>
      <w:pPr>
        <w:pStyle w:val="BIKH1"/>
      </w:pPr>
      <w:r>
        <w:t>Preconditions Before Any Enterprise Motion</w:t>
      </w:r>
    </w:p>
    <w:p>
      <w:pPr>
        <w:pStyle w:val="ListBullet"/>
      </w:pPr>
      <w:r>
        <w:t>Team workspaces and role-based access live (Phase 3)</w:t>
      </w:r>
    </w:p>
    <w:p>
      <w:pPr>
        <w:pStyle w:val="ListBullet"/>
      </w:pPr>
      <w:r>
        <w:t>At least one live accounting or field-service integration in production, not just architected (Phase 3)</w:t>
      </w:r>
    </w:p>
    <w:p>
      <w:pPr>
        <w:pStyle w:val="ListBullet"/>
      </w:pPr>
      <w:r>
        <w:t>A dedicated compliance/legal review function, not ad hoc founder review (Chapter 10, Phase 3 organisational design)</w:t>
      </w:r>
    </w:p>
    <w:p>
      <w:pPr>
        <w:pStyle w:val="ListBullet"/>
      </w:pPr>
      <w:r>
        <w:t>A demonstrated retention track record — an enterprise partner is buying reliability, not a roadmap</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STRATEGIC SEQUENCING NOTE</w:t>
            </w:r>
          </w:p>
          <w:p>
            <w:r>
              <w:rPr>
                <w:color w:val="FFFFFF"/>
                <w:sz w:val="20"/>
              </w:rPr>
              <w:t>Enterprise and white-label conversations pursued before these preconditions are met risk damaging exactly the trust asset (Chapter 7) BIK is built on. This document explicitly recommends holding enterprise business development until Phase 3 infrastructure is live, not merely planned.</w:t>
            </w:r>
          </w:p>
        </w:tc>
      </w:tr>
    </w:tbl>
    <w:p>
      <w:pPr>
        <w:spacing w:after="80"/>
      </w:pPr>
    </w:p>
    <w:p>
      <w:pPr>
        <w:pStyle w:val="BIKChapterLabel"/>
      </w:pPr>
      <w:r>
        <w:t>PART G — ENTERPRISE &amp; ACQUISITION</w:t>
      </w:r>
    </w:p>
    <w:p>
      <w:pPr>
        <w:pStyle w:val="BIKChapterTitle"/>
        <w:pBdr>
          <w:bottom w:val="single" w:sz="18" w:space="8" w:color="D85A30"/>
        </w:pBdr>
      </w:pPr>
      <w:r>
        <w:t>23   International Expansion Strategy</w:t>
      </w:r>
    </w:p>
    <w:p>
      <w:pPr>
        <w:pStyle w:val="BIKH1"/>
      </w:pPr>
      <w:r>
        <w:t>Geographic Sequencing</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Phase</w:t>
            </w:r>
          </w:p>
        </w:tc>
        <w:tc>
          <w:tcPr>
            <w:tcW w:type="dxa" w:w="2986"/>
            <w:shd w:val="clear" w:color="auto" w:fill="252320"/>
            <w:tcMar>
              <w:top w:w="60" w:type="dxa"/>
              <w:bottom w:w="60" w:type="dxa"/>
              <w:left w:w="100" w:type="dxa"/>
              <w:right w:w="100" w:type="dxa"/>
            </w:tcMar>
            <w:vAlign w:val="center"/>
          </w:tcPr>
          <w:p>
            <w:r/>
            <w:r>
              <w:rPr>
                <w:b/>
                <w:color w:val="FFFFFF"/>
                <w:sz w:val="18"/>
              </w:rPr>
              <w:t>Geography</w:t>
            </w:r>
          </w:p>
        </w:tc>
        <w:tc>
          <w:tcPr>
            <w:tcW w:type="dxa" w:w="2986"/>
            <w:shd w:val="clear" w:color="auto" w:fill="252320"/>
            <w:tcMar>
              <w:top w:w="60" w:type="dxa"/>
              <w:bottom w:w="60" w:type="dxa"/>
              <w:left w:w="100" w:type="dxa"/>
              <w:right w:w="100" w:type="dxa"/>
            </w:tcMar>
            <w:vAlign w:val="center"/>
          </w:tcPr>
          <w:p>
            <w:r/>
            <w:r>
              <w:rPr>
                <w:b/>
                <w:color w:val="FFFFFF"/>
                <w:sz w:val="18"/>
              </w:rPr>
              <w:t>Rationale</w:t>
            </w:r>
          </w:p>
        </w:tc>
      </w:tr>
      <w:tr>
        <w:tc>
          <w:tcPr>
            <w:tcW w:type="dxa" w:w="2986"/>
            <w:tcMar>
              <w:top w:w="60" w:type="dxa"/>
              <w:bottom w:w="60" w:type="dxa"/>
              <w:left w:w="100" w:type="dxa"/>
              <w:right w:w="100" w:type="dxa"/>
            </w:tcMar>
            <w:vAlign w:val="center"/>
          </w:tcPr>
          <w:p>
            <w:r/>
            <w:r>
              <w:rPr>
                <w:color w:val="3A3835"/>
                <w:sz w:val="18"/>
              </w:rPr>
              <w:t>Phase 1–2</w:t>
            </w:r>
          </w:p>
        </w:tc>
        <w:tc>
          <w:tcPr>
            <w:tcW w:type="dxa" w:w="2986"/>
            <w:tcMar>
              <w:top w:w="60" w:type="dxa"/>
              <w:bottom w:w="60" w:type="dxa"/>
              <w:left w:w="100" w:type="dxa"/>
              <w:right w:w="100" w:type="dxa"/>
            </w:tcMar>
            <w:vAlign w:val="center"/>
          </w:tcPr>
          <w:p>
            <w:r/>
            <w:r>
              <w:rPr>
                <w:color w:val="3A3835"/>
                <w:sz w:val="18"/>
              </w:rPr>
              <w:t>South East Queensland, then Australia-wide (digital)</w:t>
            </w:r>
          </w:p>
        </w:tc>
        <w:tc>
          <w:tcPr>
            <w:tcW w:type="dxa" w:w="2986"/>
            <w:tcMar>
              <w:top w:w="60" w:type="dxa"/>
              <w:bottom w:w="60" w:type="dxa"/>
              <w:left w:w="100" w:type="dxa"/>
              <w:right w:w="100" w:type="dxa"/>
            </w:tcMar>
            <w:vAlign w:val="center"/>
          </w:tcPr>
          <w:p>
            <w:r/>
            <w:r>
              <w:rPr>
                <w:color w:val="3A3835"/>
                <w:sz w:val="18"/>
              </w:rPr>
              <w:t>Local credibility first, exploiting the trades business's existing regional reputation, before scaling digitally nationwide</w:t>
            </w:r>
          </w:p>
        </w:tc>
      </w:tr>
      <w:tr>
        <w:tc>
          <w:tcPr>
            <w:tcW w:type="dxa" w:w="2986"/>
            <w:tcMar>
              <w:top w:w="60" w:type="dxa"/>
              <w:bottom w:w="60" w:type="dxa"/>
              <w:left w:w="100" w:type="dxa"/>
              <w:right w:w="100" w:type="dxa"/>
            </w:tcMar>
            <w:vAlign w:val="center"/>
            <w:shd w:val="clear" w:color="auto" w:fill="F2EFEA"/>
          </w:tcPr>
          <w:p>
            <w:r/>
            <w:r>
              <w:rPr>
                <w:color w:val="3A3835"/>
                <w:sz w:val="18"/>
              </w:rPr>
              <w:t>Phase 3</w:t>
            </w:r>
          </w:p>
        </w:tc>
        <w:tc>
          <w:tcPr>
            <w:tcW w:type="dxa" w:w="2986"/>
            <w:tcMar>
              <w:top w:w="60" w:type="dxa"/>
              <w:bottom w:w="60" w:type="dxa"/>
              <w:left w:w="100" w:type="dxa"/>
              <w:right w:w="100" w:type="dxa"/>
            </w:tcMar>
            <w:vAlign w:val="center"/>
            <w:shd w:val="clear" w:color="auto" w:fill="F2EFEA"/>
          </w:tcPr>
          <w:p>
            <w:r/>
            <w:r>
              <w:rPr>
                <w:color w:val="3A3835"/>
                <w:sz w:val="18"/>
              </w:rPr>
              <w:t>Australia + New Zealand</w:t>
            </w:r>
          </w:p>
        </w:tc>
        <w:tc>
          <w:tcPr>
            <w:tcW w:type="dxa" w:w="2986"/>
            <w:tcMar>
              <w:top w:w="60" w:type="dxa"/>
              <w:bottom w:w="60" w:type="dxa"/>
              <w:left w:w="100" w:type="dxa"/>
              <w:right w:w="100" w:type="dxa"/>
            </w:tcMar>
            <w:vAlign w:val="center"/>
            <w:shd w:val="clear" w:color="auto" w:fill="F2EFEA"/>
          </w:tcPr>
          <w:p>
            <w:r/>
            <w:r>
              <w:rPr>
                <w:color w:val="3A3835"/>
                <w:sz w:val="18"/>
              </w:rPr>
              <w:t>NZ shares close regulatory and cultural similarity, a common trade-software competitive set (Fergus is NZ-founded), and requires no product rebuild — only localisation of compliance references</w:t>
            </w:r>
          </w:p>
        </w:tc>
      </w:tr>
      <w:tr>
        <w:tc>
          <w:tcPr>
            <w:tcW w:type="dxa" w:w="2986"/>
            <w:tcMar>
              <w:top w:w="60" w:type="dxa"/>
              <w:bottom w:w="60" w:type="dxa"/>
              <w:left w:w="100" w:type="dxa"/>
              <w:right w:w="100" w:type="dxa"/>
            </w:tcMar>
            <w:vAlign w:val="center"/>
          </w:tcPr>
          <w:p>
            <w:r/>
            <w:r>
              <w:rPr>
                <w:color w:val="3A3835"/>
                <w:sz w:val="18"/>
              </w:rPr>
              <w:t>Phase 4+</w:t>
            </w:r>
          </w:p>
        </w:tc>
        <w:tc>
          <w:tcPr>
            <w:tcW w:type="dxa" w:w="2986"/>
            <w:tcMar>
              <w:top w:w="60" w:type="dxa"/>
              <w:bottom w:w="60" w:type="dxa"/>
              <w:left w:w="100" w:type="dxa"/>
              <w:right w:w="100" w:type="dxa"/>
            </w:tcMar>
            <w:vAlign w:val="center"/>
          </w:tcPr>
          <w:p>
            <w:r/>
            <w:r>
              <w:rPr>
                <w:color w:val="3A3835"/>
                <w:sz w:val="18"/>
              </w:rPr>
              <w:t>Selective export — UK, Canada</w:t>
            </w:r>
          </w:p>
        </w:tc>
        <w:tc>
          <w:tcPr>
            <w:tcW w:type="dxa" w:w="2986"/>
            <w:tcMar>
              <w:top w:w="60" w:type="dxa"/>
              <w:bottom w:w="60" w:type="dxa"/>
              <w:left w:w="100" w:type="dxa"/>
              <w:right w:w="100" w:type="dxa"/>
            </w:tcMar>
            <w:vAlign w:val="center"/>
          </w:tcPr>
          <w:p>
            <w:r/>
            <w:r>
              <w:rPr>
                <w:color w:val="3A3835"/>
                <w:sz w:val="18"/>
              </w:rPr>
              <w:t>Common-law construction contract structures and mature vertical SaaS markets; requires materially more localisation (WHS-equivalent regimes, local security-of-payment law) and is treated as optionality, not a committed roadmap item</w:t>
            </w:r>
          </w:p>
        </w:tc>
      </w:tr>
    </w:tbl>
    <w:p>
      <w:pPr>
        <w:spacing w:after="120"/>
      </w:pPr>
    </w:p>
    <w:p>
      <w:pPr>
        <w:pStyle w:val="BIKH1"/>
      </w:pPr>
      <w:r>
        <w:t>What Expansion Requires That Isn't Yet Built</w:t>
      </w:r>
    </w:p>
    <w:p>
      <w:pPr>
        <w:pStyle w:val="ListBullet"/>
      </w:pPr>
      <w:r>
        <w:rPr>
          <w:b/>
          <w:color w:val="252320"/>
        </w:rPr>
        <w:t xml:space="preserve">Jurisdictional legal review per market. </w:t>
      </w:r>
      <w:r>
        <w:t>The Legal and Safety Tool Register (Chapter 27) is Australia-specific; every new jurisdiction requires its own equivalent register before high-risk document types can ship there.</w:t>
      </w:r>
    </w:p>
    <w:p>
      <w:pPr>
        <w:pStyle w:val="ListBullet"/>
      </w:pPr>
      <w:r>
        <w:rPr>
          <w:b/>
          <w:color w:val="252320"/>
        </w:rPr>
        <w:t xml:space="preserve">Localisation beyond translation. </w:t>
      </w:r>
      <w:r>
        <w:t>Even NZ requires re-mapping security-of-payment references, WHS-equivalent (HSWA) terminology, and local tax treatment (GST rate and rules differ).</w:t>
      </w:r>
    </w:p>
    <w:p>
      <w:pPr>
        <w:pStyle w:val="ListBullet"/>
      </w:pPr>
      <w:r>
        <w:rPr>
          <w:b/>
          <w:color w:val="252320"/>
        </w:rPr>
        <w:t xml:space="preserve">Local trust-building channel work. </w:t>
      </w:r>
      <w:r>
        <w:t>The founder-market-fit advantage (Chapter 7) does not automatically transfer across a border — a genuine local presence or partnership is likely required for the same trust dynamic to apply.</w:t>
      </w:r>
    </w:p>
    <w:p>
      <w:pPr>
        <w:pStyle w:val="BIKBody"/>
        <w:jc w:val="both"/>
      </w:pPr>
      <w:r>
        <w:t>International expansion is deliberately sequenced after, not instead of, Australian market depth. A premature move offshore before achieving Phase 3 Australian milestones would dilute both product focus and the trust-based differentiation this document argues is BIK's core moat (Chapter 7). New Zealand is the only market with a committed phase and date; UK and Canada are named as directional optionality only.</w:t>
      </w:r>
    </w:p>
    <w:p>
      <w:pPr>
        <w:pStyle w:val="BIKChapterLabel"/>
      </w:pPr>
      <w:r>
        <w:t>PART G — ENTERPRISE &amp; ACQUISITION</w:t>
      </w:r>
    </w:p>
    <w:p>
      <w:pPr>
        <w:pStyle w:val="BIKChapterTitle"/>
        <w:pBdr>
          <w:bottom w:val="single" w:sz="18" w:space="8" w:color="D85A30"/>
        </w:pBdr>
      </w:pPr>
      <w:r>
        <w:t>24   Acquisition Strategy: Standalone Business or Acquisition Target?</w:t>
      </w:r>
    </w:p>
    <w:p>
      <w:pPr>
        <w:pStyle w:val="BIKH1"/>
      </w:pPr>
      <w:r>
        <w:t>The Question That Deserves a Direct Answer</w:t>
      </w:r>
    </w:p>
    <w:p>
      <w:pPr>
        <w:pStyle w:val="BIKBody"/>
        <w:jc w:val="both"/>
      </w:pPr>
      <w:r>
        <w:t>Is BIK ultimately a standalone SaaS business, or does it become a highly attractive acquisition target? The honest answer is that these are not mutually exclusive paths, and the right strategic posture is to build a business that is genuinely capable of either outcome — because optionality itself is valuable, and because the milestones that make BIK a stronger standalone business are, with very few exceptions, the same milestones that make it a more attractive acquisition target.</w:t>
      </w:r>
    </w:p>
    <w:p>
      <w:pPr>
        <w:jc w:val="center"/>
      </w:pPr>
      <w:r>
        <w:drawing>
          <wp:inline xmlns:a="http://schemas.openxmlformats.org/drawingml/2006/main" xmlns:pic="http://schemas.openxmlformats.org/drawingml/2006/picture">
            <wp:extent cx="6035040" cy="5449239"/>
            <wp:docPr id="16" name="Picture 16"/>
            <wp:cNvGraphicFramePr>
              <a:graphicFrameLocks noChangeAspect="1"/>
            </wp:cNvGraphicFramePr>
            <a:graphic>
              <a:graphicData uri="http://schemas.openxmlformats.org/drawingml/2006/picture">
                <pic:pic>
                  <pic:nvPicPr>
                    <pic:cNvPr id="0" name="acquisition_landscape.png"/>
                    <pic:cNvPicPr/>
                  </pic:nvPicPr>
                  <pic:blipFill>
                    <a:blip r:embed="rId24"/>
                    <a:stretch>
                      <a:fillRect/>
                    </a:stretch>
                  </pic:blipFill>
                  <pic:spPr>
                    <a:xfrm>
                      <a:off x="0" y="0"/>
                      <a:ext cx="6035040" cy="5449239"/>
                    </a:xfrm>
                    <a:prstGeom prst="rect"/>
                  </pic:spPr>
                </pic:pic>
              </a:graphicData>
            </a:graphic>
          </wp:inline>
        </w:drawing>
      </w:r>
    </w:p>
    <w:p>
      <w:pPr>
        <w:pStyle w:val="BIKCaption"/>
        <w:jc w:val="center"/>
      </w:pPr>
      <w:r>
        <w:t>Figure 24.1 — Acquisition landscape map: illustrative positioning of potential acquirers</w:t>
      </w:r>
    </w:p>
    <w:p>
      <w:pPr>
        <w:pStyle w:val="BIKH1"/>
      </w:pPr>
      <w:r>
        <w:t>Categories of Potential Acquirer</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Acquirer category</w:t>
            </w:r>
          </w:p>
        </w:tc>
        <w:tc>
          <w:tcPr>
            <w:tcW w:type="dxa" w:w="2986"/>
            <w:shd w:val="clear" w:color="auto" w:fill="252320"/>
            <w:tcMar>
              <w:top w:w="60" w:type="dxa"/>
              <w:bottom w:w="60" w:type="dxa"/>
              <w:left w:w="100" w:type="dxa"/>
              <w:right w:w="100" w:type="dxa"/>
            </w:tcMar>
            <w:vAlign w:val="center"/>
          </w:tcPr>
          <w:p>
            <w:r/>
            <w:r>
              <w:rPr>
                <w:b/>
                <w:color w:val="FFFFFF"/>
                <w:sz w:val="18"/>
              </w:rPr>
              <w:t>Why they would buy BIK</w:t>
            </w:r>
          </w:p>
        </w:tc>
        <w:tc>
          <w:tcPr>
            <w:tcW w:type="dxa" w:w="2986"/>
            <w:shd w:val="clear" w:color="auto" w:fill="252320"/>
            <w:tcMar>
              <w:top w:w="60" w:type="dxa"/>
              <w:bottom w:w="60" w:type="dxa"/>
              <w:left w:w="100" w:type="dxa"/>
              <w:right w:w="100" w:type="dxa"/>
            </w:tcMar>
            <w:vAlign w:val="center"/>
          </w:tcPr>
          <w:p>
            <w:r/>
            <w:r>
              <w:rPr>
                <w:b/>
                <w:color w:val="FFFFFF"/>
                <w:sz w:val="18"/>
              </w:rPr>
              <w:t>What they would value most</w:t>
            </w:r>
          </w:p>
        </w:tc>
      </w:tr>
      <w:tr>
        <w:tc>
          <w:tcPr>
            <w:tcW w:type="dxa" w:w="2986"/>
            <w:tcMar>
              <w:top w:w="60" w:type="dxa"/>
              <w:bottom w:w="60" w:type="dxa"/>
              <w:left w:w="100" w:type="dxa"/>
              <w:right w:w="100" w:type="dxa"/>
            </w:tcMar>
            <w:vAlign w:val="center"/>
          </w:tcPr>
          <w:p>
            <w:r/>
            <w:r>
              <w:rPr>
                <w:color w:val="3A3835"/>
                <w:sz w:val="18"/>
              </w:rPr>
              <w:t>Accounting platforms (Xero, MYOB, QuickBooks)</w:t>
            </w:r>
          </w:p>
        </w:tc>
        <w:tc>
          <w:tcPr>
            <w:tcW w:type="dxa" w:w="2986"/>
            <w:tcMar>
              <w:top w:w="60" w:type="dxa"/>
              <w:bottom w:w="60" w:type="dxa"/>
              <w:left w:w="100" w:type="dxa"/>
              <w:right w:w="100" w:type="dxa"/>
            </w:tcMar>
            <w:vAlign w:val="center"/>
          </w:tcPr>
          <w:p>
            <w:r/>
            <w:r>
              <w:rPr>
                <w:color w:val="3A3835"/>
                <w:sz w:val="18"/>
              </w:rPr>
              <w:t>Vertical expansion into the document-generation layer that sits just upstream of their own invoicing and reconciliation workflows</w:t>
            </w:r>
          </w:p>
        </w:tc>
        <w:tc>
          <w:tcPr>
            <w:tcW w:type="dxa" w:w="2986"/>
            <w:tcMar>
              <w:top w:w="60" w:type="dxa"/>
              <w:bottom w:w="60" w:type="dxa"/>
              <w:left w:w="100" w:type="dxa"/>
              <w:right w:w="100" w:type="dxa"/>
            </w:tcMar>
            <w:vAlign w:val="center"/>
          </w:tcPr>
          <w:p>
            <w:r/>
            <w:r>
              <w:rPr>
                <w:color w:val="3A3835"/>
                <w:sz w:val="18"/>
              </w:rPr>
              <w:t>The construction-domain schema, the existing user base of AU trades, and the integration layer already built toward their own APIs</w:t>
            </w:r>
          </w:p>
        </w:tc>
      </w:tr>
      <w:tr>
        <w:tc>
          <w:tcPr>
            <w:tcW w:type="dxa" w:w="2986"/>
            <w:tcMar>
              <w:top w:w="60" w:type="dxa"/>
              <w:bottom w:w="60" w:type="dxa"/>
              <w:left w:w="100" w:type="dxa"/>
              <w:right w:w="100" w:type="dxa"/>
            </w:tcMar>
            <w:vAlign w:val="center"/>
            <w:shd w:val="clear" w:color="auto" w:fill="F2EFEA"/>
          </w:tcPr>
          <w:p>
            <w:r/>
            <w:r>
              <w:rPr>
                <w:color w:val="3A3835"/>
                <w:sz w:val="18"/>
              </w:rPr>
              <w:t>Field-service / job-management platforms (ServiceM8, simPRO, AroFlo, Tradify, Fergus)</w:t>
            </w:r>
          </w:p>
        </w:tc>
        <w:tc>
          <w:tcPr>
            <w:tcW w:type="dxa" w:w="2986"/>
            <w:tcMar>
              <w:top w:w="60" w:type="dxa"/>
              <w:bottom w:w="60" w:type="dxa"/>
              <w:left w:w="100" w:type="dxa"/>
              <w:right w:w="100" w:type="dxa"/>
            </w:tcMar>
            <w:vAlign w:val="center"/>
            <w:shd w:val="clear" w:color="auto" w:fill="F2EFEA"/>
          </w:tcPr>
          <w:p>
            <w:r/>
            <w:r>
              <w:rPr>
                <w:color w:val="3A3835"/>
                <w:sz w:val="18"/>
              </w:rPr>
              <w:t>Closing their own document-generation and compliance gap without building it natively</w:t>
            </w:r>
          </w:p>
        </w:tc>
        <w:tc>
          <w:tcPr>
            <w:tcW w:type="dxa" w:w="2986"/>
            <w:tcMar>
              <w:top w:w="60" w:type="dxa"/>
              <w:bottom w:w="60" w:type="dxa"/>
              <w:left w:w="100" w:type="dxa"/>
              <w:right w:w="100" w:type="dxa"/>
            </w:tcMar>
            <w:vAlign w:val="center"/>
            <w:shd w:val="clear" w:color="auto" w:fill="F2EFEA"/>
          </w:tcPr>
          <w:p>
            <w:r/>
            <w:r>
              <w:rPr>
                <w:color w:val="3A3835"/>
                <w:sz w:val="18"/>
              </w:rPr>
              <w:t>The AI document engine, the template library, and the trust/governance track record</w:t>
            </w:r>
          </w:p>
        </w:tc>
      </w:tr>
      <w:tr>
        <w:tc>
          <w:tcPr>
            <w:tcW w:type="dxa" w:w="2986"/>
            <w:tcMar>
              <w:top w:w="60" w:type="dxa"/>
              <w:bottom w:w="60" w:type="dxa"/>
              <w:left w:w="100" w:type="dxa"/>
              <w:right w:w="100" w:type="dxa"/>
            </w:tcMar>
            <w:vAlign w:val="center"/>
          </w:tcPr>
          <w:p>
            <w:r/>
            <w:r>
              <w:rPr>
                <w:color w:val="3A3835"/>
                <w:sz w:val="18"/>
              </w:rPr>
              <w:t>Enterprise construction software (Procore, Autodesk Construction Cloud)</w:t>
            </w:r>
          </w:p>
        </w:tc>
        <w:tc>
          <w:tcPr>
            <w:tcW w:type="dxa" w:w="2986"/>
            <w:tcMar>
              <w:top w:w="60" w:type="dxa"/>
              <w:bottom w:w="60" w:type="dxa"/>
              <w:left w:w="100" w:type="dxa"/>
              <w:right w:w="100" w:type="dxa"/>
            </w:tcMar>
            <w:vAlign w:val="center"/>
          </w:tcPr>
          <w:p>
            <w:r/>
            <w:r>
              <w:rPr>
                <w:color w:val="3A3835"/>
                <w:sz w:val="18"/>
              </w:rPr>
              <w:t>An SME-channel play — a credible way to reach the 1–20 person business segment they do not naturally serve</w:t>
            </w:r>
          </w:p>
        </w:tc>
        <w:tc>
          <w:tcPr>
            <w:tcW w:type="dxa" w:w="2986"/>
            <w:tcMar>
              <w:top w:w="60" w:type="dxa"/>
              <w:bottom w:w="60" w:type="dxa"/>
              <w:left w:w="100" w:type="dxa"/>
              <w:right w:w="100" w:type="dxa"/>
            </w:tcMar>
            <w:vAlign w:val="center"/>
          </w:tcPr>
          <w:p>
            <w:r/>
            <w:r>
              <w:rPr>
                <w:color w:val="3A3835"/>
                <w:sz w:val="18"/>
              </w:rPr>
              <w:t>Distribution into a segment they structurally cannot reach profitably themselves</w:t>
            </w:r>
          </w:p>
        </w:tc>
      </w:tr>
      <w:tr>
        <w:tc>
          <w:tcPr>
            <w:tcW w:type="dxa" w:w="2986"/>
            <w:tcMar>
              <w:top w:w="60" w:type="dxa"/>
              <w:bottom w:w="60" w:type="dxa"/>
              <w:left w:w="100" w:type="dxa"/>
              <w:right w:w="100" w:type="dxa"/>
            </w:tcMar>
            <w:vAlign w:val="center"/>
            <w:shd w:val="clear" w:color="auto" w:fill="F2EFEA"/>
          </w:tcPr>
          <w:p>
            <w:r/>
            <w:r>
              <w:rPr>
                <w:color w:val="3A3835"/>
                <w:sz w:val="18"/>
              </w:rPr>
              <w:t>Private equity — vertical SaaS roll-up</w:t>
            </w:r>
          </w:p>
        </w:tc>
        <w:tc>
          <w:tcPr>
            <w:tcW w:type="dxa" w:w="2986"/>
            <w:tcMar>
              <w:top w:w="60" w:type="dxa"/>
              <w:bottom w:w="60" w:type="dxa"/>
              <w:left w:w="100" w:type="dxa"/>
              <w:right w:w="100" w:type="dxa"/>
            </w:tcMar>
            <w:vAlign w:val="center"/>
            <w:shd w:val="clear" w:color="auto" w:fill="F2EFEA"/>
          </w:tcPr>
          <w:p>
            <w:r/>
            <w:r>
              <w:rPr>
                <w:color w:val="3A3835"/>
                <w:sz w:val="18"/>
              </w:rPr>
              <w:t>A consolidation thesis across AU/NZ trade software, with BIK as either a platform or a bolt-on asset</w:t>
            </w:r>
          </w:p>
        </w:tc>
        <w:tc>
          <w:tcPr>
            <w:tcW w:type="dxa" w:w="2986"/>
            <w:tcMar>
              <w:top w:w="60" w:type="dxa"/>
              <w:bottom w:w="60" w:type="dxa"/>
              <w:left w:w="100" w:type="dxa"/>
              <w:right w:w="100" w:type="dxa"/>
            </w:tcMar>
            <w:vAlign w:val="center"/>
            <w:shd w:val="clear" w:color="auto" w:fill="F2EFEA"/>
          </w:tcPr>
          <w:p>
            <w:r/>
            <w:r>
              <w:rPr>
                <w:color w:val="3A3835"/>
                <w:sz w:val="18"/>
              </w:rPr>
              <w:t>Recurring revenue quality, retention metrics, and a defensible niche</w:t>
            </w:r>
          </w:p>
        </w:tc>
      </w:tr>
      <w:tr>
        <w:tc>
          <w:tcPr>
            <w:tcW w:type="dxa" w:w="2986"/>
            <w:tcMar>
              <w:top w:w="60" w:type="dxa"/>
              <w:bottom w:w="60" w:type="dxa"/>
              <w:left w:w="100" w:type="dxa"/>
              <w:right w:w="100" w:type="dxa"/>
            </w:tcMar>
            <w:vAlign w:val="center"/>
          </w:tcPr>
          <w:p>
            <w:r/>
            <w:r>
              <w:rPr>
                <w:color w:val="3A3835"/>
                <w:sz w:val="18"/>
              </w:rPr>
              <w:t>Strategic — insurance / banking</w:t>
            </w:r>
          </w:p>
        </w:tc>
        <w:tc>
          <w:tcPr>
            <w:tcW w:type="dxa" w:w="2986"/>
            <w:tcMar>
              <w:top w:w="60" w:type="dxa"/>
              <w:bottom w:w="60" w:type="dxa"/>
              <w:left w:w="100" w:type="dxa"/>
              <w:right w:w="100" w:type="dxa"/>
            </w:tcMar>
            <w:vAlign w:val="center"/>
          </w:tcPr>
          <w:p>
            <w:r/>
            <w:r>
              <w:rPr>
                <w:color w:val="3A3835"/>
                <w:sz w:val="18"/>
              </w:rPr>
              <w:t>Embedded finance and risk-reduction data plays — better-documented projects are lower-risk projects</w:t>
            </w:r>
          </w:p>
        </w:tc>
        <w:tc>
          <w:tcPr>
            <w:tcW w:type="dxa" w:w="2986"/>
            <w:tcMar>
              <w:top w:w="60" w:type="dxa"/>
              <w:bottom w:w="60" w:type="dxa"/>
              <w:left w:w="100" w:type="dxa"/>
              <w:right w:w="100" w:type="dxa"/>
            </w:tcMar>
            <w:vAlign w:val="center"/>
          </w:tcPr>
          <w:p>
            <w:r/>
            <w:r>
              <w:rPr>
                <w:color w:val="3A3835"/>
                <w:sz w:val="18"/>
              </w:rPr>
              <w:t>The compliance-grade documentation trail and the distribution into trade businesses it represents</w:t>
            </w:r>
          </w:p>
        </w:tc>
      </w:tr>
    </w:tbl>
    <w:p>
      <w:pPr>
        <w:spacing w:after="120"/>
      </w:pPr>
    </w:p>
    <w:p>
      <w:pPr>
        <w:pStyle w:val="BIKH1"/>
      </w:pPr>
      <w:r>
        <w:t>Milestones That Materially Increase Acquisition Value</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Milestone</w:t>
            </w:r>
          </w:p>
        </w:tc>
        <w:tc>
          <w:tcPr>
            <w:tcW w:type="dxa" w:w="4479"/>
            <w:shd w:val="clear" w:color="auto" w:fill="252320"/>
            <w:tcMar>
              <w:top w:w="60" w:type="dxa"/>
              <w:bottom w:w="60" w:type="dxa"/>
              <w:left w:w="100" w:type="dxa"/>
              <w:right w:w="100" w:type="dxa"/>
            </w:tcMar>
            <w:vAlign w:val="center"/>
          </w:tcPr>
          <w:p>
            <w:r/>
            <w:r>
              <w:rPr>
                <w:b/>
                <w:color w:val="FFFFFF"/>
                <w:sz w:val="18"/>
              </w:rPr>
              <w:t>Why an acquirer would pay more after it</w:t>
            </w:r>
          </w:p>
        </w:tc>
      </w:tr>
      <w:tr>
        <w:tc>
          <w:tcPr>
            <w:tcW w:type="dxa" w:w="4479"/>
            <w:tcMar>
              <w:top w:w="60" w:type="dxa"/>
              <w:bottom w:w="60" w:type="dxa"/>
              <w:left w:w="100" w:type="dxa"/>
              <w:right w:w="100" w:type="dxa"/>
            </w:tcMar>
            <w:vAlign w:val="center"/>
          </w:tcPr>
          <w:p>
            <w:r/>
            <w:r>
              <w:rPr>
                <w:color w:val="3A3835"/>
                <w:sz w:val="18"/>
              </w:rPr>
              <w:t>500+ paying subscribers with net revenue retention above 100%</w:t>
            </w:r>
          </w:p>
        </w:tc>
        <w:tc>
          <w:tcPr>
            <w:tcW w:type="dxa" w:w="4479"/>
            <w:tcMar>
              <w:top w:w="60" w:type="dxa"/>
              <w:bottom w:w="60" w:type="dxa"/>
              <w:left w:w="100" w:type="dxa"/>
              <w:right w:w="100" w:type="dxa"/>
            </w:tcMar>
            <w:vAlign w:val="center"/>
          </w:tcPr>
          <w:p>
            <w:r/>
            <w:r>
              <w:rPr>
                <w:color w:val="3A3835"/>
                <w:sz w:val="18"/>
              </w:rPr>
              <w:t>Proves the product is not just adopted but expanded within accounts — the single most valuable SaaS acquisition signal</w:t>
            </w:r>
          </w:p>
        </w:tc>
      </w:tr>
      <w:tr>
        <w:tc>
          <w:tcPr>
            <w:tcW w:type="dxa" w:w="4479"/>
            <w:tcMar>
              <w:top w:w="60" w:type="dxa"/>
              <w:bottom w:w="60" w:type="dxa"/>
              <w:left w:w="100" w:type="dxa"/>
              <w:right w:w="100" w:type="dxa"/>
            </w:tcMar>
            <w:vAlign w:val="center"/>
            <w:shd w:val="clear" w:color="auto" w:fill="F2EFEA"/>
          </w:tcPr>
          <w:p>
            <w:r/>
            <w:r>
              <w:rPr>
                <w:color w:val="3A3835"/>
                <w:sz w:val="18"/>
              </w:rPr>
              <w:t>At least one live, production accounting/field-service integration</w:t>
            </w:r>
          </w:p>
        </w:tc>
        <w:tc>
          <w:tcPr>
            <w:tcW w:type="dxa" w:w="4479"/>
            <w:tcMar>
              <w:top w:w="60" w:type="dxa"/>
              <w:bottom w:w="60" w:type="dxa"/>
              <w:left w:w="100" w:type="dxa"/>
              <w:right w:w="100" w:type="dxa"/>
            </w:tcMar>
            <w:vAlign w:val="center"/>
            <w:shd w:val="clear" w:color="auto" w:fill="F2EFEA"/>
          </w:tcPr>
          <w:p>
            <w:r/>
            <w:r>
              <w:rPr>
                <w:color w:val="3A3835"/>
                <w:sz w:val="18"/>
              </w:rPr>
              <w:t>Converts BIK from "a nice tool" into "infrastructure already wired into the systems we'd need to migrate off" for an acquirer</w:t>
            </w:r>
          </w:p>
        </w:tc>
      </w:tr>
      <w:tr>
        <w:tc>
          <w:tcPr>
            <w:tcW w:type="dxa" w:w="4479"/>
            <w:tcMar>
              <w:top w:w="60" w:type="dxa"/>
              <w:bottom w:w="60" w:type="dxa"/>
              <w:left w:w="100" w:type="dxa"/>
              <w:right w:w="100" w:type="dxa"/>
            </w:tcMar>
            <w:vAlign w:val="center"/>
          </w:tcPr>
          <w:p>
            <w:r/>
            <w:r>
              <w:rPr>
                <w:color w:val="3A3835"/>
                <w:sz w:val="18"/>
              </w:rPr>
              <w:t>A clean multi-quarter legal/compliance record</w:t>
            </w:r>
          </w:p>
        </w:tc>
        <w:tc>
          <w:tcPr>
            <w:tcW w:type="dxa" w:w="4479"/>
            <w:tcMar>
              <w:top w:w="60" w:type="dxa"/>
              <w:bottom w:w="60" w:type="dxa"/>
              <w:left w:w="100" w:type="dxa"/>
              <w:right w:w="100" w:type="dxa"/>
            </w:tcMar>
            <w:vAlign w:val="center"/>
          </w:tcPr>
          <w:p>
            <w:r/>
            <w:r>
              <w:rPr>
                <w:color w:val="3A3835"/>
                <w:sz w:val="18"/>
              </w:rPr>
              <w:t>Directly de-risks the acquirer's own liability exposure in absorbing BIK's AI-generated content into their brand</w:t>
            </w:r>
          </w:p>
        </w:tc>
      </w:tr>
      <w:tr>
        <w:tc>
          <w:tcPr>
            <w:tcW w:type="dxa" w:w="4479"/>
            <w:tcMar>
              <w:top w:w="60" w:type="dxa"/>
              <w:bottom w:w="60" w:type="dxa"/>
              <w:left w:w="100" w:type="dxa"/>
              <w:right w:w="100" w:type="dxa"/>
            </w:tcMar>
            <w:vAlign w:val="center"/>
            <w:shd w:val="clear" w:color="auto" w:fill="F2EFEA"/>
          </w:tcPr>
          <w:p>
            <w:r/>
            <w:r>
              <w:rPr>
                <w:color w:val="3A3835"/>
                <w:sz w:val="18"/>
              </w:rPr>
              <w:t>A demonstrated enterprise or white-label pilot</w:t>
            </w:r>
          </w:p>
        </w:tc>
        <w:tc>
          <w:tcPr>
            <w:tcW w:type="dxa" w:w="4479"/>
            <w:tcMar>
              <w:top w:w="60" w:type="dxa"/>
              <w:bottom w:w="60" w:type="dxa"/>
              <w:left w:w="100" w:type="dxa"/>
              <w:right w:w="100" w:type="dxa"/>
            </w:tcMar>
            <w:vAlign w:val="center"/>
            <w:shd w:val="clear" w:color="auto" w:fill="F2EFEA"/>
          </w:tcPr>
          <w:p>
            <w:r/>
            <w:r>
              <w:rPr>
                <w:color w:val="3A3835"/>
                <w:sz w:val="18"/>
              </w:rPr>
              <w:t>Proves the business model extends beyond direct-to-SME subscription, widening the acquirer's own post-acquisition upside case</w:t>
            </w:r>
          </w:p>
        </w:tc>
      </w:tr>
      <w:tr>
        <w:tc>
          <w:tcPr>
            <w:tcW w:type="dxa" w:w="4479"/>
            <w:tcMar>
              <w:top w:w="60" w:type="dxa"/>
              <w:bottom w:w="60" w:type="dxa"/>
              <w:left w:w="100" w:type="dxa"/>
              <w:right w:w="100" w:type="dxa"/>
            </w:tcMar>
            <w:vAlign w:val="center"/>
          </w:tcPr>
          <w:p>
            <w:r/>
            <w:r>
              <w:rPr>
                <w:color w:val="3A3835"/>
                <w:sz w:val="18"/>
              </w:rPr>
              <w:t>A named, retained founding team post-transaction interest</w:t>
            </w:r>
          </w:p>
        </w:tc>
        <w:tc>
          <w:tcPr>
            <w:tcW w:type="dxa" w:w="4479"/>
            <w:tcMar>
              <w:top w:w="60" w:type="dxa"/>
              <w:bottom w:w="60" w:type="dxa"/>
              <w:left w:w="100" w:type="dxa"/>
              <w:right w:w="100" w:type="dxa"/>
            </w:tcMar>
            <w:vAlign w:val="center"/>
          </w:tcPr>
          <w:p>
            <w:r/>
            <w:r>
              <w:rPr>
                <w:color w:val="3A3835"/>
                <w:sz w:val="18"/>
              </w:rPr>
              <w:t>Reduces key-person risk (Chapter 26) that would otherwise discount any offer materially</w:t>
            </w:r>
          </w:p>
        </w:tc>
      </w:tr>
    </w:tbl>
    <w:p>
      <w:pPr>
        <w:spacing w:after="120"/>
      </w:pP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THE STRATEGIC RECOMMENDATION</w:t>
            </w:r>
          </w:p>
          <w:p>
            <w:r>
              <w:rPr>
                <w:color w:val="FFFFFF"/>
                <w:sz w:val="20"/>
              </w:rPr>
              <w:t>Do not build toward acquisition as the goal. Build the standalone business described in Chapters 8–21 with real conviction; treat every acquisition conversation that arrives along the way as a genuine option to evaluate against the standalone path at that moment, using the milestone table above as the shared yardstick for both paths. This is the posture most likely to produce the best outcome under either scenario, because a credible standalone trajectory is also the single best negotiating position in any acquisition discussion.</w:t>
            </w:r>
          </w:p>
        </w:tc>
      </w:tr>
    </w:tbl>
    <w:p>
      <w:pPr>
        <w:spacing w:after="80"/>
      </w:pPr>
    </w:p>
    <w:p>
      <w:pPr>
        <w:pStyle w:val="BIKChapterLabel"/>
      </w:pPr>
      <w:r>
        <w:t>PART G — ENTERPRISE &amp; ACQUISITION</w:t>
      </w:r>
    </w:p>
    <w:p>
      <w:pPr>
        <w:pStyle w:val="BIKChapterTitle"/>
        <w:pBdr>
          <w:bottom w:val="single" w:sz="18" w:space="8" w:color="D85A30"/>
        </w:pBdr>
      </w:pPr>
      <w:r>
        <w:t>25   Acquisition Scenarios &amp; Exit Readiness</w:t>
      </w:r>
    </w:p>
    <w:p>
      <w:pPr>
        <w:pStyle w:val="BIKH1"/>
      </w:pPr>
      <w:r>
        <w:t>Three Time Horizons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8"/>
              </w:rPr>
              <w:t>Horizon</w:t>
            </w:r>
          </w:p>
        </w:tc>
        <w:tc>
          <w:tcPr>
            <w:tcW w:type="dxa" w:w="2239"/>
            <w:shd w:val="clear" w:color="auto" w:fill="252320"/>
            <w:tcMar>
              <w:top w:w="60" w:type="dxa"/>
              <w:bottom w:w="60" w:type="dxa"/>
              <w:left w:w="100" w:type="dxa"/>
              <w:right w:w="100" w:type="dxa"/>
            </w:tcMar>
            <w:vAlign w:val="center"/>
          </w:tcPr>
          <w:p>
            <w:r/>
            <w:r>
              <w:rPr>
                <w:b/>
                <w:color w:val="FFFFFF"/>
                <w:sz w:val="18"/>
              </w:rPr>
              <w:t>Illustrative company state</w:t>
            </w:r>
          </w:p>
        </w:tc>
        <w:tc>
          <w:tcPr>
            <w:tcW w:type="dxa" w:w="2239"/>
            <w:shd w:val="clear" w:color="auto" w:fill="252320"/>
            <w:tcMar>
              <w:top w:w="60" w:type="dxa"/>
              <w:bottom w:w="60" w:type="dxa"/>
              <w:left w:w="100" w:type="dxa"/>
              <w:right w:w="100" w:type="dxa"/>
            </w:tcMar>
            <w:vAlign w:val="center"/>
          </w:tcPr>
          <w:p>
            <w:r/>
            <w:r>
              <w:rPr>
                <w:b/>
                <w:color w:val="FFFFFF"/>
                <w:sz w:val="18"/>
              </w:rPr>
              <w:t>Most plausible acquirer profile</w:t>
            </w:r>
          </w:p>
        </w:tc>
        <w:tc>
          <w:tcPr>
            <w:tcW w:type="dxa" w:w="2239"/>
            <w:shd w:val="clear" w:color="auto" w:fill="252320"/>
            <w:tcMar>
              <w:top w:w="60" w:type="dxa"/>
              <w:bottom w:w="60" w:type="dxa"/>
              <w:left w:w="100" w:type="dxa"/>
              <w:right w:w="100" w:type="dxa"/>
            </w:tcMar>
            <w:vAlign w:val="center"/>
          </w:tcPr>
          <w:p>
            <w:r/>
            <w:r>
              <w:rPr>
                <w:b/>
                <w:color w:val="FFFFFF"/>
                <w:sz w:val="18"/>
              </w:rPr>
              <w:t>Illustrative valuation driver</w:t>
            </w:r>
          </w:p>
        </w:tc>
      </w:tr>
      <w:tr>
        <w:tc>
          <w:tcPr>
            <w:tcW w:type="dxa" w:w="2239"/>
            <w:tcMar>
              <w:top w:w="60" w:type="dxa"/>
              <w:bottom w:w="60" w:type="dxa"/>
              <w:left w:w="100" w:type="dxa"/>
              <w:right w:w="100" w:type="dxa"/>
            </w:tcMar>
            <w:vAlign w:val="center"/>
          </w:tcPr>
          <w:p>
            <w:r/>
            <w:r>
              <w:rPr>
                <w:color w:val="3A3835"/>
                <w:sz w:val="18"/>
              </w:rPr>
              <w:t>3-year</w:t>
            </w:r>
          </w:p>
        </w:tc>
        <w:tc>
          <w:tcPr>
            <w:tcW w:type="dxa" w:w="2239"/>
            <w:tcMar>
              <w:top w:w="60" w:type="dxa"/>
              <w:bottom w:w="60" w:type="dxa"/>
              <w:left w:w="100" w:type="dxa"/>
              <w:right w:w="100" w:type="dxa"/>
            </w:tcMar>
            <w:vAlign w:val="center"/>
          </w:tcPr>
          <w:p>
            <w:r/>
            <w:r>
              <w:rPr>
                <w:color w:val="3A3835"/>
                <w:sz w:val="18"/>
              </w:rPr>
              <w:t>Phase 2 complete or in progress; ~500 subscribers; 25 tools; early integration architecture live</w:t>
            </w:r>
          </w:p>
        </w:tc>
        <w:tc>
          <w:tcPr>
            <w:tcW w:type="dxa" w:w="2239"/>
            <w:tcMar>
              <w:top w:w="60" w:type="dxa"/>
              <w:bottom w:w="60" w:type="dxa"/>
              <w:left w:w="100" w:type="dxa"/>
              <w:right w:w="100" w:type="dxa"/>
            </w:tcMar>
            <w:vAlign w:val="center"/>
          </w:tcPr>
          <w:p>
            <w:r/>
            <w:r>
              <w:rPr>
                <w:color w:val="3A3835"/>
                <w:sz w:val="18"/>
              </w:rPr>
              <w:t>Trade job-management platform seeking a document/compliance feature; or an early strategic minority investment</w:t>
            </w:r>
          </w:p>
        </w:tc>
        <w:tc>
          <w:tcPr>
            <w:tcW w:type="dxa" w:w="2239"/>
            <w:tcMar>
              <w:top w:w="60" w:type="dxa"/>
              <w:bottom w:w="60" w:type="dxa"/>
              <w:left w:w="100" w:type="dxa"/>
              <w:right w:w="100" w:type="dxa"/>
            </w:tcMar>
            <w:vAlign w:val="center"/>
          </w:tcPr>
          <w:p>
            <w:r/>
            <w:r>
              <w:rPr>
                <w:color w:val="3A3835"/>
                <w:sz w:val="18"/>
              </w:rPr>
              <w:t>Revenue multiple on a still-small ARR base; strategic/product fit weighted more heavily than financial metrics</w:t>
            </w:r>
          </w:p>
        </w:tc>
      </w:tr>
      <w:tr>
        <w:tc>
          <w:tcPr>
            <w:tcW w:type="dxa" w:w="2239"/>
            <w:tcMar>
              <w:top w:w="60" w:type="dxa"/>
              <w:bottom w:w="60" w:type="dxa"/>
              <w:left w:w="100" w:type="dxa"/>
              <w:right w:w="100" w:type="dxa"/>
            </w:tcMar>
            <w:vAlign w:val="center"/>
            <w:shd w:val="clear" w:color="auto" w:fill="F2EFEA"/>
          </w:tcPr>
          <w:p>
            <w:r/>
            <w:r>
              <w:rPr>
                <w:color w:val="3A3835"/>
                <w:sz w:val="18"/>
              </w:rPr>
              <w:t>5-year</w:t>
            </w:r>
          </w:p>
        </w:tc>
        <w:tc>
          <w:tcPr>
            <w:tcW w:type="dxa" w:w="2239"/>
            <w:tcMar>
              <w:top w:w="60" w:type="dxa"/>
              <w:bottom w:w="60" w:type="dxa"/>
              <w:left w:w="100" w:type="dxa"/>
              <w:right w:w="100" w:type="dxa"/>
            </w:tcMar>
            <w:vAlign w:val="center"/>
            <w:shd w:val="clear" w:color="auto" w:fill="F2EFEA"/>
          </w:tcPr>
          <w:p>
            <w:r/>
            <w:r>
              <w:rPr>
                <w:color w:val="3A3835"/>
                <w:sz w:val="18"/>
              </w:rPr>
              <w:t>Phase 3 complete; ~1,500 subscribers; 50 tools; live Xero/ServiceM8 integrations; team workspaces</w:t>
            </w:r>
          </w:p>
        </w:tc>
        <w:tc>
          <w:tcPr>
            <w:tcW w:type="dxa" w:w="2239"/>
            <w:tcMar>
              <w:top w:w="60" w:type="dxa"/>
              <w:bottom w:w="60" w:type="dxa"/>
              <w:left w:w="100" w:type="dxa"/>
              <w:right w:w="100" w:type="dxa"/>
            </w:tcMar>
            <w:vAlign w:val="center"/>
            <w:shd w:val="clear" w:color="auto" w:fill="F2EFEA"/>
          </w:tcPr>
          <w:p>
            <w:r/>
            <w:r>
              <w:rPr>
                <w:color w:val="3A3835"/>
                <w:sz w:val="18"/>
              </w:rPr>
              <w:t>Accounting platform or field-service platform seeking genuine vertical expansion; PE vertical-SaaS roll-up</w:t>
            </w:r>
          </w:p>
        </w:tc>
        <w:tc>
          <w:tcPr>
            <w:tcW w:type="dxa" w:w="2239"/>
            <w:tcMar>
              <w:top w:w="60" w:type="dxa"/>
              <w:bottom w:w="60" w:type="dxa"/>
              <w:left w:w="100" w:type="dxa"/>
              <w:right w:w="100" w:type="dxa"/>
            </w:tcMar>
            <w:vAlign w:val="center"/>
            <w:shd w:val="clear" w:color="auto" w:fill="F2EFEA"/>
          </w:tcPr>
          <w:p>
            <w:r/>
            <w:r>
              <w:rPr>
                <w:color w:val="3A3835"/>
                <w:sz w:val="18"/>
              </w:rPr>
              <w:t>ARR multiple with meaningful weight on net revenue retention and integration lock-in (Chapter 21)</w:t>
            </w:r>
          </w:p>
        </w:tc>
      </w:tr>
      <w:tr>
        <w:tc>
          <w:tcPr>
            <w:tcW w:type="dxa" w:w="2239"/>
            <w:tcMar>
              <w:top w:w="60" w:type="dxa"/>
              <w:bottom w:w="60" w:type="dxa"/>
              <w:left w:w="100" w:type="dxa"/>
              <w:right w:w="100" w:type="dxa"/>
            </w:tcMar>
            <w:vAlign w:val="center"/>
          </w:tcPr>
          <w:p>
            <w:r/>
            <w:r>
              <w:rPr>
                <w:color w:val="3A3835"/>
                <w:sz w:val="18"/>
              </w:rPr>
              <w:t>10-year</w:t>
            </w:r>
          </w:p>
        </w:tc>
        <w:tc>
          <w:tcPr>
            <w:tcW w:type="dxa" w:w="2239"/>
            <w:tcMar>
              <w:top w:w="60" w:type="dxa"/>
              <w:bottom w:w="60" w:type="dxa"/>
              <w:left w:w="100" w:type="dxa"/>
              <w:right w:w="100" w:type="dxa"/>
            </w:tcMar>
            <w:vAlign w:val="center"/>
          </w:tcPr>
          <w:p>
            <w:r/>
            <w:r>
              <w:rPr>
                <w:color w:val="3A3835"/>
                <w:sz w:val="18"/>
              </w:rPr>
              <w:t>Phase 4 mature or category leader; 100+ tools and AI agents; enterprise/white-label revenue live; possible international footprint</w:t>
            </w:r>
          </w:p>
        </w:tc>
        <w:tc>
          <w:tcPr>
            <w:tcW w:type="dxa" w:w="2239"/>
            <w:tcMar>
              <w:top w:w="60" w:type="dxa"/>
              <w:bottom w:w="60" w:type="dxa"/>
              <w:left w:w="100" w:type="dxa"/>
              <w:right w:w="100" w:type="dxa"/>
            </w:tcMar>
            <w:vAlign w:val="center"/>
          </w:tcPr>
          <w:p>
            <w:r/>
            <w:r>
              <w:rPr>
                <w:color w:val="3A3835"/>
                <w:sz w:val="18"/>
              </w:rPr>
              <w:t>Enterprise construction software incumbent seeking an SME-channel and AI-native capability; or BIK remains an independent category leader and considers its own acquisitions (Appendix roadmap)</w:t>
            </w:r>
          </w:p>
        </w:tc>
        <w:tc>
          <w:tcPr>
            <w:tcW w:type="dxa" w:w="2239"/>
            <w:tcMar>
              <w:top w:w="60" w:type="dxa"/>
              <w:bottom w:w="60" w:type="dxa"/>
              <w:left w:w="100" w:type="dxa"/>
              <w:right w:w="100" w:type="dxa"/>
            </w:tcMar>
            <w:vAlign w:val="center"/>
          </w:tcPr>
          <w:p>
            <w:r/>
            <w:r>
              <w:rPr>
                <w:color w:val="3A3835"/>
                <w:sz w:val="18"/>
              </w:rPr>
              <w:t>Strategic premium over pure financial multiple, reflecting distribution, data, and AI-native brand positioning</w:t>
            </w:r>
          </w:p>
        </w:tc>
      </w:tr>
    </w:tbl>
    <w:p>
      <w:pPr>
        <w:spacing w:after="120"/>
      </w:pPr>
    </w:p>
    <w:p>
      <w:pPr>
        <w:pStyle w:val="BIKBody"/>
        <w:jc w:val="both"/>
      </w:pPr>
      <w:r>
        <w:t>These scenarios are deliberately not point-estimate valuations — they describe the state of the business and the buyer logic most likely to apply at each horizon, so that whichever moment a real conversation arrives, this document's framework, not just its numbers, remains useful.</w:t>
      </w:r>
    </w:p>
    <w:p>
      <w:pPr>
        <w:pStyle w:val="BIKH1"/>
      </w:pPr>
      <w:r>
        <w:t>Exit Readiness Checklist</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Readiness area</w:t>
            </w:r>
          </w:p>
        </w:tc>
        <w:tc>
          <w:tcPr>
            <w:tcW w:type="dxa" w:w="2986"/>
            <w:shd w:val="clear" w:color="auto" w:fill="252320"/>
            <w:tcMar>
              <w:top w:w="60" w:type="dxa"/>
              <w:bottom w:w="60" w:type="dxa"/>
              <w:left w:w="100" w:type="dxa"/>
              <w:right w:w="100" w:type="dxa"/>
            </w:tcMar>
            <w:vAlign w:val="center"/>
          </w:tcPr>
          <w:p>
            <w:r/>
            <w:r>
              <w:rPr>
                <w:b/>
                <w:color w:val="FFFFFF"/>
                <w:sz w:val="18"/>
              </w:rPr>
              <w:t>What "ready" looks like</w:t>
            </w:r>
          </w:p>
        </w:tc>
        <w:tc>
          <w:tcPr>
            <w:tcW w:type="dxa" w:w="2986"/>
            <w:shd w:val="clear" w:color="auto" w:fill="252320"/>
            <w:tcMar>
              <w:top w:w="60" w:type="dxa"/>
              <w:bottom w:w="60" w:type="dxa"/>
              <w:left w:w="100" w:type="dxa"/>
              <w:right w:w="100" w:type="dxa"/>
            </w:tcMar>
            <w:vAlign w:val="center"/>
          </w:tcPr>
          <w:p>
            <w:r/>
            <w:r>
              <w:rPr>
                <w:b/>
                <w:color w:val="FFFFFF"/>
                <w:sz w:val="18"/>
              </w:rPr>
              <w:t>Status as at this document</w:t>
            </w:r>
          </w:p>
        </w:tc>
      </w:tr>
      <w:tr>
        <w:tc>
          <w:tcPr>
            <w:tcW w:type="dxa" w:w="2986"/>
            <w:tcMar>
              <w:top w:w="60" w:type="dxa"/>
              <w:bottom w:w="60" w:type="dxa"/>
              <w:left w:w="100" w:type="dxa"/>
              <w:right w:w="100" w:type="dxa"/>
            </w:tcMar>
            <w:vAlign w:val="center"/>
          </w:tcPr>
          <w:p>
            <w:r/>
            <w:r>
              <w:rPr>
                <w:color w:val="3A3835"/>
                <w:sz w:val="18"/>
              </w:rPr>
              <w:t>Clean cap table and corporate structure</w:t>
            </w:r>
          </w:p>
        </w:tc>
        <w:tc>
          <w:tcPr>
            <w:tcW w:type="dxa" w:w="2986"/>
            <w:tcMar>
              <w:top w:w="60" w:type="dxa"/>
              <w:bottom w:w="60" w:type="dxa"/>
              <w:left w:w="100" w:type="dxa"/>
              <w:right w:w="100" w:type="dxa"/>
            </w:tcMar>
            <w:vAlign w:val="center"/>
          </w:tcPr>
          <w:p>
            <w:r/>
            <w:r>
              <w:rPr>
                <w:color w:val="3A3835"/>
                <w:sz w:val="18"/>
              </w:rPr>
              <w:t>Clear ownership, no unresolved founder/services-unit entanglement between the two business units</w:t>
            </w:r>
          </w:p>
        </w:tc>
        <w:tc>
          <w:tcPr>
            <w:tcW w:type="dxa" w:w="2986"/>
            <w:tcMar>
              <w:top w:w="60" w:type="dxa"/>
              <w:bottom w:w="60" w:type="dxa"/>
              <w:left w:w="100" w:type="dxa"/>
              <w:right w:w="100" w:type="dxa"/>
            </w:tcMar>
            <w:vAlign w:val="center"/>
          </w:tcPr>
          <w:p>
            <w:r/>
            <w:r>
              <w:rPr>
                <w:color w:val="3A3835"/>
                <w:sz w:val="18"/>
              </w:rPr>
              <w:t>To be formalised ahead of any institutional raise or acquisition process</w:t>
            </w:r>
          </w:p>
        </w:tc>
      </w:tr>
      <w:tr>
        <w:tc>
          <w:tcPr>
            <w:tcW w:type="dxa" w:w="2986"/>
            <w:tcMar>
              <w:top w:w="60" w:type="dxa"/>
              <w:bottom w:w="60" w:type="dxa"/>
              <w:left w:w="100" w:type="dxa"/>
              <w:right w:w="100" w:type="dxa"/>
            </w:tcMar>
            <w:vAlign w:val="center"/>
            <w:shd w:val="clear" w:color="auto" w:fill="F2EFEA"/>
          </w:tcPr>
          <w:p>
            <w:r/>
            <w:r>
              <w:rPr>
                <w:color w:val="3A3835"/>
                <w:sz w:val="18"/>
              </w:rPr>
              <w:t>Financial reporting discipline</w:t>
            </w:r>
          </w:p>
        </w:tc>
        <w:tc>
          <w:tcPr>
            <w:tcW w:type="dxa" w:w="2986"/>
            <w:tcMar>
              <w:top w:w="60" w:type="dxa"/>
              <w:bottom w:w="60" w:type="dxa"/>
              <w:left w:w="100" w:type="dxa"/>
              <w:right w:w="100" w:type="dxa"/>
            </w:tcMar>
            <w:vAlign w:val="center"/>
            <w:shd w:val="clear" w:color="auto" w:fill="F2EFEA"/>
          </w:tcPr>
          <w:p>
            <w:r/>
            <w:r>
              <w:rPr>
                <w:color w:val="3A3835"/>
                <w:sz w:val="18"/>
              </w:rPr>
              <w:t>Monthly management accounts, clean revenue recognition for subscriptions, clear services-vs-platform unit reporting</w:t>
            </w:r>
          </w:p>
        </w:tc>
        <w:tc>
          <w:tcPr>
            <w:tcW w:type="dxa" w:w="2986"/>
            <w:tcMar>
              <w:top w:w="60" w:type="dxa"/>
              <w:bottom w:w="60" w:type="dxa"/>
              <w:left w:w="100" w:type="dxa"/>
              <w:right w:w="100" w:type="dxa"/>
            </w:tcMar>
            <w:vAlign w:val="center"/>
            <w:shd w:val="clear" w:color="auto" w:fill="F2EFEA"/>
          </w:tcPr>
          <w:p>
            <w:r/>
            <w:r>
              <w:rPr>
                <w:color w:val="3A3835"/>
                <w:sz w:val="18"/>
              </w:rPr>
              <w:t>In development; recommended before any Phase 2 raise</w:t>
            </w:r>
          </w:p>
        </w:tc>
      </w:tr>
      <w:tr>
        <w:tc>
          <w:tcPr>
            <w:tcW w:type="dxa" w:w="2986"/>
            <w:tcMar>
              <w:top w:w="60" w:type="dxa"/>
              <w:bottom w:w="60" w:type="dxa"/>
              <w:left w:w="100" w:type="dxa"/>
              <w:right w:w="100" w:type="dxa"/>
            </w:tcMar>
            <w:vAlign w:val="center"/>
          </w:tcPr>
          <w:p>
            <w:r/>
            <w:r>
              <w:rPr>
                <w:color w:val="3A3835"/>
                <w:sz w:val="18"/>
              </w:rPr>
              <w:t>IP ownership</w:t>
            </w:r>
          </w:p>
        </w:tc>
        <w:tc>
          <w:tcPr>
            <w:tcW w:type="dxa" w:w="2986"/>
            <w:tcMar>
              <w:top w:w="60" w:type="dxa"/>
              <w:bottom w:w="60" w:type="dxa"/>
              <w:left w:w="100" w:type="dxa"/>
              <w:right w:w="100" w:type="dxa"/>
            </w:tcMar>
            <w:vAlign w:val="center"/>
          </w:tcPr>
          <w:p>
            <w:r/>
            <w:r>
              <w:rPr>
                <w:color w:val="3A3835"/>
                <w:sz w:val="18"/>
              </w:rPr>
              <w:t>All code, prompts, templates and the construction-domain schema clearly owned by BIK Solutions Pty Ltd, no contractor IP ambiguity</w:t>
            </w:r>
          </w:p>
        </w:tc>
        <w:tc>
          <w:tcPr>
            <w:tcW w:type="dxa" w:w="2986"/>
            <w:tcMar>
              <w:top w:w="60" w:type="dxa"/>
              <w:bottom w:w="60" w:type="dxa"/>
              <w:left w:w="100" w:type="dxa"/>
              <w:right w:w="100" w:type="dxa"/>
            </w:tcMar>
            <w:vAlign w:val="center"/>
          </w:tcPr>
          <w:p>
            <w:r/>
            <w:r>
              <w:rPr>
                <w:color w:val="3A3835"/>
                <w:sz w:val="18"/>
              </w:rPr>
              <w:t>Recommended review as team grows beyond founder-led development</w:t>
            </w:r>
          </w:p>
        </w:tc>
      </w:tr>
      <w:tr>
        <w:tc>
          <w:tcPr>
            <w:tcW w:type="dxa" w:w="2986"/>
            <w:tcMar>
              <w:top w:w="60" w:type="dxa"/>
              <w:bottom w:w="60" w:type="dxa"/>
              <w:left w:w="100" w:type="dxa"/>
              <w:right w:w="100" w:type="dxa"/>
            </w:tcMar>
            <w:vAlign w:val="center"/>
            <w:shd w:val="clear" w:color="auto" w:fill="F2EFEA"/>
          </w:tcPr>
          <w:p>
            <w:r/>
            <w:r>
              <w:rPr>
                <w:color w:val="3A3835"/>
                <w:sz w:val="18"/>
              </w:rPr>
              <w:t>Legal/compliance record</w:t>
            </w:r>
          </w:p>
        </w:tc>
        <w:tc>
          <w:tcPr>
            <w:tcW w:type="dxa" w:w="2986"/>
            <w:tcMar>
              <w:top w:w="60" w:type="dxa"/>
              <w:bottom w:w="60" w:type="dxa"/>
              <w:left w:w="100" w:type="dxa"/>
              <w:right w:w="100" w:type="dxa"/>
            </w:tcMar>
            <w:vAlign w:val="center"/>
            <w:shd w:val="clear" w:color="auto" w:fill="F2EFEA"/>
          </w:tcPr>
          <w:p>
            <w:r/>
            <w:r>
              <w:rPr>
                <w:color w:val="3A3835"/>
                <w:sz w:val="18"/>
              </w:rPr>
              <w:t>No unresolved high-risk document releases; Legal and Safety Tool Register current (Chapter 27)</w:t>
            </w:r>
          </w:p>
        </w:tc>
        <w:tc>
          <w:tcPr>
            <w:tcW w:type="dxa" w:w="2986"/>
            <w:tcMar>
              <w:top w:w="60" w:type="dxa"/>
              <w:bottom w:w="60" w:type="dxa"/>
              <w:left w:w="100" w:type="dxa"/>
              <w:right w:w="100" w:type="dxa"/>
            </w:tcMar>
            <w:vAlign w:val="center"/>
            <w:shd w:val="clear" w:color="auto" w:fill="F2EFEA"/>
          </w:tcPr>
          <w:p>
            <w:r/>
            <w:r>
              <w:rPr>
                <w:color w:val="3A3835"/>
                <w:sz w:val="18"/>
              </w:rPr>
              <w:t>On track — register actively maintained and enforced as at 16 July 2026</w:t>
            </w:r>
          </w:p>
        </w:tc>
      </w:tr>
      <w:tr>
        <w:tc>
          <w:tcPr>
            <w:tcW w:type="dxa" w:w="2986"/>
            <w:tcMar>
              <w:top w:w="60" w:type="dxa"/>
              <w:bottom w:w="60" w:type="dxa"/>
              <w:left w:w="100" w:type="dxa"/>
              <w:right w:w="100" w:type="dxa"/>
            </w:tcMar>
            <w:vAlign w:val="center"/>
          </w:tcPr>
          <w:p>
            <w:r/>
            <w:r>
              <w:rPr>
                <w:color w:val="3A3835"/>
                <w:sz w:val="18"/>
              </w:rPr>
              <w:t>Customer contracts and data handling</w:t>
            </w:r>
          </w:p>
        </w:tc>
        <w:tc>
          <w:tcPr>
            <w:tcW w:type="dxa" w:w="2986"/>
            <w:tcMar>
              <w:top w:w="60" w:type="dxa"/>
              <w:bottom w:w="60" w:type="dxa"/>
              <w:left w:w="100" w:type="dxa"/>
              <w:right w:w="100" w:type="dxa"/>
            </w:tcMar>
            <w:vAlign w:val="center"/>
          </w:tcPr>
          <w:p>
            <w:r/>
            <w:r>
              <w:rPr>
                <w:color w:val="3A3835"/>
                <w:sz w:val="18"/>
              </w:rPr>
              <w:t>Standard terms in place, GDPR/Australian Privacy Principles-aligned data handling, documented in Trust pages</w:t>
            </w:r>
          </w:p>
        </w:tc>
        <w:tc>
          <w:tcPr>
            <w:tcW w:type="dxa" w:w="2986"/>
            <w:tcMar>
              <w:top w:w="60" w:type="dxa"/>
              <w:bottom w:w="60" w:type="dxa"/>
              <w:left w:w="100" w:type="dxa"/>
              <w:right w:w="100" w:type="dxa"/>
            </w:tcMar>
            <w:vAlign w:val="center"/>
          </w:tcPr>
          <w:p>
            <w:r/>
            <w:r>
              <w:rPr>
                <w:color w:val="3A3835"/>
                <w:sz w:val="18"/>
              </w:rPr>
              <w:t>Live — Privacy Policy, Terms of Use, AI Usage Notice published</w:t>
            </w:r>
          </w:p>
        </w:tc>
      </w:tr>
      <w:tr>
        <w:tc>
          <w:tcPr>
            <w:tcW w:type="dxa" w:w="2986"/>
            <w:tcMar>
              <w:top w:w="60" w:type="dxa"/>
              <w:bottom w:w="60" w:type="dxa"/>
              <w:left w:w="100" w:type="dxa"/>
              <w:right w:w="100" w:type="dxa"/>
            </w:tcMar>
            <w:vAlign w:val="center"/>
            <w:shd w:val="clear" w:color="auto" w:fill="F2EFEA"/>
          </w:tcPr>
          <w:p>
            <w:r/>
            <w:r>
              <w:rPr>
                <w:color w:val="3A3835"/>
                <w:sz w:val="18"/>
              </w:rPr>
              <w:t>Key-person dependency mitigation</w:t>
            </w:r>
          </w:p>
        </w:tc>
        <w:tc>
          <w:tcPr>
            <w:tcW w:type="dxa" w:w="2986"/>
            <w:tcMar>
              <w:top w:w="60" w:type="dxa"/>
              <w:bottom w:w="60" w:type="dxa"/>
              <w:left w:w="100" w:type="dxa"/>
              <w:right w:w="100" w:type="dxa"/>
            </w:tcMar>
            <w:vAlign w:val="center"/>
            <w:shd w:val="clear" w:color="auto" w:fill="F2EFEA"/>
          </w:tcPr>
          <w:p>
            <w:r/>
            <w:r>
              <w:rPr>
                <w:color w:val="3A3835"/>
                <w:sz w:val="18"/>
              </w:rPr>
              <w:t>Documented processes, not tribal knowledge; at least one additional person capable of running core functions</w:t>
            </w:r>
          </w:p>
        </w:tc>
        <w:tc>
          <w:tcPr>
            <w:tcW w:type="dxa" w:w="2986"/>
            <w:tcMar>
              <w:top w:w="60" w:type="dxa"/>
              <w:bottom w:w="60" w:type="dxa"/>
              <w:left w:w="100" w:type="dxa"/>
              <w:right w:w="100" w:type="dxa"/>
            </w:tcMar>
            <w:vAlign w:val="center"/>
            <w:shd w:val="clear" w:color="auto" w:fill="F2EFEA"/>
          </w:tcPr>
          <w:p>
            <w:r/>
            <w:r>
              <w:rPr>
                <w:color w:val="3A3835"/>
                <w:sz w:val="18"/>
              </w:rPr>
              <w:t>Identified as a priority risk (Chapter 26); mitigation in progress</w:t>
            </w:r>
          </w:p>
        </w:tc>
      </w:tr>
      <w:tr>
        <w:tc>
          <w:tcPr>
            <w:tcW w:type="dxa" w:w="2986"/>
            <w:tcMar>
              <w:top w:w="60" w:type="dxa"/>
              <w:bottom w:w="60" w:type="dxa"/>
              <w:left w:w="100" w:type="dxa"/>
              <w:right w:w="100" w:type="dxa"/>
            </w:tcMar>
            <w:vAlign w:val="center"/>
          </w:tcPr>
          <w:p>
            <w:r/>
            <w:r>
              <w:rPr>
                <w:color w:val="3A3835"/>
                <w:sz w:val="18"/>
              </w:rPr>
              <w:t>Retention and growth track record</w:t>
            </w:r>
          </w:p>
        </w:tc>
        <w:tc>
          <w:tcPr>
            <w:tcW w:type="dxa" w:w="2986"/>
            <w:tcMar>
              <w:top w:w="60" w:type="dxa"/>
              <w:bottom w:w="60" w:type="dxa"/>
              <w:left w:w="100" w:type="dxa"/>
              <w:right w:w="100" w:type="dxa"/>
            </w:tcMar>
            <w:vAlign w:val="center"/>
          </w:tcPr>
          <w:p>
            <w:r/>
            <w:r>
              <w:rPr>
                <w:color w:val="3A3835"/>
                <w:sz w:val="18"/>
              </w:rPr>
              <w:t>Minimum 2–4 consecutive quarters of the net-revenue-retention and churn metrics underpinning Chapter 21's valuation case</w:t>
            </w:r>
          </w:p>
        </w:tc>
        <w:tc>
          <w:tcPr>
            <w:tcW w:type="dxa" w:w="2986"/>
            <w:tcMar>
              <w:top w:w="60" w:type="dxa"/>
              <w:bottom w:w="60" w:type="dxa"/>
              <w:left w:w="100" w:type="dxa"/>
              <w:right w:w="100" w:type="dxa"/>
            </w:tcMar>
            <w:vAlign w:val="center"/>
          </w:tcPr>
          <w:p>
            <w:r/>
            <w:r>
              <w:rPr>
                <w:color w:val="3A3835"/>
                <w:sz w:val="18"/>
              </w:rPr>
              <w:t>Not yet applicable — pending Phase 2 monetisation launch</w:t>
            </w:r>
          </w:p>
        </w:tc>
      </w:tr>
    </w:tbl>
    <w:p>
      <w:pPr>
        <w:spacing w:after="120"/>
      </w:pP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BOARD-LEVEL TAKEAWAY</w:t>
            </w:r>
          </w:p>
          <w:p>
            <w:r>
              <w:rPr>
                <w:color w:val="FFFFFF"/>
                <w:sz w:val="20"/>
              </w:rPr>
              <w:t>Exit readiness is not a last-minute checklist item — it is a discipline that compounds in value the earlier it starts. Every item above is achievable well before any acquisition or institutional funding conversation is live, and doing so costs little relative to the valuation and negotiating-leverage benefit it provides (Chapter 21).</w:t>
            </w:r>
          </w:p>
        </w:tc>
      </w:tr>
    </w:tbl>
    <w:p>
      <w:pPr>
        <w:spacing w:after="80"/>
      </w:pPr>
    </w:p>
    <w:p>
      <w:r>
        <w:br w:type="page"/>
      </w:r>
    </w:p>
    <w:p/>
    <w:p/>
    <w:p/>
    <w:p/>
    <w:p/>
    <w:p/>
    <w:p>
      <w:pPr>
        <w:jc w:val="center"/>
      </w:pPr>
      <w:r>
        <w:rPr>
          <w:b/>
          <w:color w:val="D85A30"/>
          <w:sz w:val="26"/>
        </w:rPr>
        <w:t>PART H — RISK &amp; COMPLIANCE</w:t>
      </w:r>
    </w:p>
    <w:p>
      <w:pPr>
        <w:jc w:val="center"/>
      </w:pPr>
      <w:r>
        <w:rPr>
          <w:b/>
          <w:color w:val="252320"/>
          <w:sz w:val="60"/>
        </w:rPr>
        <w:t>Risk Register and Legal, Safety &amp; Regulatory Compliance Register</w:t>
      </w:r>
    </w:p>
    <w:p>
      <w:pPr>
        <w:jc w:val="center"/>
      </w:pPr>
      <w:r>
        <w:rPr>
          <w:i/>
          <w:color w:val="888780"/>
          <w:sz w:val="23"/>
        </w:rPr>
        <w:t>Naming the risks precisely, rating them honestly, and showing the mitigation already in motion</w:t>
      </w:r>
    </w:p>
    <w:p>
      <w:r>
        <w:br w:type="page"/>
      </w:r>
    </w:p>
    <w:p>
      <w:pPr>
        <w:pStyle w:val="BIKChapterLabel"/>
      </w:pPr>
      <w:r>
        <w:t>PART H — RISK &amp; COMPLIANCE</w:t>
      </w:r>
    </w:p>
    <w:p>
      <w:pPr>
        <w:pStyle w:val="BIKChapterTitle"/>
        <w:pBdr>
          <w:bottom w:val="single" w:sz="18" w:space="8" w:color="D85A30"/>
        </w:pBdr>
      </w:pPr>
      <w:r>
        <w:t>26   Risk Register &amp; Heat Map</w:t>
      </w:r>
    </w:p>
    <w:p>
      <w:pPr>
        <w:pStyle w:val="BIKH1"/>
      </w:pPr>
      <w:r>
        <w:t>Risk Methodology</w:t>
      </w:r>
    </w:p>
    <w:p>
      <w:pPr>
        <w:pStyle w:val="BIKBody"/>
        <w:jc w:val="both"/>
      </w:pPr>
      <w:r>
        <w:t>Each risk is rated on a 1–5 likelihood scale and a 1–5 impact scale, consistent with standard enterprise risk management practice. A risk score above 15 (of a possible 25) is treated as requiring an active, named mitigation owner and quarterly Board visibility; a score of 9–14 requires a documented mitigation and annual review; a score below 9 is monitored but not actively managed.</w:t>
      </w:r>
    </w:p>
    <w:p>
      <w:pPr>
        <w:jc w:val="center"/>
      </w:pPr>
      <w:r>
        <w:drawing>
          <wp:inline xmlns:a="http://schemas.openxmlformats.org/drawingml/2006/main" xmlns:pic="http://schemas.openxmlformats.org/drawingml/2006/picture">
            <wp:extent cx="5486400" cy="4049986"/>
            <wp:docPr id="17" name="Picture 17"/>
            <wp:cNvGraphicFramePr>
              <a:graphicFrameLocks noChangeAspect="1"/>
            </wp:cNvGraphicFramePr>
            <a:graphic>
              <a:graphicData uri="http://schemas.openxmlformats.org/drawingml/2006/picture">
                <pic:pic>
                  <pic:nvPicPr>
                    <pic:cNvPr id="0" name="risk_heatmap.png"/>
                    <pic:cNvPicPr/>
                  </pic:nvPicPr>
                  <pic:blipFill>
                    <a:blip r:embed="rId25"/>
                    <a:stretch>
                      <a:fillRect/>
                    </a:stretch>
                  </pic:blipFill>
                  <pic:spPr>
                    <a:xfrm>
                      <a:off x="0" y="0"/>
                      <a:ext cx="5486400" cy="4049986"/>
                    </a:xfrm>
                    <a:prstGeom prst="rect"/>
                  </pic:spPr>
                </pic:pic>
              </a:graphicData>
            </a:graphic>
          </wp:inline>
        </w:drawing>
      </w:r>
    </w:p>
    <w:p>
      <w:pPr>
        <w:pStyle w:val="BIKCaption"/>
        <w:jc w:val="center"/>
      </w:pPr>
      <w:r>
        <w:t>Figure 26.1 — Risk Heat Map: Likelihood × Impact</w:t>
      </w:r>
    </w:p>
    <w:p>
      <w:pPr>
        <w:pStyle w:val="BIKH1"/>
      </w:pPr>
      <w:r>
        <w:t>Full Risk Register</w:t>
      </w:r>
    </w:p>
    <w:tbl>
      <w:tblPr>
        <w:tblStyle w:val="TableGrid"/>
        <w:tblW w:type="auto" w:w="0"/>
        <w:tblLayout w:type="fixed"/>
        <w:tblLook w:firstColumn="1" w:firstRow="1" w:lastColumn="0" w:lastRow="0" w:noHBand="0" w:noVBand="1" w:val="04A0"/>
      </w:tblPr>
      <w:tblGrid>
        <w:gridCol w:w="1493"/>
        <w:gridCol w:w="1493"/>
        <w:gridCol w:w="1493"/>
        <w:gridCol w:w="1493"/>
        <w:gridCol w:w="1493"/>
        <w:gridCol w:w="1493"/>
      </w:tblGrid>
      <w:tr>
        <w:tc>
          <w:tcPr>
            <w:tcW w:type="dxa" w:w="1493"/>
            <w:shd w:val="clear" w:color="auto" w:fill="252320"/>
            <w:tcMar>
              <w:top w:w="60" w:type="dxa"/>
              <w:bottom w:w="60" w:type="dxa"/>
              <w:left w:w="100" w:type="dxa"/>
              <w:right w:w="100" w:type="dxa"/>
            </w:tcMar>
            <w:vAlign w:val="center"/>
          </w:tcPr>
          <w:p>
            <w:r/>
            <w:r>
              <w:rPr>
                <w:b/>
                <w:color w:val="FFFFFF"/>
                <w:sz w:val="17"/>
              </w:rPr>
              <w:t>#</w:t>
            </w:r>
          </w:p>
        </w:tc>
        <w:tc>
          <w:tcPr>
            <w:tcW w:type="dxa" w:w="1493"/>
            <w:shd w:val="clear" w:color="auto" w:fill="252320"/>
            <w:tcMar>
              <w:top w:w="60" w:type="dxa"/>
              <w:bottom w:w="60" w:type="dxa"/>
              <w:left w:w="100" w:type="dxa"/>
              <w:right w:w="100" w:type="dxa"/>
            </w:tcMar>
            <w:vAlign w:val="center"/>
          </w:tcPr>
          <w:p>
            <w:r/>
            <w:r>
              <w:rPr>
                <w:b/>
                <w:color w:val="FFFFFF"/>
                <w:sz w:val="17"/>
              </w:rPr>
              <w:t>Risk</w:t>
            </w:r>
          </w:p>
        </w:tc>
        <w:tc>
          <w:tcPr>
            <w:tcW w:type="dxa" w:w="1493"/>
            <w:shd w:val="clear" w:color="auto" w:fill="252320"/>
            <w:tcMar>
              <w:top w:w="60" w:type="dxa"/>
              <w:bottom w:w="60" w:type="dxa"/>
              <w:left w:w="100" w:type="dxa"/>
              <w:right w:w="100" w:type="dxa"/>
            </w:tcMar>
            <w:vAlign w:val="center"/>
          </w:tcPr>
          <w:p>
            <w:r/>
            <w:r>
              <w:rPr>
                <w:b/>
                <w:color w:val="FFFFFF"/>
                <w:sz w:val="17"/>
              </w:rPr>
              <w:t>Likelihood</w:t>
            </w:r>
          </w:p>
        </w:tc>
        <w:tc>
          <w:tcPr>
            <w:tcW w:type="dxa" w:w="1493"/>
            <w:shd w:val="clear" w:color="auto" w:fill="252320"/>
            <w:tcMar>
              <w:top w:w="60" w:type="dxa"/>
              <w:bottom w:w="60" w:type="dxa"/>
              <w:left w:w="100" w:type="dxa"/>
              <w:right w:w="100" w:type="dxa"/>
            </w:tcMar>
            <w:vAlign w:val="center"/>
          </w:tcPr>
          <w:p>
            <w:r/>
            <w:r>
              <w:rPr>
                <w:b/>
                <w:color w:val="FFFFFF"/>
                <w:sz w:val="17"/>
              </w:rPr>
              <w:t>Impact</w:t>
            </w:r>
          </w:p>
        </w:tc>
        <w:tc>
          <w:tcPr>
            <w:tcW w:type="dxa" w:w="1493"/>
            <w:shd w:val="clear" w:color="auto" w:fill="252320"/>
            <w:tcMar>
              <w:top w:w="60" w:type="dxa"/>
              <w:bottom w:w="60" w:type="dxa"/>
              <w:left w:w="100" w:type="dxa"/>
              <w:right w:w="100" w:type="dxa"/>
            </w:tcMar>
            <w:vAlign w:val="center"/>
          </w:tcPr>
          <w:p>
            <w:r/>
            <w:r>
              <w:rPr>
                <w:b/>
                <w:color w:val="FFFFFF"/>
                <w:sz w:val="17"/>
              </w:rPr>
              <w:t>Score</w:t>
            </w:r>
          </w:p>
        </w:tc>
        <w:tc>
          <w:tcPr>
            <w:tcW w:type="dxa" w:w="1493"/>
            <w:shd w:val="clear" w:color="auto" w:fill="252320"/>
            <w:tcMar>
              <w:top w:w="60" w:type="dxa"/>
              <w:bottom w:w="60" w:type="dxa"/>
              <w:left w:w="100" w:type="dxa"/>
              <w:right w:w="100" w:type="dxa"/>
            </w:tcMar>
            <w:vAlign w:val="center"/>
          </w:tcPr>
          <w:p>
            <w:r/>
            <w:r>
              <w:rPr>
                <w:b/>
                <w:color w:val="FFFFFF"/>
                <w:sz w:val="17"/>
              </w:rPr>
              <w:t>Mitigation</w:t>
            </w:r>
          </w:p>
        </w:tc>
      </w:tr>
      <w:tr>
        <w:tc>
          <w:tcPr>
            <w:tcW w:type="dxa" w:w="1493"/>
            <w:tcMar>
              <w:top w:w="60" w:type="dxa"/>
              <w:bottom w:w="60" w:type="dxa"/>
              <w:left w:w="100" w:type="dxa"/>
              <w:right w:w="100" w:type="dxa"/>
            </w:tcMar>
            <w:vAlign w:val="center"/>
          </w:tcPr>
          <w:p>
            <w:r/>
            <w:r>
              <w:rPr>
                <w:color w:val="3A3835"/>
                <w:sz w:val="17"/>
              </w:rPr>
              <w:t>1</w:t>
            </w:r>
          </w:p>
        </w:tc>
        <w:tc>
          <w:tcPr>
            <w:tcW w:type="dxa" w:w="1493"/>
            <w:tcMar>
              <w:top w:w="60" w:type="dxa"/>
              <w:bottom w:w="60" w:type="dxa"/>
              <w:left w:w="100" w:type="dxa"/>
              <w:right w:w="100" w:type="dxa"/>
            </w:tcMar>
            <w:vAlign w:val="center"/>
          </w:tcPr>
          <w:p>
            <w:r/>
            <w:r>
              <w:rPr>
                <w:color w:val="3A3835"/>
                <w:sz w:val="17"/>
              </w:rPr>
              <w:t>Slow trade-sector software adoption</w:t>
            </w:r>
          </w:p>
        </w:tc>
        <w:tc>
          <w:tcPr>
            <w:tcW w:type="dxa" w:w="1493"/>
            <w:tcMar>
              <w:top w:w="60" w:type="dxa"/>
              <w:bottom w:w="60" w:type="dxa"/>
              <w:left w:w="100" w:type="dxa"/>
              <w:right w:w="100" w:type="dxa"/>
            </w:tcMar>
            <w:vAlign w:val="center"/>
          </w:tcPr>
          <w:p>
            <w:r/>
            <w:r>
              <w:rPr>
                <w:color w:val="3A3835"/>
                <w:sz w:val="17"/>
              </w:rPr>
              <w:t>4</w:t>
            </w:r>
          </w:p>
        </w:tc>
        <w:tc>
          <w:tcPr>
            <w:tcW w:type="dxa" w:w="1493"/>
            <w:tcMar>
              <w:top w:w="60" w:type="dxa"/>
              <w:bottom w:w="60" w:type="dxa"/>
              <w:left w:w="100" w:type="dxa"/>
              <w:right w:w="100" w:type="dxa"/>
            </w:tcMar>
            <w:vAlign w:val="center"/>
          </w:tcPr>
          <w:p>
            <w:r/>
            <w:r>
              <w:rPr>
                <w:color w:val="3A3835"/>
                <w:sz w:val="17"/>
              </w:rPr>
              <w:t>4</w:t>
            </w:r>
          </w:p>
        </w:tc>
        <w:tc>
          <w:tcPr>
            <w:tcW w:type="dxa" w:w="1493"/>
            <w:tcMar>
              <w:top w:w="60" w:type="dxa"/>
              <w:bottom w:w="60" w:type="dxa"/>
              <w:left w:w="100" w:type="dxa"/>
              <w:right w:w="100" w:type="dxa"/>
            </w:tcMar>
            <w:vAlign w:val="center"/>
          </w:tcPr>
          <w:p>
            <w:r/>
            <w:r>
              <w:rPr>
                <w:color w:val="3A3835"/>
                <w:sz w:val="17"/>
              </w:rPr>
              <w:t>16</w:t>
            </w:r>
          </w:p>
        </w:tc>
        <w:tc>
          <w:tcPr>
            <w:tcW w:type="dxa" w:w="1493"/>
            <w:tcMar>
              <w:top w:w="60" w:type="dxa"/>
              <w:bottom w:w="60" w:type="dxa"/>
              <w:left w:w="100" w:type="dxa"/>
              <w:right w:w="100" w:type="dxa"/>
            </w:tcMar>
            <w:vAlign w:val="center"/>
          </w:tcPr>
          <w:p>
            <w:r/>
            <w:r>
              <w:rPr>
                <w:color w:val="3A3835"/>
                <w:sz w:val="17"/>
              </w:rPr>
              <w:t>Extremely simple UX; phone support; video walkthroughs; free tier removes trial friction entirely</w:t>
            </w:r>
          </w:p>
        </w:tc>
      </w:tr>
      <w:tr>
        <w:tc>
          <w:tcPr>
            <w:tcW w:type="dxa" w:w="1493"/>
            <w:tcMar>
              <w:top w:w="60" w:type="dxa"/>
              <w:bottom w:w="60" w:type="dxa"/>
              <w:left w:w="100" w:type="dxa"/>
              <w:right w:w="100" w:type="dxa"/>
            </w:tcMar>
            <w:vAlign w:val="center"/>
            <w:shd w:val="clear" w:color="auto" w:fill="F2EFEA"/>
          </w:tcPr>
          <w:p>
            <w:r/>
            <w:r>
              <w:rPr>
                <w:color w:val="3A3835"/>
                <w:sz w:val="17"/>
              </w:rPr>
              <w:t>2</w:t>
            </w:r>
          </w:p>
        </w:tc>
        <w:tc>
          <w:tcPr>
            <w:tcW w:type="dxa" w:w="1493"/>
            <w:tcMar>
              <w:top w:w="60" w:type="dxa"/>
              <w:bottom w:w="60" w:type="dxa"/>
              <w:left w:w="100" w:type="dxa"/>
              <w:right w:w="100" w:type="dxa"/>
            </w:tcMar>
            <w:vAlign w:val="center"/>
            <w:shd w:val="clear" w:color="auto" w:fill="F2EFEA"/>
          </w:tcPr>
          <w:p>
            <w:r/>
            <w:r>
              <w:rPr>
                <w:color w:val="3A3835"/>
                <w:sz w:val="17"/>
              </w:rPr>
              <w:t>AI output quality / fabrication risk</w:t>
            </w:r>
          </w:p>
        </w:tc>
        <w:tc>
          <w:tcPr>
            <w:tcW w:type="dxa" w:w="1493"/>
            <w:tcMar>
              <w:top w:w="60" w:type="dxa"/>
              <w:bottom w:w="60" w:type="dxa"/>
              <w:left w:w="100" w:type="dxa"/>
              <w:right w:w="100" w:type="dxa"/>
            </w:tcMar>
            <w:vAlign w:val="center"/>
            <w:shd w:val="clear" w:color="auto" w:fill="F2EFEA"/>
          </w:tcPr>
          <w:p>
            <w:r/>
            <w:r>
              <w:rPr>
                <w:color w:val="3A3835"/>
                <w:sz w:val="17"/>
              </w:rPr>
              <w:t>3</w:t>
            </w:r>
          </w:p>
        </w:tc>
        <w:tc>
          <w:tcPr>
            <w:tcW w:type="dxa" w:w="1493"/>
            <w:tcMar>
              <w:top w:w="60" w:type="dxa"/>
              <w:bottom w:w="60" w:type="dxa"/>
              <w:left w:w="100" w:type="dxa"/>
              <w:right w:w="100" w:type="dxa"/>
            </w:tcMar>
            <w:vAlign w:val="center"/>
            <w:shd w:val="clear" w:color="auto" w:fill="F2EFEA"/>
          </w:tcPr>
          <w:p>
            <w:r/>
            <w:r>
              <w:rPr>
                <w:color w:val="3A3835"/>
                <w:sz w:val="17"/>
              </w:rPr>
              <w:t>5</w:t>
            </w:r>
          </w:p>
        </w:tc>
        <w:tc>
          <w:tcPr>
            <w:tcW w:type="dxa" w:w="1493"/>
            <w:tcMar>
              <w:top w:w="60" w:type="dxa"/>
              <w:bottom w:w="60" w:type="dxa"/>
              <w:left w:w="100" w:type="dxa"/>
              <w:right w:w="100" w:type="dxa"/>
            </w:tcMar>
            <w:vAlign w:val="center"/>
            <w:shd w:val="clear" w:color="auto" w:fill="F2EFEA"/>
          </w:tcPr>
          <w:p>
            <w:r/>
            <w:r>
              <w:rPr>
                <w:color w:val="3A3835"/>
                <w:sz w:val="17"/>
              </w:rPr>
              <w:t>15</w:t>
            </w:r>
          </w:p>
        </w:tc>
        <w:tc>
          <w:tcPr>
            <w:tcW w:type="dxa" w:w="1493"/>
            <w:tcMar>
              <w:top w:w="60" w:type="dxa"/>
              <w:bottom w:w="60" w:type="dxa"/>
              <w:left w:w="100" w:type="dxa"/>
              <w:right w:w="100" w:type="dxa"/>
            </w:tcMar>
            <w:vAlign w:val="center"/>
            <w:shd w:val="clear" w:color="auto" w:fill="F2EFEA"/>
          </w:tcPr>
          <w:p>
            <w:r/>
            <w:r>
              <w:rPr>
                <w:color w:val="3A3835"/>
                <w:sz w:val="17"/>
              </w:rPr>
              <w:t>Decision 001 enforced in every system prompt; human review step built into every document flow; clear in-product disclaimers</w:t>
            </w:r>
          </w:p>
        </w:tc>
      </w:tr>
      <w:tr>
        <w:tc>
          <w:tcPr>
            <w:tcW w:type="dxa" w:w="1493"/>
            <w:tcMar>
              <w:top w:w="60" w:type="dxa"/>
              <w:bottom w:w="60" w:type="dxa"/>
              <w:left w:w="100" w:type="dxa"/>
              <w:right w:w="100" w:type="dxa"/>
            </w:tcMar>
            <w:vAlign w:val="center"/>
          </w:tcPr>
          <w:p>
            <w:r/>
            <w:r>
              <w:rPr>
                <w:color w:val="3A3835"/>
                <w:sz w:val="17"/>
              </w:rPr>
              <w:t>3</w:t>
            </w:r>
          </w:p>
        </w:tc>
        <w:tc>
          <w:tcPr>
            <w:tcW w:type="dxa" w:w="1493"/>
            <w:tcMar>
              <w:top w:w="60" w:type="dxa"/>
              <w:bottom w:w="60" w:type="dxa"/>
              <w:left w:w="100" w:type="dxa"/>
              <w:right w:w="100" w:type="dxa"/>
            </w:tcMar>
            <w:vAlign w:val="center"/>
          </w:tcPr>
          <w:p>
            <w:r/>
            <w:r>
              <w:rPr>
                <w:color w:val="3A3835"/>
                <w:sz w:val="17"/>
              </w:rPr>
              <w:t>Key-person dependency (founder)</w:t>
            </w:r>
          </w:p>
        </w:tc>
        <w:tc>
          <w:tcPr>
            <w:tcW w:type="dxa" w:w="1493"/>
            <w:tcMar>
              <w:top w:w="60" w:type="dxa"/>
              <w:bottom w:w="60" w:type="dxa"/>
              <w:left w:w="100" w:type="dxa"/>
              <w:right w:w="100" w:type="dxa"/>
            </w:tcMar>
            <w:vAlign w:val="center"/>
          </w:tcPr>
          <w:p>
            <w:r/>
            <w:r>
              <w:rPr>
                <w:color w:val="3A3835"/>
                <w:sz w:val="17"/>
              </w:rPr>
              <w:t>3</w:t>
            </w:r>
          </w:p>
        </w:tc>
        <w:tc>
          <w:tcPr>
            <w:tcW w:type="dxa" w:w="1493"/>
            <w:tcMar>
              <w:top w:w="60" w:type="dxa"/>
              <w:bottom w:w="60" w:type="dxa"/>
              <w:left w:w="100" w:type="dxa"/>
              <w:right w:w="100" w:type="dxa"/>
            </w:tcMar>
            <w:vAlign w:val="center"/>
          </w:tcPr>
          <w:p>
            <w:r/>
            <w:r>
              <w:rPr>
                <w:color w:val="3A3835"/>
                <w:sz w:val="17"/>
              </w:rPr>
              <w:t>4</w:t>
            </w:r>
          </w:p>
        </w:tc>
        <w:tc>
          <w:tcPr>
            <w:tcW w:type="dxa" w:w="1493"/>
            <w:tcMar>
              <w:top w:w="60" w:type="dxa"/>
              <w:bottom w:w="60" w:type="dxa"/>
              <w:left w:w="100" w:type="dxa"/>
              <w:right w:w="100" w:type="dxa"/>
            </w:tcMar>
            <w:vAlign w:val="center"/>
          </w:tcPr>
          <w:p>
            <w:r/>
            <w:r>
              <w:rPr>
                <w:color w:val="3A3835"/>
                <w:sz w:val="17"/>
              </w:rPr>
              <w:t>12</w:t>
            </w:r>
          </w:p>
        </w:tc>
        <w:tc>
          <w:tcPr>
            <w:tcW w:type="dxa" w:w="1493"/>
            <w:tcMar>
              <w:top w:w="60" w:type="dxa"/>
              <w:bottom w:w="60" w:type="dxa"/>
              <w:left w:w="100" w:type="dxa"/>
              <w:right w:w="100" w:type="dxa"/>
            </w:tcMar>
            <w:vAlign w:val="center"/>
          </w:tcPr>
          <w:p>
            <w:r/>
            <w:r>
              <w:rPr>
                <w:color w:val="3A3835"/>
                <w:sz w:val="17"/>
              </w:rPr>
              <w:t>Documented processes over tribal knowledge; Phase 2–3 hiring plan (Chapter 10) explicitly targets this</w:t>
            </w:r>
          </w:p>
        </w:tc>
      </w:tr>
      <w:tr>
        <w:tc>
          <w:tcPr>
            <w:tcW w:type="dxa" w:w="1493"/>
            <w:tcMar>
              <w:top w:w="60" w:type="dxa"/>
              <w:bottom w:w="60" w:type="dxa"/>
              <w:left w:w="100" w:type="dxa"/>
              <w:right w:w="100" w:type="dxa"/>
            </w:tcMar>
            <w:vAlign w:val="center"/>
            <w:shd w:val="clear" w:color="auto" w:fill="F2EFEA"/>
          </w:tcPr>
          <w:p>
            <w:r/>
            <w:r>
              <w:rPr>
                <w:color w:val="3A3835"/>
                <w:sz w:val="17"/>
              </w:rPr>
              <w:t>4</w:t>
            </w:r>
          </w:p>
        </w:tc>
        <w:tc>
          <w:tcPr>
            <w:tcW w:type="dxa" w:w="1493"/>
            <w:tcMar>
              <w:top w:w="60" w:type="dxa"/>
              <w:bottom w:w="60" w:type="dxa"/>
              <w:left w:w="100" w:type="dxa"/>
              <w:right w:w="100" w:type="dxa"/>
            </w:tcMar>
            <w:vAlign w:val="center"/>
            <w:shd w:val="clear" w:color="auto" w:fill="F2EFEA"/>
          </w:tcPr>
          <w:p>
            <w:r/>
            <w:r>
              <w:rPr>
                <w:color w:val="3A3835"/>
                <w:sz w:val="17"/>
              </w:rPr>
              <w:t>Legal/compliance exposure on high-risk document types</w:t>
            </w:r>
          </w:p>
        </w:tc>
        <w:tc>
          <w:tcPr>
            <w:tcW w:type="dxa" w:w="1493"/>
            <w:tcMar>
              <w:top w:w="60" w:type="dxa"/>
              <w:bottom w:w="60" w:type="dxa"/>
              <w:left w:w="100" w:type="dxa"/>
              <w:right w:w="100" w:type="dxa"/>
            </w:tcMar>
            <w:vAlign w:val="center"/>
            <w:shd w:val="clear" w:color="auto" w:fill="F2EFEA"/>
          </w:tcPr>
          <w:p>
            <w:r/>
            <w:r>
              <w:rPr>
                <w:color w:val="3A3835"/>
                <w:sz w:val="17"/>
              </w:rPr>
              <w:t>2</w:t>
            </w:r>
          </w:p>
        </w:tc>
        <w:tc>
          <w:tcPr>
            <w:tcW w:type="dxa" w:w="1493"/>
            <w:tcMar>
              <w:top w:w="60" w:type="dxa"/>
              <w:bottom w:w="60" w:type="dxa"/>
              <w:left w:w="100" w:type="dxa"/>
              <w:right w:w="100" w:type="dxa"/>
            </w:tcMar>
            <w:vAlign w:val="center"/>
            <w:shd w:val="clear" w:color="auto" w:fill="F2EFEA"/>
          </w:tcPr>
          <w:p>
            <w:r/>
            <w:r>
              <w:rPr>
                <w:color w:val="3A3835"/>
                <w:sz w:val="17"/>
              </w:rPr>
              <w:t>5</w:t>
            </w:r>
          </w:p>
        </w:tc>
        <w:tc>
          <w:tcPr>
            <w:tcW w:type="dxa" w:w="1493"/>
            <w:tcMar>
              <w:top w:w="60" w:type="dxa"/>
              <w:bottom w:w="60" w:type="dxa"/>
              <w:left w:w="100" w:type="dxa"/>
              <w:right w:w="100" w:type="dxa"/>
            </w:tcMar>
            <w:vAlign w:val="center"/>
            <w:shd w:val="clear" w:color="auto" w:fill="F2EFEA"/>
          </w:tcPr>
          <w:p>
            <w:r/>
            <w:r>
              <w:rPr>
                <w:color w:val="3A3835"/>
                <w:sz w:val="17"/>
              </w:rPr>
              <w:t>10</w:t>
            </w:r>
          </w:p>
        </w:tc>
        <w:tc>
          <w:tcPr>
            <w:tcW w:type="dxa" w:w="1493"/>
            <w:tcMar>
              <w:top w:w="60" w:type="dxa"/>
              <w:bottom w:w="60" w:type="dxa"/>
              <w:left w:w="100" w:type="dxa"/>
              <w:right w:w="100" w:type="dxa"/>
            </w:tcMar>
            <w:vAlign w:val="center"/>
            <w:shd w:val="clear" w:color="auto" w:fill="F2EFEA"/>
          </w:tcPr>
          <w:p>
            <w:r/>
            <w:r>
              <w:rPr>
                <w:color w:val="3A3835"/>
                <w:sz w:val="17"/>
              </w:rPr>
              <w:t>Legal and Safety Tool Register (Chapter 27) actively holds high-risk tools (SWMS, Contract Termination, Show Cause, Subcontractor Agreement) out of release until professional review is complete</w:t>
            </w:r>
          </w:p>
        </w:tc>
      </w:tr>
      <w:tr>
        <w:tc>
          <w:tcPr>
            <w:tcW w:type="dxa" w:w="1493"/>
            <w:tcMar>
              <w:top w:w="60" w:type="dxa"/>
              <w:bottom w:w="60" w:type="dxa"/>
              <w:left w:w="100" w:type="dxa"/>
              <w:right w:w="100" w:type="dxa"/>
            </w:tcMar>
            <w:vAlign w:val="center"/>
          </w:tcPr>
          <w:p>
            <w:r/>
            <w:r>
              <w:rPr>
                <w:color w:val="3A3835"/>
                <w:sz w:val="17"/>
              </w:rPr>
              <w:t>5</w:t>
            </w:r>
          </w:p>
        </w:tc>
        <w:tc>
          <w:tcPr>
            <w:tcW w:type="dxa" w:w="1493"/>
            <w:tcMar>
              <w:top w:w="60" w:type="dxa"/>
              <w:bottom w:w="60" w:type="dxa"/>
              <w:left w:w="100" w:type="dxa"/>
              <w:right w:w="100" w:type="dxa"/>
            </w:tcMar>
            <w:vAlign w:val="center"/>
          </w:tcPr>
          <w:p>
            <w:r/>
            <w:r>
              <w:rPr>
                <w:color w:val="3A3835"/>
                <w:sz w:val="17"/>
              </w:rPr>
              <w:t>Established incumbent adds AI features first</w:t>
            </w:r>
          </w:p>
        </w:tc>
        <w:tc>
          <w:tcPr>
            <w:tcW w:type="dxa" w:w="1493"/>
            <w:tcMar>
              <w:top w:w="60" w:type="dxa"/>
              <w:bottom w:w="60" w:type="dxa"/>
              <w:left w:w="100" w:type="dxa"/>
              <w:right w:w="100" w:type="dxa"/>
            </w:tcMar>
            <w:vAlign w:val="center"/>
          </w:tcPr>
          <w:p>
            <w:r/>
            <w:r>
              <w:rPr>
                <w:color w:val="3A3835"/>
                <w:sz w:val="17"/>
              </w:rPr>
              <w:t>3</w:t>
            </w:r>
          </w:p>
        </w:tc>
        <w:tc>
          <w:tcPr>
            <w:tcW w:type="dxa" w:w="1493"/>
            <w:tcMar>
              <w:top w:w="60" w:type="dxa"/>
              <w:bottom w:w="60" w:type="dxa"/>
              <w:left w:w="100" w:type="dxa"/>
              <w:right w:w="100" w:type="dxa"/>
            </w:tcMar>
            <w:vAlign w:val="center"/>
          </w:tcPr>
          <w:p>
            <w:r/>
            <w:r>
              <w:rPr>
                <w:color w:val="3A3835"/>
                <w:sz w:val="17"/>
              </w:rPr>
              <w:t>3</w:t>
            </w:r>
          </w:p>
        </w:tc>
        <w:tc>
          <w:tcPr>
            <w:tcW w:type="dxa" w:w="1493"/>
            <w:tcMar>
              <w:top w:w="60" w:type="dxa"/>
              <w:bottom w:w="60" w:type="dxa"/>
              <w:left w:w="100" w:type="dxa"/>
              <w:right w:w="100" w:type="dxa"/>
            </w:tcMar>
            <w:vAlign w:val="center"/>
          </w:tcPr>
          <w:p>
            <w:r/>
            <w:r>
              <w:rPr>
                <w:color w:val="3A3835"/>
                <w:sz w:val="17"/>
              </w:rPr>
              <w:t>9</w:t>
            </w:r>
          </w:p>
        </w:tc>
        <w:tc>
          <w:tcPr>
            <w:tcW w:type="dxa" w:w="1493"/>
            <w:tcMar>
              <w:top w:w="60" w:type="dxa"/>
              <w:bottom w:w="60" w:type="dxa"/>
              <w:left w:w="100" w:type="dxa"/>
              <w:right w:w="100" w:type="dxa"/>
            </w:tcMar>
            <w:vAlign w:val="center"/>
          </w:tcPr>
          <w:p>
            <w:r/>
            <w:r>
              <w:rPr>
                <w:color w:val="3A3835"/>
                <w:sz w:val="17"/>
              </w:rPr>
              <w:t>Move with urgency through Phases 2–3; workflow and trust depth compound fastest for the first credible mover (Chapter 17)</w:t>
            </w:r>
          </w:p>
        </w:tc>
      </w:tr>
      <w:tr>
        <w:tc>
          <w:tcPr>
            <w:tcW w:type="dxa" w:w="1493"/>
            <w:tcMar>
              <w:top w:w="60" w:type="dxa"/>
              <w:bottom w:w="60" w:type="dxa"/>
              <w:left w:w="100" w:type="dxa"/>
              <w:right w:w="100" w:type="dxa"/>
            </w:tcMar>
            <w:vAlign w:val="center"/>
            <w:shd w:val="clear" w:color="auto" w:fill="F2EFEA"/>
          </w:tcPr>
          <w:p>
            <w:r/>
            <w:r>
              <w:rPr>
                <w:color w:val="3A3835"/>
                <w:sz w:val="17"/>
              </w:rPr>
              <w:t>6</w:t>
            </w:r>
          </w:p>
        </w:tc>
        <w:tc>
          <w:tcPr>
            <w:tcW w:type="dxa" w:w="1493"/>
            <w:tcMar>
              <w:top w:w="60" w:type="dxa"/>
              <w:bottom w:w="60" w:type="dxa"/>
              <w:left w:w="100" w:type="dxa"/>
              <w:right w:w="100" w:type="dxa"/>
            </w:tcMar>
            <w:vAlign w:val="center"/>
            <w:shd w:val="clear" w:color="auto" w:fill="F2EFEA"/>
          </w:tcPr>
          <w:p>
            <w:r/>
            <w:r>
              <w:rPr>
                <w:color w:val="3A3835"/>
                <w:sz w:val="17"/>
              </w:rPr>
              <w:t>LLM API cost / provider volatility</w:t>
            </w:r>
          </w:p>
        </w:tc>
        <w:tc>
          <w:tcPr>
            <w:tcW w:type="dxa" w:w="1493"/>
            <w:tcMar>
              <w:top w:w="60" w:type="dxa"/>
              <w:bottom w:w="60" w:type="dxa"/>
              <w:left w:w="100" w:type="dxa"/>
              <w:right w:w="100" w:type="dxa"/>
            </w:tcMar>
            <w:vAlign w:val="center"/>
            <w:shd w:val="clear" w:color="auto" w:fill="F2EFEA"/>
          </w:tcPr>
          <w:p>
            <w:r/>
            <w:r>
              <w:rPr>
                <w:color w:val="3A3835"/>
                <w:sz w:val="17"/>
              </w:rPr>
              <w:t>2</w:t>
            </w:r>
          </w:p>
        </w:tc>
        <w:tc>
          <w:tcPr>
            <w:tcW w:type="dxa" w:w="1493"/>
            <w:tcMar>
              <w:top w:w="60" w:type="dxa"/>
              <w:bottom w:w="60" w:type="dxa"/>
              <w:left w:w="100" w:type="dxa"/>
              <w:right w:w="100" w:type="dxa"/>
            </w:tcMar>
            <w:vAlign w:val="center"/>
            <w:shd w:val="clear" w:color="auto" w:fill="F2EFEA"/>
          </w:tcPr>
          <w:p>
            <w:r/>
            <w:r>
              <w:rPr>
                <w:color w:val="3A3835"/>
                <w:sz w:val="17"/>
              </w:rPr>
              <w:t>3</w:t>
            </w:r>
          </w:p>
        </w:tc>
        <w:tc>
          <w:tcPr>
            <w:tcW w:type="dxa" w:w="1493"/>
            <w:tcMar>
              <w:top w:w="60" w:type="dxa"/>
              <w:bottom w:w="60" w:type="dxa"/>
              <w:left w:w="100" w:type="dxa"/>
              <w:right w:w="100" w:type="dxa"/>
            </w:tcMar>
            <w:vAlign w:val="center"/>
            <w:shd w:val="clear" w:color="auto" w:fill="F2EFEA"/>
          </w:tcPr>
          <w:p>
            <w:r/>
            <w:r>
              <w:rPr>
                <w:color w:val="3A3835"/>
                <w:sz w:val="17"/>
              </w:rPr>
              <w:t>6</w:t>
            </w:r>
          </w:p>
        </w:tc>
        <w:tc>
          <w:tcPr>
            <w:tcW w:type="dxa" w:w="1493"/>
            <w:tcMar>
              <w:top w:w="60" w:type="dxa"/>
              <w:bottom w:w="60" w:type="dxa"/>
              <w:left w:w="100" w:type="dxa"/>
              <w:right w:w="100" w:type="dxa"/>
            </w:tcMar>
            <w:vAlign w:val="center"/>
            <w:shd w:val="clear" w:color="auto" w:fill="F2EFEA"/>
          </w:tcPr>
          <w:p>
            <w:r/>
            <w:r>
              <w:rPr>
                <w:color w:val="3A3835"/>
                <w:sz w:val="17"/>
              </w:rPr>
              <w:t>generateDocument() is the sole integration point (Chapter 12) — provider swap requires no wider architecture change; falling foundation-model costs are a tailwind, not a risk, on current trend</w:t>
            </w:r>
          </w:p>
        </w:tc>
      </w:tr>
      <w:tr>
        <w:tc>
          <w:tcPr>
            <w:tcW w:type="dxa" w:w="1493"/>
            <w:tcMar>
              <w:top w:w="60" w:type="dxa"/>
              <w:bottom w:w="60" w:type="dxa"/>
              <w:left w:w="100" w:type="dxa"/>
              <w:right w:w="100" w:type="dxa"/>
            </w:tcMar>
            <w:vAlign w:val="center"/>
          </w:tcPr>
          <w:p>
            <w:r/>
            <w:r>
              <w:rPr>
                <w:color w:val="3A3835"/>
                <w:sz w:val="17"/>
              </w:rPr>
              <w:t>7</w:t>
            </w:r>
          </w:p>
        </w:tc>
        <w:tc>
          <w:tcPr>
            <w:tcW w:type="dxa" w:w="1493"/>
            <w:tcMar>
              <w:top w:w="60" w:type="dxa"/>
              <w:bottom w:w="60" w:type="dxa"/>
              <w:left w:w="100" w:type="dxa"/>
              <w:right w:w="100" w:type="dxa"/>
            </w:tcMar>
            <w:vAlign w:val="center"/>
          </w:tcPr>
          <w:p>
            <w:r/>
            <w:r>
              <w:rPr>
                <w:color w:val="3A3835"/>
                <w:sz w:val="17"/>
              </w:rPr>
              <w:t>Trades Services business distraction</w:t>
            </w:r>
          </w:p>
        </w:tc>
        <w:tc>
          <w:tcPr>
            <w:tcW w:type="dxa" w:w="1493"/>
            <w:tcMar>
              <w:top w:w="60" w:type="dxa"/>
              <w:bottom w:w="60" w:type="dxa"/>
              <w:left w:w="100" w:type="dxa"/>
              <w:right w:w="100" w:type="dxa"/>
            </w:tcMar>
            <w:vAlign w:val="center"/>
          </w:tcPr>
          <w:p>
            <w:r/>
            <w:r>
              <w:rPr>
                <w:color w:val="3A3835"/>
                <w:sz w:val="17"/>
              </w:rPr>
              <w:t>2</w:t>
            </w:r>
          </w:p>
        </w:tc>
        <w:tc>
          <w:tcPr>
            <w:tcW w:type="dxa" w:w="1493"/>
            <w:tcMar>
              <w:top w:w="60" w:type="dxa"/>
              <w:bottom w:w="60" w:type="dxa"/>
              <w:left w:w="100" w:type="dxa"/>
              <w:right w:w="100" w:type="dxa"/>
            </w:tcMar>
            <w:vAlign w:val="center"/>
          </w:tcPr>
          <w:p>
            <w:r/>
            <w:r>
              <w:rPr>
                <w:color w:val="3A3835"/>
                <w:sz w:val="17"/>
              </w:rPr>
              <w:t>2</w:t>
            </w:r>
          </w:p>
        </w:tc>
        <w:tc>
          <w:tcPr>
            <w:tcW w:type="dxa" w:w="1493"/>
            <w:tcMar>
              <w:top w:w="60" w:type="dxa"/>
              <w:bottom w:w="60" w:type="dxa"/>
              <w:left w:w="100" w:type="dxa"/>
              <w:right w:w="100" w:type="dxa"/>
            </w:tcMar>
            <w:vAlign w:val="center"/>
          </w:tcPr>
          <w:p>
            <w:r/>
            <w:r>
              <w:rPr>
                <w:color w:val="3A3835"/>
                <w:sz w:val="17"/>
              </w:rPr>
              <w:t>4</w:t>
            </w:r>
          </w:p>
        </w:tc>
        <w:tc>
          <w:tcPr>
            <w:tcW w:type="dxa" w:w="1493"/>
            <w:tcMar>
              <w:top w:w="60" w:type="dxa"/>
              <w:bottom w:w="60" w:type="dxa"/>
              <w:left w:w="100" w:type="dxa"/>
              <w:right w:w="100" w:type="dxa"/>
            </w:tcMar>
            <w:vAlign w:val="center"/>
          </w:tcPr>
          <w:p>
            <w:r/>
            <w:r>
              <w:rPr>
                <w:color w:val="3A3835"/>
                <w:sz w:val="17"/>
              </w:rPr>
              <w:t>Clear separation of the two units (Chapter 3); platform development is the primary strategic growth driver, not a side project</w:t>
            </w:r>
          </w:p>
        </w:tc>
      </w:tr>
      <w:tr>
        <w:tc>
          <w:tcPr>
            <w:tcW w:type="dxa" w:w="1493"/>
            <w:tcMar>
              <w:top w:w="60" w:type="dxa"/>
              <w:bottom w:w="60" w:type="dxa"/>
              <w:left w:w="100" w:type="dxa"/>
              <w:right w:w="100" w:type="dxa"/>
            </w:tcMar>
            <w:vAlign w:val="center"/>
            <w:shd w:val="clear" w:color="auto" w:fill="F2EFEA"/>
          </w:tcPr>
          <w:p>
            <w:r/>
            <w:r>
              <w:rPr>
                <w:color w:val="3A3835"/>
                <w:sz w:val="17"/>
              </w:rPr>
              <w:t>8</w:t>
            </w:r>
          </w:p>
        </w:tc>
        <w:tc>
          <w:tcPr>
            <w:tcW w:type="dxa" w:w="1493"/>
            <w:tcMar>
              <w:top w:w="60" w:type="dxa"/>
              <w:bottom w:w="60" w:type="dxa"/>
              <w:left w:w="100" w:type="dxa"/>
              <w:right w:w="100" w:type="dxa"/>
            </w:tcMar>
            <w:vAlign w:val="center"/>
            <w:shd w:val="clear" w:color="auto" w:fill="F2EFEA"/>
          </w:tcPr>
          <w:p>
            <w:r/>
            <w:r>
              <w:rPr>
                <w:color w:val="3A3835"/>
                <w:sz w:val="17"/>
              </w:rPr>
              <w:t>Regulatory change (WHS, BIF Act and state equivalents)</w:t>
            </w:r>
          </w:p>
        </w:tc>
        <w:tc>
          <w:tcPr>
            <w:tcW w:type="dxa" w:w="1493"/>
            <w:tcMar>
              <w:top w:w="60" w:type="dxa"/>
              <w:bottom w:w="60" w:type="dxa"/>
              <w:left w:w="100" w:type="dxa"/>
              <w:right w:w="100" w:type="dxa"/>
            </w:tcMar>
            <w:vAlign w:val="center"/>
            <w:shd w:val="clear" w:color="auto" w:fill="F2EFEA"/>
          </w:tcPr>
          <w:p>
            <w:r/>
            <w:r>
              <w:rPr>
                <w:color w:val="3A3835"/>
                <w:sz w:val="17"/>
              </w:rPr>
              <w:t>2</w:t>
            </w:r>
          </w:p>
        </w:tc>
        <w:tc>
          <w:tcPr>
            <w:tcW w:type="dxa" w:w="1493"/>
            <w:tcMar>
              <w:top w:w="60" w:type="dxa"/>
              <w:bottom w:w="60" w:type="dxa"/>
              <w:left w:w="100" w:type="dxa"/>
              <w:right w:w="100" w:type="dxa"/>
            </w:tcMar>
            <w:vAlign w:val="center"/>
            <w:shd w:val="clear" w:color="auto" w:fill="F2EFEA"/>
          </w:tcPr>
          <w:p>
            <w:r/>
            <w:r>
              <w:rPr>
                <w:color w:val="3A3835"/>
                <w:sz w:val="17"/>
              </w:rPr>
              <w:t>3</w:t>
            </w:r>
          </w:p>
        </w:tc>
        <w:tc>
          <w:tcPr>
            <w:tcW w:type="dxa" w:w="1493"/>
            <w:tcMar>
              <w:top w:w="60" w:type="dxa"/>
              <w:bottom w:w="60" w:type="dxa"/>
              <w:left w:w="100" w:type="dxa"/>
              <w:right w:w="100" w:type="dxa"/>
            </w:tcMar>
            <w:vAlign w:val="center"/>
            <w:shd w:val="clear" w:color="auto" w:fill="F2EFEA"/>
          </w:tcPr>
          <w:p>
            <w:r/>
            <w:r>
              <w:rPr>
                <w:color w:val="3A3835"/>
                <w:sz w:val="17"/>
              </w:rPr>
              <w:t>6</w:t>
            </w:r>
          </w:p>
        </w:tc>
        <w:tc>
          <w:tcPr>
            <w:tcW w:type="dxa" w:w="1493"/>
            <w:tcMar>
              <w:top w:w="60" w:type="dxa"/>
              <w:bottom w:w="60" w:type="dxa"/>
              <w:left w:w="100" w:type="dxa"/>
              <w:right w:w="100" w:type="dxa"/>
            </w:tcMar>
            <w:vAlign w:val="center"/>
            <w:shd w:val="clear" w:color="auto" w:fill="F2EFEA"/>
          </w:tcPr>
          <w:p>
            <w:r/>
            <w:r>
              <w:rPr>
                <w:color w:val="3A3835"/>
                <w:sz w:val="17"/>
              </w:rPr>
              <w:t>Legal and Safety Tool Register explicitly tracks state-based Security of Payment legislation; compliance library update workflow is a named roadmap item</w:t>
            </w:r>
          </w:p>
        </w:tc>
      </w:tr>
      <w:tr>
        <w:tc>
          <w:tcPr>
            <w:tcW w:type="dxa" w:w="1493"/>
            <w:tcMar>
              <w:top w:w="60" w:type="dxa"/>
              <w:bottom w:w="60" w:type="dxa"/>
              <w:left w:w="100" w:type="dxa"/>
              <w:right w:w="100" w:type="dxa"/>
            </w:tcMar>
            <w:vAlign w:val="center"/>
          </w:tcPr>
          <w:p>
            <w:r/>
            <w:r>
              <w:rPr>
                <w:color w:val="3A3835"/>
                <w:sz w:val="17"/>
              </w:rPr>
              <w:t>9</w:t>
            </w:r>
          </w:p>
        </w:tc>
        <w:tc>
          <w:tcPr>
            <w:tcW w:type="dxa" w:w="1493"/>
            <w:tcMar>
              <w:top w:w="60" w:type="dxa"/>
              <w:bottom w:w="60" w:type="dxa"/>
              <w:left w:w="100" w:type="dxa"/>
              <w:right w:w="100" w:type="dxa"/>
            </w:tcMar>
            <w:vAlign w:val="center"/>
          </w:tcPr>
          <w:p>
            <w:r/>
            <w:r>
              <w:rPr>
                <w:color w:val="3A3835"/>
                <w:sz w:val="17"/>
              </w:rPr>
              <w:t>Cybersecurity / data breach exposure (Phase 2+)</w:t>
            </w:r>
          </w:p>
        </w:tc>
        <w:tc>
          <w:tcPr>
            <w:tcW w:type="dxa" w:w="1493"/>
            <w:tcMar>
              <w:top w:w="60" w:type="dxa"/>
              <w:bottom w:w="60" w:type="dxa"/>
              <w:left w:w="100" w:type="dxa"/>
              <w:right w:w="100" w:type="dxa"/>
            </w:tcMar>
            <w:vAlign w:val="center"/>
          </w:tcPr>
          <w:p>
            <w:r/>
            <w:r>
              <w:rPr>
                <w:color w:val="3A3835"/>
                <w:sz w:val="17"/>
              </w:rPr>
              <w:t>2</w:t>
            </w:r>
          </w:p>
        </w:tc>
        <w:tc>
          <w:tcPr>
            <w:tcW w:type="dxa" w:w="1493"/>
            <w:tcMar>
              <w:top w:w="60" w:type="dxa"/>
              <w:bottom w:w="60" w:type="dxa"/>
              <w:left w:w="100" w:type="dxa"/>
              <w:right w:w="100" w:type="dxa"/>
            </w:tcMar>
            <w:vAlign w:val="center"/>
          </w:tcPr>
          <w:p>
            <w:r/>
            <w:r>
              <w:rPr>
                <w:color w:val="3A3835"/>
                <w:sz w:val="17"/>
              </w:rPr>
              <w:t>4</w:t>
            </w:r>
          </w:p>
        </w:tc>
        <w:tc>
          <w:tcPr>
            <w:tcW w:type="dxa" w:w="1493"/>
            <w:tcMar>
              <w:top w:w="60" w:type="dxa"/>
              <w:bottom w:w="60" w:type="dxa"/>
              <w:left w:w="100" w:type="dxa"/>
              <w:right w:w="100" w:type="dxa"/>
            </w:tcMar>
            <w:vAlign w:val="center"/>
          </w:tcPr>
          <w:p>
            <w:r/>
            <w:r>
              <w:rPr>
                <w:color w:val="3A3835"/>
                <w:sz w:val="17"/>
              </w:rPr>
              <w:t>8</w:t>
            </w:r>
          </w:p>
        </w:tc>
        <w:tc>
          <w:tcPr>
            <w:tcW w:type="dxa" w:w="1493"/>
            <w:tcMar>
              <w:top w:w="60" w:type="dxa"/>
              <w:bottom w:w="60" w:type="dxa"/>
              <w:left w:w="100" w:type="dxa"/>
              <w:right w:w="100" w:type="dxa"/>
            </w:tcMar>
            <w:vAlign w:val="center"/>
          </w:tcPr>
          <w:p>
            <w:r/>
            <w:r>
              <w:rPr>
                <w:color w:val="3A3835"/>
                <w:sz w:val="17"/>
              </w:rPr>
              <w:t>Phase 1 stores no user data server-side by design; Phase 2 Supabase migration adds Row Level Security and hashed credentials as a stated architectural requirement before launch</w:t>
            </w:r>
          </w:p>
        </w:tc>
      </w:tr>
      <w:tr>
        <w:tc>
          <w:tcPr>
            <w:tcW w:type="dxa" w:w="1493"/>
            <w:tcMar>
              <w:top w:w="60" w:type="dxa"/>
              <w:bottom w:w="60" w:type="dxa"/>
              <w:left w:w="100" w:type="dxa"/>
              <w:right w:w="100" w:type="dxa"/>
            </w:tcMar>
            <w:vAlign w:val="center"/>
            <w:shd w:val="clear" w:color="auto" w:fill="F2EFEA"/>
          </w:tcPr>
          <w:p>
            <w:r/>
            <w:r>
              <w:rPr>
                <w:color w:val="3A3835"/>
                <w:sz w:val="17"/>
              </w:rPr>
              <w:t>10</w:t>
            </w:r>
          </w:p>
        </w:tc>
        <w:tc>
          <w:tcPr>
            <w:tcW w:type="dxa" w:w="1493"/>
            <w:tcMar>
              <w:top w:w="60" w:type="dxa"/>
              <w:bottom w:w="60" w:type="dxa"/>
              <w:left w:w="100" w:type="dxa"/>
              <w:right w:w="100" w:type="dxa"/>
            </w:tcMar>
            <w:vAlign w:val="center"/>
            <w:shd w:val="clear" w:color="auto" w:fill="F2EFEA"/>
          </w:tcPr>
          <w:p>
            <w:r/>
            <w:r>
              <w:rPr>
                <w:color w:val="3A3835"/>
                <w:sz w:val="17"/>
              </w:rPr>
              <w:t>Cash flow gap ahead of Series funding or before Phase 2 monetisation</w:t>
            </w:r>
          </w:p>
        </w:tc>
        <w:tc>
          <w:tcPr>
            <w:tcW w:type="dxa" w:w="1493"/>
            <w:tcMar>
              <w:top w:w="60" w:type="dxa"/>
              <w:bottom w:w="60" w:type="dxa"/>
              <w:left w:w="100" w:type="dxa"/>
              <w:right w:w="100" w:type="dxa"/>
            </w:tcMar>
            <w:vAlign w:val="center"/>
            <w:shd w:val="clear" w:color="auto" w:fill="F2EFEA"/>
          </w:tcPr>
          <w:p>
            <w:r/>
            <w:r>
              <w:rPr>
                <w:color w:val="3A3835"/>
                <w:sz w:val="17"/>
              </w:rPr>
              <w:t>3</w:t>
            </w:r>
          </w:p>
        </w:tc>
        <w:tc>
          <w:tcPr>
            <w:tcW w:type="dxa" w:w="1493"/>
            <w:tcMar>
              <w:top w:w="60" w:type="dxa"/>
              <w:bottom w:w="60" w:type="dxa"/>
              <w:left w:w="100" w:type="dxa"/>
              <w:right w:w="100" w:type="dxa"/>
            </w:tcMar>
            <w:vAlign w:val="center"/>
            <w:shd w:val="clear" w:color="auto" w:fill="F2EFEA"/>
          </w:tcPr>
          <w:p>
            <w:r/>
            <w:r>
              <w:rPr>
                <w:color w:val="3A3835"/>
                <w:sz w:val="17"/>
              </w:rPr>
              <w:t>4</w:t>
            </w:r>
          </w:p>
        </w:tc>
        <w:tc>
          <w:tcPr>
            <w:tcW w:type="dxa" w:w="1493"/>
            <w:tcMar>
              <w:top w:w="60" w:type="dxa"/>
              <w:bottom w:w="60" w:type="dxa"/>
              <w:left w:w="100" w:type="dxa"/>
              <w:right w:w="100" w:type="dxa"/>
            </w:tcMar>
            <w:vAlign w:val="center"/>
            <w:shd w:val="clear" w:color="auto" w:fill="F2EFEA"/>
          </w:tcPr>
          <w:p>
            <w:r/>
            <w:r>
              <w:rPr>
                <w:color w:val="3A3835"/>
                <w:sz w:val="17"/>
              </w:rPr>
              <w:t>12</w:t>
            </w:r>
          </w:p>
        </w:tc>
        <w:tc>
          <w:tcPr>
            <w:tcW w:type="dxa" w:w="1493"/>
            <w:tcMar>
              <w:top w:w="60" w:type="dxa"/>
              <w:bottom w:w="60" w:type="dxa"/>
              <w:left w:w="100" w:type="dxa"/>
              <w:right w:w="100" w:type="dxa"/>
            </w:tcMar>
            <w:vAlign w:val="center"/>
            <w:shd w:val="clear" w:color="auto" w:fill="F2EFEA"/>
          </w:tcPr>
          <w:p>
            <w:r/>
            <w:r>
              <w:rPr>
                <w:color w:val="3A3835"/>
                <w:sz w:val="17"/>
              </w:rPr>
              <w:t>Bootstrap path (Chapter 19) is explicitly viable without external capital; services unit cross-subsidy is a deliberate buffer</w:t>
            </w:r>
          </w:p>
        </w:tc>
      </w:tr>
      <w:tr>
        <w:tc>
          <w:tcPr>
            <w:tcW w:type="dxa" w:w="1493"/>
            <w:tcMar>
              <w:top w:w="60" w:type="dxa"/>
              <w:bottom w:w="60" w:type="dxa"/>
              <w:left w:w="100" w:type="dxa"/>
              <w:right w:w="100" w:type="dxa"/>
            </w:tcMar>
            <w:vAlign w:val="center"/>
          </w:tcPr>
          <w:p>
            <w:r/>
            <w:r>
              <w:rPr>
                <w:color w:val="3A3835"/>
                <w:sz w:val="17"/>
              </w:rPr>
              <w:t>11</w:t>
            </w:r>
          </w:p>
        </w:tc>
        <w:tc>
          <w:tcPr>
            <w:tcW w:type="dxa" w:w="1493"/>
            <w:tcMar>
              <w:top w:w="60" w:type="dxa"/>
              <w:bottom w:w="60" w:type="dxa"/>
              <w:left w:w="100" w:type="dxa"/>
              <w:right w:w="100" w:type="dxa"/>
            </w:tcMar>
            <w:vAlign w:val="center"/>
          </w:tcPr>
          <w:p>
            <w:r/>
            <w:r>
              <w:rPr>
                <w:color w:val="3A3835"/>
                <w:sz w:val="17"/>
              </w:rPr>
              <w:t>Churn above plan</w:t>
            </w:r>
          </w:p>
        </w:tc>
        <w:tc>
          <w:tcPr>
            <w:tcW w:type="dxa" w:w="1493"/>
            <w:tcMar>
              <w:top w:w="60" w:type="dxa"/>
              <w:bottom w:w="60" w:type="dxa"/>
              <w:left w:w="100" w:type="dxa"/>
              <w:right w:w="100" w:type="dxa"/>
            </w:tcMar>
            <w:vAlign w:val="center"/>
          </w:tcPr>
          <w:p>
            <w:r/>
            <w:r>
              <w:rPr>
                <w:color w:val="3A3835"/>
                <w:sz w:val="17"/>
              </w:rPr>
              <w:t>3</w:t>
            </w:r>
          </w:p>
        </w:tc>
        <w:tc>
          <w:tcPr>
            <w:tcW w:type="dxa" w:w="1493"/>
            <w:tcMar>
              <w:top w:w="60" w:type="dxa"/>
              <w:bottom w:w="60" w:type="dxa"/>
              <w:left w:w="100" w:type="dxa"/>
              <w:right w:w="100" w:type="dxa"/>
            </w:tcMar>
            <w:vAlign w:val="center"/>
          </w:tcPr>
          <w:p>
            <w:r/>
            <w:r>
              <w:rPr>
                <w:color w:val="3A3835"/>
                <w:sz w:val="17"/>
              </w:rPr>
              <w:t>3</w:t>
            </w:r>
          </w:p>
        </w:tc>
        <w:tc>
          <w:tcPr>
            <w:tcW w:type="dxa" w:w="1493"/>
            <w:tcMar>
              <w:top w:w="60" w:type="dxa"/>
              <w:bottom w:w="60" w:type="dxa"/>
              <w:left w:w="100" w:type="dxa"/>
              <w:right w:w="100" w:type="dxa"/>
            </w:tcMar>
            <w:vAlign w:val="center"/>
          </w:tcPr>
          <w:p>
            <w:r/>
            <w:r>
              <w:rPr>
                <w:color w:val="3A3835"/>
                <w:sz w:val="17"/>
              </w:rPr>
              <w:t>9</w:t>
            </w:r>
          </w:p>
        </w:tc>
        <w:tc>
          <w:tcPr>
            <w:tcW w:type="dxa" w:w="1493"/>
            <w:tcMar>
              <w:top w:w="60" w:type="dxa"/>
              <w:bottom w:w="60" w:type="dxa"/>
              <w:left w:w="100" w:type="dxa"/>
              <w:right w:w="100" w:type="dxa"/>
            </w:tcMar>
            <w:vAlign w:val="center"/>
          </w:tcPr>
          <w:p>
            <w:r/>
            <w:r>
              <w:rPr>
                <w:color w:val="3A3835"/>
                <w:sz w:val="17"/>
              </w:rPr>
              <w:t>Product sequencing (Chapter 6) is explicitly designed to convert habit into switching-cost-bearing infrastructure over time; churn sensitivity is modelled, not ignored (Chapter 20)</w:t>
            </w:r>
          </w:p>
        </w:tc>
      </w:tr>
      <w:tr>
        <w:tc>
          <w:tcPr>
            <w:tcW w:type="dxa" w:w="1493"/>
            <w:tcMar>
              <w:top w:w="60" w:type="dxa"/>
              <w:bottom w:w="60" w:type="dxa"/>
              <w:left w:w="100" w:type="dxa"/>
              <w:right w:w="100" w:type="dxa"/>
            </w:tcMar>
            <w:vAlign w:val="center"/>
            <w:shd w:val="clear" w:color="auto" w:fill="F2EFEA"/>
          </w:tcPr>
          <w:p>
            <w:r/>
            <w:r>
              <w:rPr>
                <w:color w:val="3A3835"/>
                <w:sz w:val="17"/>
              </w:rPr>
              <w:t>12</w:t>
            </w:r>
          </w:p>
        </w:tc>
        <w:tc>
          <w:tcPr>
            <w:tcW w:type="dxa" w:w="1493"/>
            <w:tcMar>
              <w:top w:w="60" w:type="dxa"/>
              <w:bottom w:w="60" w:type="dxa"/>
              <w:left w:w="100" w:type="dxa"/>
              <w:right w:w="100" w:type="dxa"/>
            </w:tcMar>
            <w:vAlign w:val="center"/>
            <w:shd w:val="clear" w:color="auto" w:fill="F2EFEA"/>
          </w:tcPr>
          <w:p>
            <w:r/>
            <w:r>
              <w:rPr>
                <w:color w:val="3A3835"/>
                <w:sz w:val="17"/>
              </w:rPr>
              <w:t>Talent acquisition in a tight market</w:t>
            </w:r>
          </w:p>
        </w:tc>
        <w:tc>
          <w:tcPr>
            <w:tcW w:type="dxa" w:w="1493"/>
            <w:tcMar>
              <w:top w:w="60" w:type="dxa"/>
              <w:bottom w:w="60" w:type="dxa"/>
              <w:left w:w="100" w:type="dxa"/>
              <w:right w:w="100" w:type="dxa"/>
            </w:tcMar>
            <w:vAlign w:val="center"/>
            <w:shd w:val="clear" w:color="auto" w:fill="F2EFEA"/>
          </w:tcPr>
          <w:p>
            <w:r/>
            <w:r>
              <w:rPr>
                <w:color w:val="3A3835"/>
                <w:sz w:val="17"/>
              </w:rPr>
              <w:t>2</w:t>
            </w:r>
          </w:p>
        </w:tc>
        <w:tc>
          <w:tcPr>
            <w:tcW w:type="dxa" w:w="1493"/>
            <w:tcMar>
              <w:top w:w="60" w:type="dxa"/>
              <w:bottom w:w="60" w:type="dxa"/>
              <w:left w:w="100" w:type="dxa"/>
              <w:right w:w="100" w:type="dxa"/>
            </w:tcMar>
            <w:vAlign w:val="center"/>
            <w:shd w:val="clear" w:color="auto" w:fill="F2EFEA"/>
          </w:tcPr>
          <w:p>
            <w:r/>
            <w:r>
              <w:rPr>
                <w:color w:val="3A3835"/>
                <w:sz w:val="17"/>
              </w:rPr>
              <w:t>2</w:t>
            </w:r>
          </w:p>
        </w:tc>
        <w:tc>
          <w:tcPr>
            <w:tcW w:type="dxa" w:w="1493"/>
            <w:tcMar>
              <w:top w:w="60" w:type="dxa"/>
              <w:bottom w:w="60" w:type="dxa"/>
              <w:left w:w="100" w:type="dxa"/>
              <w:right w:w="100" w:type="dxa"/>
            </w:tcMar>
            <w:vAlign w:val="center"/>
            <w:shd w:val="clear" w:color="auto" w:fill="F2EFEA"/>
          </w:tcPr>
          <w:p>
            <w:r/>
            <w:r>
              <w:rPr>
                <w:color w:val="3A3835"/>
                <w:sz w:val="17"/>
              </w:rPr>
              <w:t>4</w:t>
            </w:r>
          </w:p>
        </w:tc>
        <w:tc>
          <w:tcPr>
            <w:tcW w:type="dxa" w:w="1493"/>
            <w:tcMar>
              <w:top w:w="60" w:type="dxa"/>
              <w:bottom w:w="60" w:type="dxa"/>
              <w:left w:w="100" w:type="dxa"/>
              <w:right w:w="100" w:type="dxa"/>
            </w:tcMar>
            <w:vAlign w:val="center"/>
            <w:shd w:val="clear" w:color="auto" w:fill="F2EFEA"/>
          </w:tcPr>
          <w:p>
            <w:r/>
            <w:r>
              <w:rPr>
                <w:color w:val="3A3835"/>
                <w:sz w:val="17"/>
              </w:rPr>
              <w:t>Lean, founder-led team through Phase 2; Phase 3+ hiring plan tied to revenue milestones, not speculative headcount growth</w:t>
            </w:r>
          </w:p>
        </w:tc>
      </w:tr>
    </w:tbl>
    <w:p>
      <w:pPr>
        <w:spacing w:after="120"/>
      </w:pPr>
    </w:p>
    <w:p>
      <w:pPr>
        <w:pStyle w:val="BIKH1"/>
      </w:pPr>
      <w:r>
        <w:t>Top Three Risks — Board Attention Required</w:t>
      </w:r>
    </w:p>
    <w:p>
      <w:pPr>
        <w:pStyle w:val="ListBullet"/>
      </w:pPr>
      <w:r>
        <w:rPr>
          <w:b/>
          <w:color w:val="252320"/>
        </w:rPr>
        <w:t xml:space="preserve">Risk 1 — Slow adoption (score 16). </w:t>
      </w:r>
      <w:r>
        <w:t>The construction sector's software adoption curve is genuinely slow, and no amount of product quality fully overcomes a category-level scepticism of software claims. This is mitigated by radical simplicity and a free tier, not by marketing spend alone.</w:t>
      </w:r>
    </w:p>
    <w:p>
      <w:pPr>
        <w:pStyle w:val="ListBullet"/>
      </w:pPr>
      <w:r>
        <w:rPr>
          <w:b/>
          <w:color w:val="252320"/>
        </w:rPr>
        <w:t xml:space="preserve">Risk 2 — AI fabrication (score 15). </w:t>
      </w:r>
      <w:r>
        <w:t>This is the risk Chapter 11's entire governance framework exists to manage. It is rated 5/5 on impact deliberately — a single well-publicised fabrication incident could be materially damaging to the trust asset the whole strategy depends on — which is exactly why Decision 001 is treated as non-negotiable rather than aspirational.</w:t>
      </w:r>
    </w:p>
    <w:p>
      <w:pPr>
        <w:pStyle w:val="ListBullet"/>
      </w:pPr>
      <w:r>
        <w:rPr>
          <w:b/>
          <w:color w:val="252320"/>
        </w:rPr>
        <w:t xml:space="preserve">Risk 3 (tied) — Key-person dependency and cash flow gap (score 12 each). </w:t>
      </w:r>
      <w:r>
        <w:t>Both are addressed by the same underlying lever: disciplined, milestone-gated hiring (Chapter 10) funded by a viable bootstrap path (Chapter 19) rather than by assuming a raise closes on a specific timeline.</w:t>
      </w:r>
    </w:p>
    <w:p>
      <w:pPr>
        <w:pStyle w:val="BIKH1"/>
      </w:pPr>
      <w:r>
        <w:t>Remaining Risks — Full Narrative</w:t>
      </w:r>
    </w:p>
    <w:p>
      <w:pPr>
        <w:pStyle w:val="ListBullet"/>
      </w:pPr>
      <w:r>
        <w:rPr>
          <w:b/>
          <w:color w:val="252320"/>
        </w:rPr>
        <w:t xml:space="preserve">Risk 5 — Incumbent adds AI features first (score 9). </w:t>
      </w:r>
      <w:r>
        <w:t>Buildxact, ServiceM8 and Tradify are named in Chapter 17 as the most plausible fast-followers. The mitigation is speed of execution through Phases 2–3, not a defensive feature race — BIK's advantage is trust and domain depth, which a rushed incumbent feature is unlikely to replicate credibly.</w:t>
      </w:r>
    </w:p>
    <w:p>
      <w:pPr>
        <w:pStyle w:val="ListBullet"/>
      </w:pPr>
      <w:r>
        <w:rPr>
          <w:b/>
          <w:color w:val="252320"/>
        </w:rPr>
        <w:t xml:space="preserve">Risk 6 — LLM API cost or provider volatility (score 6). </w:t>
      </w:r>
      <w:r>
        <w:t>The architecture already treats this as a solved design problem: generateDocument() is the sole integration point (Chapter 12), so a provider swap is a configuration change, not a rebuild. Foundation model inference costs have fallen consistently through 2024–2026, making this a monitored risk rather than an active one.</w:t>
      </w:r>
    </w:p>
    <w:p>
      <w:pPr>
        <w:pStyle w:val="ListBullet"/>
      </w:pPr>
      <w:r>
        <w:rPr>
          <w:b/>
          <w:color w:val="252320"/>
        </w:rPr>
        <w:t xml:space="preserve">Risk 7 — Trades Services business distraction (score 4). </w:t>
      </w:r>
      <w:r>
        <w:t>The two-unit structure (Chapter 3) is explicit precisely to prevent this — services revenue funds the platform, but platform strategy is not subordinated to services-business operational demands.</w:t>
      </w:r>
    </w:p>
    <w:p>
      <w:pPr>
        <w:pStyle w:val="ListBullet"/>
      </w:pPr>
      <w:r>
        <w:rPr>
          <w:b/>
          <w:color w:val="252320"/>
        </w:rPr>
        <w:t xml:space="preserve">Risk 8 — Regulatory change, WHS and BIF Act equivalents (score 6). </w:t>
      </w:r>
      <w:r>
        <w:t>The Legal and Safety Tool Register (Chapter 27) is the direct operational answer to this risk — it is a living document specifically because the regulatory environment it tracks is not static.</w:t>
      </w:r>
    </w:p>
    <w:p>
      <w:pPr>
        <w:pStyle w:val="ListBullet"/>
      </w:pPr>
      <w:r>
        <w:rPr>
          <w:b/>
          <w:color w:val="252320"/>
        </w:rPr>
        <w:t xml:space="preserve">Risk 9 — Cybersecurity and data breach exposure (score 8). </w:t>
      </w:r>
      <w:r>
        <w:t>Currently low because Phase 1 stores no user data server-side by design. This risk rises materially at Phase 2 and is why Row Level Security and bcrypt password hashing are named as launch requirements, not later hardening, in Appendix B.</w:t>
      </w:r>
    </w:p>
    <w:p>
      <w:pPr>
        <w:pStyle w:val="ListBullet"/>
      </w:pPr>
      <w:r>
        <w:rPr>
          <w:b/>
          <w:color w:val="252320"/>
        </w:rPr>
        <w:t xml:space="preserve">Risk 11 — Churn above plan (score 9). </w:t>
      </w:r>
      <w:r>
        <w:t>Directly modelled in Chapter 20's sensitivity analysis; the mitigation is structural (Chapter 6's lock-in-through-value sequencing) rather than promotional (discounting to retain).</w:t>
      </w:r>
    </w:p>
    <w:p>
      <w:pPr>
        <w:pStyle w:val="ListBullet"/>
      </w:pPr>
      <w:r>
        <w:rPr>
          <w:b/>
          <w:color w:val="252320"/>
        </w:rPr>
        <w:t xml:space="preserve">Risk 12 — Talent acquisition in a tight market (score 4). </w:t>
      </w:r>
      <w:r>
        <w:t>Currently low-severity because hiring is deliberately deferred to revenue-justified milestones (Chapter 10) rather than spec hiring ahead of demonstrated need.</w:t>
      </w:r>
    </w:p>
    <w:p>
      <w:pPr>
        <w:pStyle w:val="BIKChapterLabel"/>
      </w:pPr>
      <w:r>
        <w:t>PART H — RISK &amp; COMPLIANCE</w:t>
      </w:r>
    </w:p>
    <w:p>
      <w:pPr>
        <w:pStyle w:val="BIKChapterTitle"/>
        <w:pBdr>
          <w:bottom w:val="single" w:sz="18" w:space="8" w:color="D85A30"/>
        </w:pBdr>
      </w:pPr>
      <w:r>
        <w:t>27   Legal, Safety &amp; Regulatory Compliance Register</w:t>
      </w:r>
    </w:p>
    <w:p>
      <w:pPr>
        <w:pStyle w:val="BIKH1"/>
      </w:pPr>
      <w:r>
        <w:t>Purpose and Governance</w:t>
      </w:r>
    </w:p>
    <w:p>
      <w:pPr>
        <w:pStyle w:val="BIKBody"/>
        <w:jc w:val="both"/>
      </w:pPr>
      <w:r>
        <w:t>BIK maintains a living Legal and Safety Tool Register recording the legal-risk profile, regulatory context, and safety classification of every tool in the Business Toolkit. Every tool must be reviewed before promotion from "Professional Review in Progress" to "Available in Beta." This chapter reproduces the register's structure and its current findings in full, because it is the single most important piece of evidence for any Board member, investor or partner assessing whether BIK's growth is being pursued responsibly.</w:t>
      </w:r>
    </w:p>
    <w:p>
      <w:pPr>
        <w:pStyle w:val="BIKH1"/>
      </w:pPr>
      <w:r>
        <w:t>Security of Payment Legislation by State/Territory</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State/Territory</w:t>
            </w:r>
          </w:p>
        </w:tc>
        <w:tc>
          <w:tcPr>
            <w:tcW w:type="dxa" w:w="2986"/>
            <w:shd w:val="clear" w:color="auto" w:fill="252320"/>
            <w:tcMar>
              <w:top w:w="60" w:type="dxa"/>
              <w:bottom w:w="60" w:type="dxa"/>
              <w:left w:w="100" w:type="dxa"/>
              <w:right w:w="100" w:type="dxa"/>
            </w:tcMar>
            <w:vAlign w:val="center"/>
          </w:tcPr>
          <w:p>
            <w:r/>
            <w:r>
              <w:rPr>
                <w:b/>
                <w:color w:val="FFFFFF"/>
                <w:sz w:val="18"/>
              </w:rPr>
              <w:t>Governing Act</w:t>
            </w:r>
          </w:p>
        </w:tc>
        <w:tc>
          <w:tcPr>
            <w:tcW w:type="dxa" w:w="2986"/>
            <w:shd w:val="clear" w:color="auto" w:fill="252320"/>
            <w:tcMar>
              <w:top w:w="60" w:type="dxa"/>
              <w:bottom w:w="60" w:type="dxa"/>
              <w:left w:w="100" w:type="dxa"/>
              <w:right w:w="100" w:type="dxa"/>
            </w:tcMar>
            <w:vAlign w:val="center"/>
          </w:tcPr>
          <w:p>
            <w:r/>
            <w:r>
              <w:rPr>
                <w:b/>
                <w:color w:val="FFFFFF"/>
                <w:sz w:val="18"/>
              </w:rPr>
              <w:t>Key feature</w:t>
            </w:r>
          </w:p>
        </w:tc>
      </w:tr>
      <w:tr>
        <w:tc>
          <w:tcPr>
            <w:tcW w:type="dxa" w:w="2986"/>
            <w:tcMar>
              <w:top w:w="60" w:type="dxa"/>
              <w:bottom w:w="60" w:type="dxa"/>
              <w:left w:w="100" w:type="dxa"/>
              <w:right w:w="100" w:type="dxa"/>
            </w:tcMar>
            <w:vAlign w:val="center"/>
          </w:tcPr>
          <w:p>
            <w:r/>
            <w:r>
              <w:rPr>
                <w:color w:val="3A3835"/>
                <w:sz w:val="18"/>
              </w:rPr>
              <w:t>Queensland</w:t>
            </w:r>
          </w:p>
        </w:tc>
        <w:tc>
          <w:tcPr>
            <w:tcW w:type="dxa" w:w="2986"/>
            <w:tcMar>
              <w:top w:w="60" w:type="dxa"/>
              <w:bottom w:w="60" w:type="dxa"/>
              <w:left w:w="100" w:type="dxa"/>
              <w:right w:w="100" w:type="dxa"/>
            </w:tcMar>
            <w:vAlign w:val="center"/>
          </w:tcPr>
          <w:p>
            <w:r/>
            <w:r>
              <w:rPr>
                <w:color w:val="3A3835"/>
                <w:sz w:val="18"/>
              </w:rPr>
              <w:t>Building Industry Fairness (Security of Payment) Act 2017 (BIF Act)</w:t>
            </w:r>
          </w:p>
        </w:tc>
        <w:tc>
          <w:tcPr>
            <w:tcW w:type="dxa" w:w="2986"/>
            <w:tcMar>
              <w:top w:w="60" w:type="dxa"/>
              <w:bottom w:w="60" w:type="dxa"/>
              <w:left w:w="100" w:type="dxa"/>
              <w:right w:w="100" w:type="dxa"/>
            </w:tcMar>
            <w:vAlign w:val="center"/>
          </w:tcPr>
          <w:p>
            <w:r/>
            <w:r>
              <w:rPr>
                <w:color w:val="3A3835"/>
                <w:sz w:val="18"/>
              </w:rPr>
              <w:t>Replaced BCIPA 2004; reference dates; supporting statements for head contractor claims; retention trust</w:t>
            </w:r>
          </w:p>
        </w:tc>
      </w:tr>
      <w:tr>
        <w:tc>
          <w:tcPr>
            <w:tcW w:type="dxa" w:w="2986"/>
            <w:tcMar>
              <w:top w:w="60" w:type="dxa"/>
              <w:bottom w:w="60" w:type="dxa"/>
              <w:left w:w="100" w:type="dxa"/>
              <w:right w:w="100" w:type="dxa"/>
            </w:tcMar>
            <w:vAlign w:val="center"/>
            <w:shd w:val="clear" w:color="auto" w:fill="F2EFEA"/>
          </w:tcPr>
          <w:p>
            <w:r/>
            <w:r>
              <w:rPr>
                <w:color w:val="3A3835"/>
                <w:sz w:val="18"/>
              </w:rPr>
              <w:t>New South Wales</w:t>
            </w:r>
          </w:p>
        </w:tc>
        <w:tc>
          <w:tcPr>
            <w:tcW w:type="dxa" w:w="2986"/>
            <w:tcMar>
              <w:top w:w="60" w:type="dxa"/>
              <w:bottom w:w="60" w:type="dxa"/>
              <w:left w:w="100" w:type="dxa"/>
              <w:right w:w="100" w:type="dxa"/>
            </w:tcMar>
            <w:vAlign w:val="center"/>
            <w:shd w:val="clear" w:color="auto" w:fill="F2EFEA"/>
          </w:tcPr>
          <w:p>
            <w:r/>
            <w:r>
              <w:rPr>
                <w:color w:val="3A3835"/>
                <w:sz w:val="18"/>
              </w:rPr>
              <w:t>Building and Construction Industry Security of Payment Act 1999 (NSW)</w:t>
            </w:r>
          </w:p>
        </w:tc>
        <w:tc>
          <w:tcPr>
            <w:tcW w:type="dxa" w:w="2986"/>
            <w:tcMar>
              <w:top w:w="60" w:type="dxa"/>
              <w:bottom w:w="60" w:type="dxa"/>
              <w:left w:w="100" w:type="dxa"/>
              <w:right w:w="100" w:type="dxa"/>
            </w:tcMar>
            <w:vAlign w:val="center"/>
            <w:shd w:val="clear" w:color="auto" w:fill="F2EFEA"/>
          </w:tcPr>
          <w:p>
            <w:r/>
            <w:r>
              <w:rPr>
                <w:color w:val="3A3835"/>
                <w:sz w:val="18"/>
              </w:rPr>
              <w:t>Reference date system</w:t>
            </w:r>
          </w:p>
        </w:tc>
      </w:tr>
      <w:tr>
        <w:tc>
          <w:tcPr>
            <w:tcW w:type="dxa" w:w="2986"/>
            <w:tcMar>
              <w:top w:w="60" w:type="dxa"/>
              <w:bottom w:w="60" w:type="dxa"/>
              <w:left w:w="100" w:type="dxa"/>
              <w:right w:w="100" w:type="dxa"/>
            </w:tcMar>
            <w:vAlign w:val="center"/>
          </w:tcPr>
          <w:p>
            <w:r/>
            <w:r>
              <w:rPr>
                <w:color w:val="3A3835"/>
                <w:sz w:val="18"/>
              </w:rPr>
              <w:t>Victoria</w:t>
            </w:r>
          </w:p>
        </w:tc>
        <w:tc>
          <w:tcPr>
            <w:tcW w:type="dxa" w:w="2986"/>
            <w:tcMar>
              <w:top w:w="60" w:type="dxa"/>
              <w:bottom w:w="60" w:type="dxa"/>
              <w:left w:w="100" w:type="dxa"/>
              <w:right w:w="100" w:type="dxa"/>
            </w:tcMar>
            <w:vAlign w:val="center"/>
          </w:tcPr>
          <w:p>
            <w:r/>
            <w:r>
              <w:rPr>
                <w:color w:val="3A3835"/>
                <w:sz w:val="18"/>
              </w:rPr>
              <w:t>Building and Construction Industry Security of Payment Act 2002 (Vic)</w:t>
            </w:r>
          </w:p>
        </w:tc>
        <w:tc>
          <w:tcPr>
            <w:tcW w:type="dxa" w:w="2986"/>
            <w:tcMar>
              <w:top w:w="60" w:type="dxa"/>
              <w:bottom w:w="60" w:type="dxa"/>
              <w:left w:w="100" w:type="dxa"/>
              <w:right w:w="100" w:type="dxa"/>
            </w:tcMar>
            <w:vAlign w:val="center"/>
          </w:tcPr>
          <w:p>
            <w:r/>
            <w:r>
              <w:rPr>
                <w:color w:val="3A3835"/>
                <w:sz w:val="18"/>
              </w:rPr>
              <w:t>—</w:t>
            </w:r>
          </w:p>
        </w:tc>
      </w:tr>
      <w:tr>
        <w:tc>
          <w:tcPr>
            <w:tcW w:type="dxa" w:w="2986"/>
            <w:tcMar>
              <w:top w:w="60" w:type="dxa"/>
              <w:bottom w:w="60" w:type="dxa"/>
              <w:left w:w="100" w:type="dxa"/>
              <w:right w:w="100" w:type="dxa"/>
            </w:tcMar>
            <w:vAlign w:val="center"/>
            <w:shd w:val="clear" w:color="auto" w:fill="F2EFEA"/>
          </w:tcPr>
          <w:p>
            <w:r/>
            <w:r>
              <w:rPr>
                <w:color w:val="3A3835"/>
                <w:sz w:val="18"/>
              </w:rPr>
              <w:t>South Australia</w:t>
            </w:r>
          </w:p>
        </w:tc>
        <w:tc>
          <w:tcPr>
            <w:tcW w:type="dxa" w:w="2986"/>
            <w:tcMar>
              <w:top w:w="60" w:type="dxa"/>
              <w:bottom w:w="60" w:type="dxa"/>
              <w:left w:w="100" w:type="dxa"/>
              <w:right w:w="100" w:type="dxa"/>
            </w:tcMar>
            <w:vAlign w:val="center"/>
            <w:shd w:val="clear" w:color="auto" w:fill="F2EFEA"/>
          </w:tcPr>
          <w:p>
            <w:r/>
            <w:r>
              <w:rPr>
                <w:color w:val="3A3835"/>
                <w:sz w:val="18"/>
              </w:rPr>
              <w:t>Building and Construction Industry Security of Payment Act 2009 (SA)</w:t>
            </w:r>
          </w:p>
        </w:tc>
        <w:tc>
          <w:tcPr>
            <w:tcW w:type="dxa" w:w="2986"/>
            <w:tcMar>
              <w:top w:w="60" w:type="dxa"/>
              <w:bottom w:w="60" w:type="dxa"/>
              <w:left w:w="100" w:type="dxa"/>
              <w:right w:w="100" w:type="dxa"/>
            </w:tcMar>
            <w:vAlign w:val="center"/>
            <w:shd w:val="clear" w:color="auto" w:fill="F2EFEA"/>
          </w:tcPr>
          <w:p>
            <w:r/>
            <w:r>
              <w:rPr>
                <w:color w:val="3A3835"/>
                <w:sz w:val="18"/>
              </w:rPr>
              <w:t>—</w:t>
            </w:r>
          </w:p>
        </w:tc>
      </w:tr>
      <w:tr>
        <w:tc>
          <w:tcPr>
            <w:tcW w:type="dxa" w:w="2986"/>
            <w:tcMar>
              <w:top w:w="60" w:type="dxa"/>
              <w:bottom w:w="60" w:type="dxa"/>
              <w:left w:w="100" w:type="dxa"/>
              <w:right w:w="100" w:type="dxa"/>
            </w:tcMar>
            <w:vAlign w:val="center"/>
          </w:tcPr>
          <w:p>
            <w:r/>
            <w:r>
              <w:rPr>
                <w:color w:val="3A3835"/>
                <w:sz w:val="18"/>
              </w:rPr>
              <w:t>Western Australia</w:t>
            </w:r>
          </w:p>
        </w:tc>
        <w:tc>
          <w:tcPr>
            <w:tcW w:type="dxa" w:w="2986"/>
            <w:tcMar>
              <w:top w:w="60" w:type="dxa"/>
              <w:bottom w:w="60" w:type="dxa"/>
              <w:left w:w="100" w:type="dxa"/>
              <w:right w:w="100" w:type="dxa"/>
            </w:tcMar>
            <w:vAlign w:val="center"/>
          </w:tcPr>
          <w:p>
            <w:r/>
            <w:r>
              <w:rPr>
                <w:color w:val="3A3835"/>
                <w:sz w:val="18"/>
              </w:rPr>
              <w:t>Construction Contracts Act 2004 (WA)</w:t>
            </w:r>
          </w:p>
        </w:tc>
        <w:tc>
          <w:tcPr>
            <w:tcW w:type="dxa" w:w="2986"/>
            <w:tcMar>
              <w:top w:w="60" w:type="dxa"/>
              <w:bottom w:w="60" w:type="dxa"/>
              <w:left w:w="100" w:type="dxa"/>
              <w:right w:w="100" w:type="dxa"/>
            </w:tcMar>
            <w:vAlign w:val="center"/>
          </w:tcPr>
          <w:p>
            <w:r/>
            <w:r>
              <w:rPr>
                <w:color w:val="3A3835"/>
                <w:sz w:val="18"/>
              </w:rPr>
              <w:t>Different regime — no reference-date system; payment disputes via adjudication</w:t>
            </w:r>
          </w:p>
        </w:tc>
      </w:tr>
      <w:tr>
        <w:tc>
          <w:tcPr>
            <w:tcW w:type="dxa" w:w="2986"/>
            <w:tcMar>
              <w:top w:w="60" w:type="dxa"/>
              <w:bottom w:w="60" w:type="dxa"/>
              <w:left w:w="100" w:type="dxa"/>
              <w:right w:w="100" w:type="dxa"/>
            </w:tcMar>
            <w:vAlign w:val="center"/>
            <w:shd w:val="clear" w:color="auto" w:fill="F2EFEA"/>
          </w:tcPr>
          <w:p>
            <w:r/>
            <w:r>
              <w:rPr>
                <w:color w:val="3A3835"/>
                <w:sz w:val="18"/>
              </w:rPr>
              <w:t>Tasmania</w:t>
            </w:r>
          </w:p>
        </w:tc>
        <w:tc>
          <w:tcPr>
            <w:tcW w:type="dxa" w:w="2986"/>
            <w:tcMar>
              <w:top w:w="60" w:type="dxa"/>
              <w:bottom w:w="60" w:type="dxa"/>
              <w:left w:w="100" w:type="dxa"/>
              <w:right w:w="100" w:type="dxa"/>
            </w:tcMar>
            <w:vAlign w:val="center"/>
            <w:shd w:val="clear" w:color="auto" w:fill="F2EFEA"/>
          </w:tcPr>
          <w:p>
            <w:r/>
            <w:r>
              <w:rPr>
                <w:color w:val="3A3835"/>
                <w:sz w:val="18"/>
              </w:rPr>
              <w:t>Building and Construction Industry Security of Payment Act 2009 (Tas)</w:t>
            </w:r>
          </w:p>
        </w:tc>
        <w:tc>
          <w:tcPr>
            <w:tcW w:type="dxa" w:w="2986"/>
            <w:tcMar>
              <w:top w:w="60" w:type="dxa"/>
              <w:bottom w:w="60" w:type="dxa"/>
              <w:left w:w="100" w:type="dxa"/>
              <w:right w:w="100" w:type="dxa"/>
            </w:tcMar>
            <w:vAlign w:val="center"/>
            <w:shd w:val="clear" w:color="auto" w:fill="F2EFEA"/>
          </w:tcPr>
          <w:p>
            <w:r/>
            <w:r>
              <w:rPr>
                <w:color w:val="3A3835"/>
                <w:sz w:val="18"/>
              </w:rPr>
              <w:t>—</w:t>
            </w:r>
          </w:p>
        </w:tc>
      </w:tr>
      <w:tr>
        <w:tc>
          <w:tcPr>
            <w:tcW w:type="dxa" w:w="2986"/>
            <w:tcMar>
              <w:top w:w="60" w:type="dxa"/>
              <w:bottom w:w="60" w:type="dxa"/>
              <w:left w:w="100" w:type="dxa"/>
              <w:right w:w="100" w:type="dxa"/>
            </w:tcMar>
            <w:vAlign w:val="center"/>
          </w:tcPr>
          <w:p>
            <w:r/>
            <w:r>
              <w:rPr>
                <w:color w:val="3A3835"/>
                <w:sz w:val="18"/>
              </w:rPr>
              <w:t>Northern Territory</w:t>
            </w:r>
          </w:p>
        </w:tc>
        <w:tc>
          <w:tcPr>
            <w:tcW w:type="dxa" w:w="2986"/>
            <w:tcMar>
              <w:top w:w="60" w:type="dxa"/>
              <w:bottom w:w="60" w:type="dxa"/>
              <w:left w:w="100" w:type="dxa"/>
              <w:right w:w="100" w:type="dxa"/>
            </w:tcMar>
            <w:vAlign w:val="center"/>
          </w:tcPr>
          <w:p>
            <w:r/>
            <w:r>
              <w:rPr>
                <w:color w:val="3A3835"/>
                <w:sz w:val="18"/>
              </w:rPr>
              <w:t>Construction Contracts (Security of Payments) Act 2004 (NT)</w:t>
            </w:r>
          </w:p>
        </w:tc>
        <w:tc>
          <w:tcPr>
            <w:tcW w:type="dxa" w:w="2986"/>
            <w:tcMar>
              <w:top w:w="60" w:type="dxa"/>
              <w:bottom w:w="60" w:type="dxa"/>
              <w:left w:w="100" w:type="dxa"/>
              <w:right w:w="100" w:type="dxa"/>
            </w:tcMar>
            <w:vAlign w:val="center"/>
          </w:tcPr>
          <w:p>
            <w:r/>
            <w:r>
              <w:rPr>
                <w:color w:val="3A3835"/>
                <w:sz w:val="18"/>
              </w:rPr>
              <w:t>—</w:t>
            </w:r>
          </w:p>
        </w:tc>
      </w:tr>
      <w:tr>
        <w:tc>
          <w:tcPr>
            <w:tcW w:type="dxa" w:w="2986"/>
            <w:tcMar>
              <w:top w:w="60" w:type="dxa"/>
              <w:bottom w:w="60" w:type="dxa"/>
              <w:left w:w="100" w:type="dxa"/>
              <w:right w:w="100" w:type="dxa"/>
            </w:tcMar>
            <w:vAlign w:val="center"/>
            <w:shd w:val="clear" w:color="auto" w:fill="F2EFEA"/>
          </w:tcPr>
          <w:p>
            <w:r/>
            <w:r>
              <w:rPr>
                <w:color w:val="3A3835"/>
                <w:sz w:val="18"/>
              </w:rPr>
              <w:t>Australian Capital Territory</w:t>
            </w:r>
          </w:p>
        </w:tc>
        <w:tc>
          <w:tcPr>
            <w:tcW w:type="dxa" w:w="2986"/>
            <w:tcMar>
              <w:top w:w="60" w:type="dxa"/>
              <w:bottom w:w="60" w:type="dxa"/>
              <w:left w:w="100" w:type="dxa"/>
              <w:right w:w="100" w:type="dxa"/>
            </w:tcMar>
            <w:vAlign w:val="center"/>
            <w:shd w:val="clear" w:color="auto" w:fill="F2EFEA"/>
          </w:tcPr>
          <w:p>
            <w:r/>
            <w:r>
              <w:rPr>
                <w:color w:val="3A3835"/>
                <w:sz w:val="18"/>
              </w:rPr>
              <w:t>Building and Construction Industry (Security of Payment) Act 2009 (ACT)</w:t>
            </w:r>
          </w:p>
        </w:tc>
        <w:tc>
          <w:tcPr>
            <w:tcW w:type="dxa" w:w="2986"/>
            <w:tcMar>
              <w:top w:w="60" w:type="dxa"/>
              <w:bottom w:w="60" w:type="dxa"/>
              <w:left w:w="100" w:type="dxa"/>
              <w:right w:w="100" w:type="dxa"/>
            </w:tcMar>
            <w:vAlign w:val="center"/>
            <w:shd w:val="clear" w:color="auto" w:fill="F2EFEA"/>
          </w:tcPr>
          <w:p>
            <w:r/>
            <w:r>
              <w:rPr>
                <w:color w:val="3A3835"/>
                <w:sz w:val="18"/>
              </w:rPr>
              <w:t>—</w:t>
            </w:r>
          </w:p>
        </w:tc>
      </w:tr>
    </w:tbl>
    <w:p>
      <w:pPr>
        <w:spacing w:after="120"/>
      </w:pP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IMPORTANT — STATED EXPLICITLY IN THE REGISTER</w:t>
            </w:r>
          </w:p>
          <w:p>
            <w:r>
              <w:rPr>
                <w:color w:val="FFFFFF"/>
                <w:sz w:val="20"/>
              </w:rPr>
              <w:t>The BIK Toolkit does not determine which legislation applies to a specific contract. The user is responsible for identifying their applicable jurisdiction and Act. This limitation is disclosed in-product, not only in this document.</w:t>
            </w:r>
          </w:p>
        </w:tc>
      </w:tr>
    </w:tbl>
    <w:p>
      <w:pPr>
        <w:spacing w:after="80"/>
      </w:pPr>
    </w:p>
    <w:p>
      <w:pPr>
        <w:pStyle w:val="BIKH1"/>
      </w:pPr>
      <w:r>
        <w:t>Tool-by-Tool Release Status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7"/>
              </w:rPr>
              <w:t>Tool</w:t>
            </w:r>
          </w:p>
        </w:tc>
        <w:tc>
          <w:tcPr>
            <w:tcW w:type="dxa" w:w="2986"/>
            <w:shd w:val="clear" w:color="auto" w:fill="252320"/>
            <w:tcMar>
              <w:top w:w="60" w:type="dxa"/>
              <w:bottom w:w="60" w:type="dxa"/>
              <w:left w:w="100" w:type="dxa"/>
              <w:right w:w="100" w:type="dxa"/>
            </w:tcMar>
            <w:vAlign w:val="center"/>
          </w:tcPr>
          <w:p>
            <w:r/>
            <w:r>
              <w:rPr>
                <w:b/>
                <w:color w:val="FFFFFF"/>
                <w:sz w:val="17"/>
              </w:rPr>
              <w:t>Release status</w:t>
            </w:r>
          </w:p>
        </w:tc>
        <w:tc>
          <w:tcPr>
            <w:tcW w:type="dxa" w:w="2986"/>
            <w:shd w:val="clear" w:color="auto" w:fill="252320"/>
            <w:tcMar>
              <w:top w:w="60" w:type="dxa"/>
              <w:bottom w:w="60" w:type="dxa"/>
              <w:left w:w="100" w:type="dxa"/>
              <w:right w:w="100" w:type="dxa"/>
            </w:tcMar>
            <w:vAlign w:val="center"/>
          </w:tcPr>
          <w:p>
            <w:r/>
            <w:r>
              <w:rPr>
                <w:b/>
                <w:color w:val="FFFFFF"/>
                <w:sz w:val="17"/>
              </w:rPr>
              <w:t>Key regulatory note</w:t>
            </w:r>
          </w:p>
        </w:tc>
      </w:tr>
      <w:tr>
        <w:tc>
          <w:tcPr>
            <w:tcW w:type="dxa" w:w="2986"/>
            <w:tcMar>
              <w:top w:w="60" w:type="dxa"/>
              <w:bottom w:w="60" w:type="dxa"/>
              <w:left w:w="100" w:type="dxa"/>
              <w:right w:w="100" w:type="dxa"/>
            </w:tcMar>
            <w:vAlign w:val="center"/>
          </w:tcPr>
          <w:p>
            <w:r/>
            <w:r>
              <w:rPr>
                <w:color w:val="3A3835"/>
                <w:sz w:val="17"/>
              </w:rPr>
              <w:t>Variation Notice</w:t>
            </w:r>
          </w:p>
        </w:tc>
        <w:tc>
          <w:tcPr>
            <w:tcW w:type="dxa" w:w="2986"/>
            <w:tcMar>
              <w:top w:w="60" w:type="dxa"/>
              <w:bottom w:w="60" w:type="dxa"/>
              <w:left w:w="100" w:type="dxa"/>
              <w:right w:w="100" w:type="dxa"/>
            </w:tcMar>
            <w:vAlign w:val="center"/>
          </w:tcPr>
          <w:p>
            <w:r/>
            <w:r>
              <w:rPr>
                <w:color w:val="3A3835"/>
                <w:sz w:val="17"/>
              </w:rPr>
              <w:t>Live — production ready</w:t>
            </w:r>
          </w:p>
        </w:tc>
        <w:tc>
          <w:tcPr>
            <w:tcW w:type="dxa" w:w="2986"/>
            <w:tcMar>
              <w:top w:w="60" w:type="dxa"/>
              <w:bottom w:w="60" w:type="dxa"/>
              <w:left w:w="100" w:type="dxa"/>
              <w:right w:w="100" w:type="dxa"/>
            </w:tcMar>
            <w:vAlign w:val="center"/>
          </w:tcPr>
          <w:p>
            <w:r/>
            <w:r>
              <w:rPr>
                <w:color w:val="3A3835"/>
                <w:sz w:val="17"/>
              </w:rPr>
              <w:t>No formal legal review flag; standard commercial document practice</w:t>
            </w:r>
          </w:p>
        </w:tc>
      </w:tr>
      <w:tr>
        <w:tc>
          <w:tcPr>
            <w:tcW w:type="dxa" w:w="2986"/>
            <w:tcMar>
              <w:top w:w="60" w:type="dxa"/>
              <w:bottom w:w="60" w:type="dxa"/>
              <w:left w:w="100" w:type="dxa"/>
              <w:right w:w="100" w:type="dxa"/>
            </w:tcMar>
            <w:vAlign w:val="center"/>
            <w:shd w:val="clear" w:color="auto" w:fill="F2EFEA"/>
          </w:tcPr>
          <w:p>
            <w:r/>
            <w:r>
              <w:rPr>
                <w:color w:val="3A3835"/>
                <w:sz w:val="17"/>
              </w:rPr>
              <w:t>Quote Builder</w:t>
            </w:r>
          </w:p>
        </w:tc>
        <w:tc>
          <w:tcPr>
            <w:tcW w:type="dxa" w:w="2986"/>
            <w:tcMar>
              <w:top w:w="60" w:type="dxa"/>
              <w:bottom w:w="60" w:type="dxa"/>
              <w:left w:w="100" w:type="dxa"/>
              <w:right w:w="100" w:type="dxa"/>
            </w:tcMar>
            <w:vAlign w:val="center"/>
            <w:shd w:val="clear" w:color="auto" w:fill="F2EFEA"/>
          </w:tcPr>
          <w:p>
            <w:r/>
            <w:r>
              <w:rPr>
                <w:color w:val="3A3835"/>
                <w:sz w:val="17"/>
              </w:rPr>
              <w:t>Live — beta</w:t>
            </w:r>
          </w:p>
        </w:tc>
        <w:tc>
          <w:tcPr>
            <w:tcW w:type="dxa" w:w="2986"/>
            <w:tcMar>
              <w:top w:w="60" w:type="dxa"/>
              <w:bottom w:w="60" w:type="dxa"/>
              <w:left w:w="100" w:type="dxa"/>
              <w:right w:w="100" w:type="dxa"/>
            </w:tcMar>
            <w:vAlign w:val="center"/>
            <w:shd w:val="clear" w:color="auto" w:fill="F2EFEA"/>
          </w:tcPr>
          <w:p>
            <w:r/>
            <w:r>
              <w:rPr>
                <w:color w:val="3A3835"/>
                <w:sz w:val="17"/>
              </w:rPr>
              <w:t>No formal legal review flag</w:t>
            </w:r>
          </w:p>
        </w:tc>
      </w:tr>
      <w:tr>
        <w:tc>
          <w:tcPr>
            <w:tcW w:type="dxa" w:w="2986"/>
            <w:tcMar>
              <w:top w:w="60" w:type="dxa"/>
              <w:bottom w:w="60" w:type="dxa"/>
              <w:left w:w="100" w:type="dxa"/>
              <w:right w:w="100" w:type="dxa"/>
            </w:tcMar>
            <w:vAlign w:val="center"/>
          </w:tcPr>
          <w:p>
            <w:r/>
            <w:r>
              <w:rPr>
                <w:color w:val="3A3835"/>
                <w:sz w:val="17"/>
              </w:rPr>
              <w:t>Scope of Works</w:t>
            </w:r>
          </w:p>
        </w:tc>
        <w:tc>
          <w:tcPr>
            <w:tcW w:type="dxa" w:w="2986"/>
            <w:tcMar>
              <w:top w:w="60" w:type="dxa"/>
              <w:bottom w:w="60" w:type="dxa"/>
              <w:left w:w="100" w:type="dxa"/>
              <w:right w:w="100" w:type="dxa"/>
            </w:tcMar>
            <w:vAlign w:val="center"/>
          </w:tcPr>
          <w:p>
            <w:r/>
            <w:r>
              <w:rPr>
                <w:color w:val="3A3835"/>
                <w:sz w:val="17"/>
              </w:rPr>
              <w:t>Live — beta</w:t>
            </w:r>
          </w:p>
        </w:tc>
        <w:tc>
          <w:tcPr>
            <w:tcW w:type="dxa" w:w="2986"/>
            <w:tcMar>
              <w:top w:w="60" w:type="dxa"/>
              <w:bottom w:w="60" w:type="dxa"/>
              <w:left w:w="100" w:type="dxa"/>
              <w:right w:w="100" w:type="dxa"/>
            </w:tcMar>
            <w:vAlign w:val="center"/>
          </w:tcPr>
          <w:p>
            <w:r/>
            <w:r>
              <w:rPr>
                <w:color w:val="3A3835"/>
                <w:sz w:val="17"/>
              </w:rPr>
              <w:t>No formal legal review flag</w:t>
            </w:r>
          </w:p>
        </w:tc>
      </w:tr>
      <w:tr>
        <w:tc>
          <w:tcPr>
            <w:tcW w:type="dxa" w:w="2986"/>
            <w:tcMar>
              <w:top w:w="60" w:type="dxa"/>
              <w:bottom w:w="60" w:type="dxa"/>
              <w:left w:w="100" w:type="dxa"/>
              <w:right w:w="100" w:type="dxa"/>
            </w:tcMar>
            <w:vAlign w:val="center"/>
            <w:shd w:val="clear" w:color="auto" w:fill="F2EFEA"/>
          </w:tcPr>
          <w:p>
            <w:r/>
            <w:r>
              <w:rPr>
                <w:color w:val="3A3835"/>
                <w:sz w:val="17"/>
              </w:rPr>
              <w:t>Site Diary</w:t>
            </w:r>
          </w:p>
        </w:tc>
        <w:tc>
          <w:tcPr>
            <w:tcW w:type="dxa" w:w="2986"/>
            <w:tcMar>
              <w:top w:w="60" w:type="dxa"/>
              <w:bottom w:w="60" w:type="dxa"/>
              <w:left w:w="100" w:type="dxa"/>
              <w:right w:w="100" w:type="dxa"/>
            </w:tcMar>
            <w:vAlign w:val="center"/>
            <w:shd w:val="clear" w:color="auto" w:fill="F2EFEA"/>
          </w:tcPr>
          <w:p>
            <w:r/>
            <w:r>
              <w:rPr>
                <w:color w:val="3A3835"/>
                <w:sz w:val="17"/>
              </w:rPr>
              <w:t>Live — beta</w:t>
            </w:r>
          </w:p>
        </w:tc>
        <w:tc>
          <w:tcPr>
            <w:tcW w:type="dxa" w:w="2986"/>
            <w:tcMar>
              <w:top w:w="60" w:type="dxa"/>
              <w:bottom w:w="60" w:type="dxa"/>
              <w:left w:w="100" w:type="dxa"/>
              <w:right w:w="100" w:type="dxa"/>
            </w:tcMar>
            <w:vAlign w:val="center"/>
            <w:shd w:val="clear" w:color="auto" w:fill="F2EFEA"/>
          </w:tcPr>
          <w:p>
            <w:r/>
            <w:r>
              <w:rPr>
                <w:color w:val="3A3835"/>
                <w:sz w:val="17"/>
              </w:rPr>
              <w:t>Record-keeping tool; supports WHS due diligence, no specific statutory form required</w:t>
            </w:r>
          </w:p>
        </w:tc>
      </w:tr>
      <w:tr>
        <w:tc>
          <w:tcPr>
            <w:tcW w:type="dxa" w:w="2986"/>
            <w:tcMar>
              <w:top w:w="60" w:type="dxa"/>
              <w:bottom w:w="60" w:type="dxa"/>
              <w:left w:w="100" w:type="dxa"/>
              <w:right w:w="100" w:type="dxa"/>
            </w:tcMar>
            <w:vAlign w:val="center"/>
          </w:tcPr>
          <w:p>
            <w:r/>
            <w:r>
              <w:rPr>
                <w:color w:val="3A3835"/>
                <w:sz w:val="17"/>
              </w:rPr>
              <w:t>Defect Report</w:t>
            </w:r>
          </w:p>
        </w:tc>
        <w:tc>
          <w:tcPr>
            <w:tcW w:type="dxa" w:w="2986"/>
            <w:tcMar>
              <w:top w:w="60" w:type="dxa"/>
              <w:bottom w:w="60" w:type="dxa"/>
              <w:left w:w="100" w:type="dxa"/>
              <w:right w:w="100" w:type="dxa"/>
            </w:tcMar>
            <w:vAlign w:val="center"/>
          </w:tcPr>
          <w:p>
            <w:r/>
            <w:r>
              <w:rPr>
                <w:color w:val="3A3835"/>
                <w:sz w:val="17"/>
              </w:rPr>
              <w:t>Live — beta</w:t>
            </w:r>
          </w:p>
        </w:tc>
        <w:tc>
          <w:tcPr>
            <w:tcW w:type="dxa" w:w="2986"/>
            <w:tcMar>
              <w:top w:w="60" w:type="dxa"/>
              <w:bottom w:w="60" w:type="dxa"/>
              <w:left w:w="100" w:type="dxa"/>
              <w:right w:w="100" w:type="dxa"/>
            </w:tcMar>
            <w:vAlign w:val="center"/>
          </w:tcPr>
          <w:p>
            <w:r/>
            <w:r>
              <w:rPr>
                <w:color w:val="3A3835"/>
                <w:sz w:val="17"/>
              </w:rPr>
              <w:t>Structured record appropriate for DLP (defects liability period) and dispute use</w:t>
            </w:r>
          </w:p>
        </w:tc>
      </w:tr>
      <w:tr>
        <w:tc>
          <w:tcPr>
            <w:tcW w:type="dxa" w:w="2986"/>
            <w:tcMar>
              <w:top w:w="60" w:type="dxa"/>
              <w:bottom w:w="60" w:type="dxa"/>
              <w:left w:w="100" w:type="dxa"/>
              <w:right w:w="100" w:type="dxa"/>
            </w:tcMar>
            <w:vAlign w:val="center"/>
            <w:shd w:val="clear" w:color="auto" w:fill="F2EFEA"/>
          </w:tcPr>
          <w:p>
            <w:r/>
            <w:r>
              <w:rPr>
                <w:color w:val="3A3835"/>
                <w:sz w:val="17"/>
              </w:rPr>
              <w:t>Toolbox Talk</w:t>
            </w:r>
          </w:p>
        </w:tc>
        <w:tc>
          <w:tcPr>
            <w:tcW w:type="dxa" w:w="2986"/>
            <w:tcMar>
              <w:top w:w="60" w:type="dxa"/>
              <w:bottom w:w="60" w:type="dxa"/>
              <w:left w:w="100" w:type="dxa"/>
              <w:right w:w="100" w:type="dxa"/>
            </w:tcMar>
            <w:vAlign w:val="center"/>
            <w:shd w:val="clear" w:color="auto" w:fill="F2EFEA"/>
          </w:tcPr>
          <w:p>
            <w:r/>
            <w:r>
              <w:rPr>
                <w:color w:val="3A3835"/>
                <w:sz w:val="17"/>
              </w:rPr>
              <w:t>Available in Beta</w:t>
            </w:r>
          </w:p>
        </w:tc>
        <w:tc>
          <w:tcPr>
            <w:tcW w:type="dxa" w:w="2986"/>
            <w:tcMar>
              <w:top w:w="60" w:type="dxa"/>
              <w:bottom w:w="60" w:type="dxa"/>
              <w:left w:w="100" w:type="dxa"/>
              <w:right w:w="100" w:type="dxa"/>
            </w:tcMar>
            <w:vAlign w:val="center"/>
            <w:shd w:val="clear" w:color="auto" w:fill="F2EFEA"/>
          </w:tcPr>
          <w:p>
            <w:r/>
            <w:r>
              <w:rPr>
                <w:color w:val="3A3835"/>
                <w:sz w:val="17"/>
              </w:rPr>
              <w:t>No specific statutory form; supports WHS due diligence obligations</w:t>
            </w:r>
          </w:p>
        </w:tc>
      </w:tr>
      <w:tr>
        <w:tc>
          <w:tcPr>
            <w:tcW w:type="dxa" w:w="2986"/>
            <w:tcMar>
              <w:top w:w="60" w:type="dxa"/>
              <w:bottom w:w="60" w:type="dxa"/>
              <w:left w:w="100" w:type="dxa"/>
              <w:right w:w="100" w:type="dxa"/>
            </w:tcMar>
            <w:vAlign w:val="center"/>
          </w:tcPr>
          <w:p>
            <w:r/>
            <w:r>
              <w:rPr>
                <w:color w:val="3A3835"/>
                <w:sz w:val="17"/>
              </w:rPr>
              <w:t>Handover Checklist</w:t>
            </w:r>
          </w:p>
        </w:tc>
        <w:tc>
          <w:tcPr>
            <w:tcW w:type="dxa" w:w="2986"/>
            <w:tcMar>
              <w:top w:w="60" w:type="dxa"/>
              <w:bottom w:w="60" w:type="dxa"/>
              <w:left w:w="100" w:type="dxa"/>
              <w:right w:w="100" w:type="dxa"/>
            </w:tcMar>
            <w:vAlign w:val="center"/>
          </w:tcPr>
          <w:p>
            <w:r/>
            <w:r>
              <w:rPr>
                <w:color w:val="3A3835"/>
                <w:sz w:val="17"/>
              </w:rPr>
              <w:t>Available in Beta</w:t>
            </w:r>
          </w:p>
        </w:tc>
        <w:tc>
          <w:tcPr>
            <w:tcW w:type="dxa" w:w="2986"/>
            <w:tcMar>
              <w:top w:w="60" w:type="dxa"/>
              <w:bottom w:w="60" w:type="dxa"/>
              <w:left w:w="100" w:type="dxa"/>
              <w:right w:w="100" w:type="dxa"/>
            </w:tcMar>
            <w:vAlign w:val="center"/>
          </w:tcPr>
          <w:p>
            <w:r/>
            <w:r>
              <w:rPr>
                <w:color w:val="3A3835"/>
                <w:sz w:val="17"/>
              </w:rPr>
              <w:t>No specific compliance requirement — record document</w:t>
            </w:r>
          </w:p>
        </w:tc>
      </w:tr>
      <w:tr>
        <w:tc>
          <w:tcPr>
            <w:tcW w:type="dxa" w:w="2986"/>
            <w:tcMar>
              <w:top w:w="60" w:type="dxa"/>
              <w:bottom w:w="60" w:type="dxa"/>
              <w:left w:w="100" w:type="dxa"/>
              <w:right w:w="100" w:type="dxa"/>
            </w:tcMar>
            <w:vAlign w:val="center"/>
            <w:shd w:val="clear" w:color="auto" w:fill="F2EFEA"/>
          </w:tcPr>
          <w:p>
            <w:r/>
            <w:r>
              <w:rPr>
                <w:color w:val="3A3835"/>
                <w:sz w:val="17"/>
              </w:rPr>
              <w:t>Non-Conformance Report</w:t>
            </w:r>
          </w:p>
        </w:tc>
        <w:tc>
          <w:tcPr>
            <w:tcW w:type="dxa" w:w="2986"/>
            <w:tcMar>
              <w:top w:w="60" w:type="dxa"/>
              <w:bottom w:w="60" w:type="dxa"/>
              <w:left w:w="100" w:type="dxa"/>
              <w:right w:w="100" w:type="dxa"/>
            </w:tcMar>
            <w:vAlign w:val="center"/>
            <w:shd w:val="clear" w:color="auto" w:fill="F2EFEA"/>
          </w:tcPr>
          <w:p>
            <w:r/>
            <w:r>
              <w:rPr>
                <w:color w:val="3A3835"/>
                <w:sz w:val="17"/>
              </w:rPr>
              <w:t>Available in Beta</w:t>
            </w:r>
          </w:p>
        </w:tc>
        <w:tc>
          <w:tcPr>
            <w:tcW w:type="dxa" w:w="2986"/>
            <w:tcMar>
              <w:top w:w="60" w:type="dxa"/>
              <w:bottom w:w="60" w:type="dxa"/>
              <w:left w:w="100" w:type="dxa"/>
              <w:right w:w="100" w:type="dxa"/>
            </w:tcMar>
            <w:vAlign w:val="center"/>
            <w:shd w:val="clear" w:color="auto" w:fill="F2EFEA"/>
          </w:tcPr>
          <w:p>
            <w:r/>
            <w:r>
              <w:rPr>
                <w:color w:val="3A3835"/>
                <w:sz w:val="17"/>
              </w:rPr>
              <w:t>Quality management record; no specific regulatory form</w:t>
            </w:r>
          </w:p>
        </w:tc>
      </w:tr>
      <w:tr>
        <w:tc>
          <w:tcPr>
            <w:tcW w:type="dxa" w:w="2986"/>
            <w:tcMar>
              <w:top w:w="60" w:type="dxa"/>
              <w:bottom w:w="60" w:type="dxa"/>
              <w:left w:w="100" w:type="dxa"/>
              <w:right w:w="100" w:type="dxa"/>
            </w:tcMar>
            <w:vAlign w:val="center"/>
          </w:tcPr>
          <w:p>
            <w:r/>
            <w:r>
              <w:rPr>
                <w:color w:val="3A3835"/>
                <w:sz w:val="17"/>
              </w:rPr>
              <w:t>Inspection Checklist</w:t>
            </w:r>
          </w:p>
        </w:tc>
        <w:tc>
          <w:tcPr>
            <w:tcW w:type="dxa" w:w="2986"/>
            <w:tcMar>
              <w:top w:w="60" w:type="dxa"/>
              <w:bottom w:w="60" w:type="dxa"/>
              <w:left w:w="100" w:type="dxa"/>
              <w:right w:w="100" w:type="dxa"/>
            </w:tcMar>
            <w:vAlign w:val="center"/>
          </w:tcPr>
          <w:p>
            <w:r/>
            <w:r>
              <w:rPr>
                <w:color w:val="3A3835"/>
                <w:sz w:val="17"/>
              </w:rPr>
              <w:t>Available in Beta</w:t>
            </w:r>
          </w:p>
        </w:tc>
        <w:tc>
          <w:tcPr>
            <w:tcW w:type="dxa" w:w="2986"/>
            <w:tcMar>
              <w:top w:w="60" w:type="dxa"/>
              <w:bottom w:w="60" w:type="dxa"/>
              <w:left w:w="100" w:type="dxa"/>
              <w:right w:w="100" w:type="dxa"/>
            </w:tcMar>
            <w:vAlign w:val="center"/>
          </w:tcPr>
          <w:p>
            <w:r/>
            <w:r>
              <w:rPr>
                <w:color w:val="3A3835"/>
                <w:sz w:val="17"/>
              </w:rPr>
              <w:t>Building inspection record; no specific compliance requirement for the form</w:t>
            </w:r>
          </w:p>
        </w:tc>
      </w:tr>
      <w:tr>
        <w:tc>
          <w:tcPr>
            <w:tcW w:type="dxa" w:w="2986"/>
            <w:tcMar>
              <w:top w:w="60" w:type="dxa"/>
              <w:bottom w:w="60" w:type="dxa"/>
              <w:left w:w="100" w:type="dxa"/>
              <w:right w:w="100" w:type="dxa"/>
            </w:tcMar>
            <w:vAlign w:val="center"/>
            <w:shd w:val="clear" w:color="auto" w:fill="F2EFEA"/>
          </w:tcPr>
          <w:p>
            <w:r/>
            <w:r>
              <w:rPr>
                <w:color w:val="3A3835"/>
                <w:sz w:val="17"/>
              </w:rPr>
              <w:t>Progress Claim</w:t>
            </w:r>
          </w:p>
        </w:tc>
        <w:tc>
          <w:tcPr>
            <w:tcW w:type="dxa" w:w="2986"/>
            <w:tcMar>
              <w:top w:w="60" w:type="dxa"/>
              <w:bottom w:w="60" w:type="dxa"/>
              <w:left w:w="100" w:type="dxa"/>
              <w:right w:w="100" w:type="dxa"/>
            </w:tcMar>
            <w:vAlign w:val="center"/>
            <w:shd w:val="clear" w:color="auto" w:fill="F2EFEA"/>
          </w:tcPr>
          <w:p>
            <w:r/>
            <w:r>
              <w:rPr>
                <w:color w:val="3A3835"/>
                <w:sz w:val="17"/>
              </w:rPr>
              <w:t>Controlled Beta</w:t>
            </w:r>
          </w:p>
        </w:tc>
        <w:tc>
          <w:tcPr>
            <w:tcW w:type="dxa" w:w="2986"/>
            <w:tcMar>
              <w:top w:w="60" w:type="dxa"/>
              <w:bottom w:w="60" w:type="dxa"/>
              <w:left w:w="100" w:type="dxa"/>
              <w:right w:w="100" w:type="dxa"/>
            </w:tcMar>
            <w:vAlign w:val="center"/>
            <w:shd w:val="clear" w:color="auto" w:fill="F2EFEA"/>
          </w:tcPr>
          <w:p>
            <w:r/>
            <w:r>
              <w:rPr>
                <w:color w:val="3A3835"/>
                <w:sz w:val="17"/>
              </w:rPr>
              <w:t>BIF Act reference-date and supporting-statement requirements apply in Queensland; BIK does not calculate reference dates or assess statutory compliance — construction lawyer review pending</w:t>
            </w:r>
          </w:p>
        </w:tc>
      </w:tr>
      <w:tr>
        <w:tc>
          <w:tcPr>
            <w:tcW w:type="dxa" w:w="2986"/>
            <w:tcMar>
              <w:top w:w="60" w:type="dxa"/>
              <w:bottom w:w="60" w:type="dxa"/>
              <w:left w:w="100" w:type="dxa"/>
              <w:right w:w="100" w:type="dxa"/>
            </w:tcMar>
            <w:vAlign w:val="center"/>
          </w:tcPr>
          <w:p>
            <w:r/>
            <w:r>
              <w:rPr>
                <w:color w:val="3A3835"/>
                <w:sz w:val="17"/>
              </w:rPr>
              <w:t>Payment Reminder</w:t>
            </w:r>
          </w:p>
        </w:tc>
        <w:tc>
          <w:tcPr>
            <w:tcW w:type="dxa" w:w="2986"/>
            <w:tcMar>
              <w:top w:w="60" w:type="dxa"/>
              <w:bottom w:w="60" w:type="dxa"/>
              <w:left w:w="100" w:type="dxa"/>
              <w:right w:w="100" w:type="dxa"/>
            </w:tcMar>
            <w:vAlign w:val="center"/>
          </w:tcPr>
          <w:p>
            <w:r/>
            <w:r>
              <w:rPr>
                <w:color w:val="3A3835"/>
                <w:sz w:val="17"/>
              </w:rPr>
              <w:t>Controlled Beta</w:t>
            </w:r>
          </w:p>
        </w:tc>
        <w:tc>
          <w:tcPr>
            <w:tcW w:type="dxa" w:w="2986"/>
            <w:tcMar>
              <w:top w:w="60" w:type="dxa"/>
              <w:bottom w:w="60" w:type="dxa"/>
              <w:left w:w="100" w:type="dxa"/>
              <w:right w:w="100" w:type="dxa"/>
            </w:tcMar>
            <w:vAlign w:val="center"/>
          </w:tcPr>
          <w:p>
            <w:r/>
            <w:r>
              <w:rPr>
                <w:color w:val="3A3835"/>
                <w:sz w:val="17"/>
              </w:rPr>
              <w:t>Level 3 (final notice) copy references suspension of works; user must independently verify contractual right to suspend; partial legal review complete</w:t>
            </w:r>
          </w:p>
        </w:tc>
      </w:tr>
      <w:tr>
        <w:tc>
          <w:tcPr>
            <w:tcW w:type="dxa" w:w="2986"/>
            <w:tcMar>
              <w:top w:w="60" w:type="dxa"/>
              <w:bottom w:w="60" w:type="dxa"/>
              <w:left w:w="100" w:type="dxa"/>
              <w:right w:w="100" w:type="dxa"/>
            </w:tcMar>
            <w:vAlign w:val="center"/>
            <w:shd w:val="clear" w:color="auto" w:fill="F2EFEA"/>
          </w:tcPr>
          <w:p>
            <w:r/>
            <w:r>
              <w:rPr>
                <w:color w:val="3A3835"/>
                <w:sz w:val="17"/>
              </w:rPr>
              <w:t>Practical Completion Notice</w:t>
            </w:r>
          </w:p>
        </w:tc>
        <w:tc>
          <w:tcPr>
            <w:tcW w:type="dxa" w:w="2986"/>
            <w:tcMar>
              <w:top w:w="60" w:type="dxa"/>
              <w:bottom w:w="60" w:type="dxa"/>
              <w:left w:w="100" w:type="dxa"/>
              <w:right w:w="100" w:type="dxa"/>
            </w:tcMar>
            <w:vAlign w:val="center"/>
            <w:shd w:val="clear" w:color="auto" w:fill="F2EFEA"/>
          </w:tcPr>
          <w:p>
            <w:r/>
            <w:r>
              <w:rPr>
                <w:color w:val="3A3835"/>
                <w:sz w:val="17"/>
              </w:rPr>
              <w:t>Controlled Beta</w:t>
            </w:r>
          </w:p>
        </w:tc>
        <w:tc>
          <w:tcPr>
            <w:tcW w:type="dxa" w:w="2986"/>
            <w:tcMar>
              <w:top w:w="60" w:type="dxa"/>
              <w:bottom w:w="60" w:type="dxa"/>
              <w:left w:w="100" w:type="dxa"/>
              <w:right w:w="100" w:type="dxa"/>
            </w:tcMar>
            <w:vAlign w:val="center"/>
            <w:shd w:val="clear" w:color="auto" w:fill="F2EFEA"/>
          </w:tcPr>
          <w:p>
            <w:r/>
            <w:r>
              <w:rPr>
                <w:color w:val="3A3835"/>
                <w:sz w:val="17"/>
              </w:rPr>
              <w:t>Contract-specific requirements differ between residential (QBCC) and commercial (AS4000) contracts</w:t>
            </w:r>
          </w:p>
        </w:tc>
      </w:tr>
      <w:tr>
        <w:tc>
          <w:tcPr>
            <w:tcW w:type="dxa" w:w="2986"/>
            <w:tcMar>
              <w:top w:w="60" w:type="dxa"/>
              <w:bottom w:w="60" w:type="dxa"/>
              <w:left w:w="100" w:type="dxa"/>
              <w:right w:w="100" w:type="dxa"/>
            </w:tcMar>
            <w:vAlign w:val="center"/>
          </w:tcPr>
          <w:p>
            <w:r/>
            <w:r>
              <w:rPr>
                <w:color w:val="3A3835"/>
                <w:sz w:val="17"/>
              </w:rPr>
              <w:t>Instruction to Proceed</w:t>
            </w:r>
          </w:p>
        </w:tc>
        <w:tc>
          <w:tcPr>
            <w:tcW w:type="dxa" w:w="2986"/>
            <w:tcMar>
              <w:top w:w="60" w:type="dxa"/>
              <w:bottom w:w="60" w:type="dxa"/>
              <w:left w:w="100" w:type="dxa"/>
              <w:right w:w="100" w:type="dxa"/>
            </w:tcMar>
            <w:vAlign w:val="center"/>
          </w:tcPr>
          <w:p>
            <w:r/>
            <w:r>
              <w:rPr>
                <w:color w:val="3A3835"/>
                <w:sz w:val="17"/>
              </w:rPr>
              <w:t>Controlled Beta</w:t>
            </w:r>
          </w:p>
        </w:tc>
        <w:tc>
          <w:tcPr>
            <w:tcW w:type="dxa" w:w="2986"/>
            <w:tcMar>
              <w:top w:w="60" w:type="dxa"/>
              <w:bottom w:w="60" w:type="dxa"/>
              <w:left w:w="100" w:type="dxa"/>
              <w:right w:w="100" w:type="dxa"/>
            </w:tcMar>
            <w:vAlign w:val="center"/>
          </w:tcPr>
          <w:p>
            <w:r/>
            <w:r>
              <w:rPr>
                <w:color w:val="3A3835"/>
                <w:sz w:val="17"/>
              </w:rPr>
              <w:t>Creates written financial authorisation only — does not carry the same legal weight as a formal contract variation</w:t>
            </w:r>
          </w:p>
        </w:tc>
      </w:tr>
      <w:tr>
        <w:tc>
          <w:tcPr>
            <w:tcW w:type="dxa" w:w="2986"/>
            <w:tcMar>
              <w:top w:w="60" w:type="dxa"/>
              <w:bottom w:w="60" w:type="dxa"/>
              <w:left w:w="100" w:type="dxa"/>
              <w:right w:w="100" w:type="dxa"/>
            </w:tcMar>
            <w:vAlign w:val="center"/>
            <w:shd w:val="clear" w:color="auto" w:fill="F2EFEA"/>
          </w:tcPr>
          <w:p>
            <w:r/>
            <w:r>
              <w:rPr>
                <w:color w:val="3A3835"/>
                <w:sz w:val="17"/>
              </w:rPr>
              <w:t>Incident Report</w:t>
            </w:r>
          </w:p>
        </w:tc>
        <w:tc>
          <w:tcPr>
            <w:tcW w:type="dxa" w:w="2986"/>
            <w:tcMar>
              <w:top w:w="60" w:type="dxa"/>
              <w:bottom w:w="60" w:type="dxa"/>
              <w:left w:w="100" w:type="dxa"/>
              <w:right w:w="100" w:type="dxa"/>
            </w:tcMar>
            <w:vAlign w:val="center"/>
            <w:shd w:val="clear" w:color="auto" w:fill="F2EFEA"/>
          </w:tcPr>
          <w:p>
            <w:r/>
            <w:r>
              <w:rPr>
                <w:color w:val="3A3835"/>
                <w:sz w:val="17"/>
              </w:rPr>
              <w:t>Controlled Beta — mandatory statutory notification warning</w:t>
            </w:r>
          </w:p>
        </w:tc>
        <w:tc>
          <w:tcPr>
            <w:tcW w:type="dxa" w:w="2986"/>
            <w:tcMar>
              <w:top w:w="60" w:type="dxa"/>
              <w:bottom w:w="60" w:type="dxa"/>
              <w:left w:w="100" w:type="dxa"/>
              <w:right w:w="100" w:type="dxa"/>
            </w:tcMar>
            <w:vAlign w:val="center"/>
            <w:shd w:val="clear" w:color="auto" w:fill="F2EFEA"/>
          </w:tcPr>
          <w:p>
            <w:r/>
            <w:r>
              <w:rPr>
                <w:color w:val="3A3835"/>
                <w:sz w:val="17"/>
              </w:rPr>
              <w:t>RECORD-KEEPING ONLY. Serious incidents trigger a mandatory immediate notification obligation to the WHS regulator (WHS Act s.38) — WorkSafe Queensland in Qld. This tool does not satisfy that obligation; the in-product warning is mandatory.</w:t>
            </w:r>
          </w:p>
        </w:tc>
      </w:tr>
      <w:tr>
        <w:tc>
          <w:tcPr>
            <w:tcW w:type="dxa" w:w="2986"/>
            <w:tcMar>
              <w:top w:w="60" w:type="dxa"/>
              <w:bottom w:w="60" w:type="dxa"/>
              <w:left w:w="100" w:type="dxa"/>
              <w:right w:w="100" w:type="dxa"/>
            </w:tcMar>
            <w:vAlign w:val="center"/>
          </w:tcPr>
          <w:p>
            <w:r/>
            <w:r>
              <w:rPr>
                <w:color w:val="3A3835"/>
                <w:sz w:val="17"/>
              </w:rPr>
              <w:t>Extension of Time (EOT) Claim</w:t>
            </w:r>
          </w:p>
        </w:tc>
        <w:tc>
          <w:tcPr>
            <w:tcW w:type="dxa" w:w="2986"/>
            <w:tcMar>
              <w:top w:w="60" w:type="dxa"/>
              <w:bottom w:w="60" w:type="dxa"/>
              <w:left w:w="100" w:type="dxa"/>
              <w:right w:w="100" w:type="dxa"/>
            </w:tcMar>
            <w:vAlign w:val="center"/>
          </w:tcPr>
          <w:p>
            <w:r/>
            <w:r>
              <w:rPr>
                <w:color w:val="3A3835"/>
                <w:sz w:val="17"/>
              </w:rPr>
              <w:t>Controlled Beta</w:t>
            </w:r>
          </w:p>
        </w:tc>
        <w:tc>
          <w:tcPr>
            <w:tcW w:type="dxa" w:w="2986"/>
            <w:tcMar>
              <w:top w:w="60" w:type="dxa"/>
              <w:bottom w:w="60" w:type="dxa"/>
              <w:left w:w="100" w:type="dxa"/>
              <w:right w:w="100" w:type="dxa"/>
            </w:tcMar>
            <w:vAlign w:val="center"/>
          </w:tcPr>
          <w:p>
            <w:r/>
            <w:r>
              <w:rPr>
                <w:color w:val="3A3835"/>
                <w:sz w:val="17"/>
              </w:rPr>
              <w:t>EOT entitlements are contract-specific with strict notice requirements (AS4000 cl. 35, HIA, QBCC); BIK does not calculate notice deadlines</w:t>
            </w:r>
          </w:p>
        </w:tc>
      </w:tr>
      <w:tr>
        <w:tc>
          <w:tcPr>
            <w:tcW w:type="dxa" w:w="2986"/>
            <w:tcMar>
              <w:top w:w="60" w:type="dxa"/>
              <w:bottom w:w="60" w:type="dxa"/>
              <w:left w:w="100" w:type="dxa"/>
              <w:right w:w="100" w:type="dxa"/>
            </w:tcMar>
            <w:vAlign w:val="center"/>
            <w:shd w:val="clear" w:color="auto" w:fill="F2EFEA"/>
          </w:tcPr>
          <w:p>
            <w:r/>
            <w:r>
              <w:rPr>
                <w:color w:val="3A3835"/>
                <w:sz w:val="17"/>
              </w:rPr>
              <w:t>Delay Notice</w:t>
            </w:r>
          </w:p>
        </w:tc>
        <w:tc>
          <w:tcPr>
            <w:tcW w:type="dxa" w:w="2986"/>
            <w:tcMar>
              <w:top w:w="60" w:type="dxa"/>
              <w:bottom w:w="60" w:type="dxa"/>
              <w:left w:w="100" w:type="dxa"/>
              <w:right w:w="100" w:type="dxa"/>
            </w:tcMar>
            <w:vAlign w:val="center"/>
            <w:shd w:val="clear" w:color="auto" w:fill="F2EFEA"/>
          </w:tcPr>
          <w:p>
            <w:r/>
            <w:r>
              <w:rPr>
                <w:color w:val="3A3835"/>
                <w:sz w:val="17"/>
              </w:rPr>
              <w:t>Controlled Beta</w:t>
            </w:r>
          </w:p>
        </w:tc>
        <w:tc>
          <w:tcPr>
            <w:tcW w:type="dxa" w:w="2986"/>
            <w:tcMar>
              <w:top w:w="60" w:type="dxa"/>
              <w:bottom w:w="60" w:type="dxa"/>
              <w:left w:w="100" w:type="dxa"/>
              <w:right w:w="100" w:type="dxa"/>
            </w:tcMar>
            <w:vAlign w:val="center"/>
            <w:shd w:val="clear" w:color="auto" w:fill="F2EFEA"/>
          </w:tcPr>
          <w:p>
            <w:r/>
            <w:r>
              <w:rPr>
                <w:color w:val="3A3835"/>
                <w:sz w:val="17"/>
              </w:rPr>
              <w:t>Same strict-notice risk as EOT; BIK does not determine timeliness under the applicable contract</w:t>
            </w:r>
          </w:p>
        </w:tc>
      </w:tr>
      <w:tr>
        <w:tc>
          <w:tcPr>
            <w:tcW w:type="dxa" w:w="2986"/>
            <w:tcMar>
              <w:top w:w="60" w:type="dxa"/>
              <w:bottom w:w="60" w:type="dxa"/>
              <w:left w:w="100" w:type="dxa"/>
              <w:right w:w="100" w:type="dxa"/>
            </w:tcMar>
            <w:vAlign w:val="center"/>
          </w:tcPr>
          <w:p>
            <w:r/>
            <w:r>
              <w:rPr>
                <w:color w:val="3A3835"/>
                <w:sz w:val="17"/>
              </w:rPr>
              <w:t>SWMS Generator</w:t>
            </w:r>
          </w:p>
        </w:tc>
        <w:tc>
          <w:tcPr>
            <w:tcW w:type="dxa" w:w="2986"/>
            <w:tcMar>
              <w:top w:w="60" w:type="dxa"/>
              <w:bottom w:w="60" w:type="dxa"/>
              <w:left w:w="100" w:type="dxa"/>
              <w:right w:w="100" w:type="dxa"/>
            </w:tcMar>
            <w:vAlign w:val="center"/>
          </w:tcPr>
          <w:p>
            <w:r/>
            <w:r>
              <w:rPr>
                <w:color w:val="3A3835"/>
                <w:sz w:val="17"/>
              </w:rPr>
              <w:t>HOLD — Professional Review in Progress — DO NOT RELEASE</w:t>
            </w:r>
          </w:p>
        </w:tc>
        <w:tc>
          <w:tcPr>
            <w:tcW w:type="dxa" w:w="2986"/>
            <w:tcMar>
              <w:top w:w="60" w:type="dxa"/>
              <w:bottom w:w="60" w:type="dxa"/>
              <w:left w:w="100" w:type="dxa"/>
              <w:right w:w="100" w:type="dxa"/>
            </w:tcMar>
            <w:vAlign w:val="center"/>
          </w:tcPr>
          <w:p>
            <w:r/>
            <w:r>
              <w:rPr>
                <w:color w:val="3A3835"/>
                <w:sz w:val="17"/>
              </w:rPr>
              <w:t>High-risk construction work under WHS Regulation 2011 (Qld) Schedule 1 requires a site-specific SWMS prepared through worker consultation and competent-person review; AI Writer is currently enabled on the controlMeasures field and is a known risk flagged for remediation before release</w:t>
            </w:r>
          </w:p>
        </w:tc>
      </w:tr>
      <w:tr>
        <w:tc>
          <w:tcPr>
            <w:tcW w:type="dxa" w:w="2986"/>
            <w:tcMar>
              <w:top w:w="60" w:type="dxa"/>
              <w:bottom w:w="60" w:type="dxa"/>
              <w:left w:w="100" w:type="dxa"/>
              <w:right w:w="100" w:type="dxa"/>
            </w:tcMar>
            <w:vAlign w:val="center"/>
            <w:shd w:val="clear" w:color="auto" w:fill="F2EFEA"/>
          </w:tcPr>
          <w:p>
            <w:r/>
            <w:r>
              <w:rPr>
                <w:color w:val="3A3835"/>
                <w:sz w:val="17"/>
              </w:rPr>
              <w:t>Notice to Show Cause</w:t>
            </w:r>
          </w:p>
        </w:tc>
        <w:tc>
          <w:tcPr>
            <w:tcW w:type="dxa" w:w="2986"/>
            <w:tcMar>
              <w:top w:w="60" w:type="dxa"/>
              <w:bottom w:w="60" w:type="dxa"/>
              <w:left w:w="100" w:type="dxa"/>
              <w:right w:w="100" w:type="dxa"/>
            </w:tcMar>
            <w:vAlign w:val="center"/>
            <w:shd w:val="clear" w:color="auto" w:fill="F2EFEA"/>
          </w:tcPr>
          <w:p>
            <w:r/>
            <w:r>
              <w:rPr>
                <w:color w:val="3A3835"/>
                <w:sz w:val="17"/>
              </w:rPr>
              <w:t>HOLD — Professional Review in Progress — DO NOT RELEASE</w:t>
            </w:r>
          </w:p>
        </w:tc>
        <w:tc>
          <w:tcPr>
            <w:tcW w:type="dxa" w:w="2986"/>
            <w:tcMar>
              <w:top w:w="60" w:type="dxa"/>
              <w:bottom w:w="60" w:type="dxa"/>
              <w:left w:w="100" w:type="dxa"/>
              <w:right w:w="100" w:type="dxa"/>
            </w:tcMar>
            <w:vAlign w:val="center"/>
            <w:shd w:val="clear" w:color="auto" w:fill="F2EFEA"/>
          </w:tcPr>
          <w:p>
            <w:r/>
            <w:r>
              <w:rPr>
                <w:color w:val="3A3835"/>
                <w:sz w:val="17"/>
              </w:rPr>
              <w:t>Most standard-form contracts require a show-cause notice before termination; issuing one without genuine contractual basis may itself constitute breach or repudiation</w:t>
            </w:r>
          </w:p>
        </w:tc>
      </w:tr>
      <w:tr>
        <w:tc>
          <w:tcPr>
            <w:tcW w:type="dxa" w:w="2986"/>
            <w:tcMar>
              <w:top w:w="60" w:type="dxa"/>
              <w:bottom w:w="60" w:type="dxa"/>
              <w:left w:w="100" w:type="dxa"/>
              <w:right w:w="100" w:type="dxa"/>
            </w:tcMar>
            <w:vAlign w:val="center"/>
          </w:tcPr>
          <w:p>
            <w:r/>
            <w:r>
              <w:rPr>
                <w:color w:val="3A3835"/>
                <w:sz w:val="17"/>
              </w:rPr>
              <w:t>Contract Termination Notice</w:t>
            </w:r>
          </w:p>
        </w:tc>
        <w:tc>
          <w:tcPr>
            <w:tcW w:type="dxa" w:w="2986"/>
            <w:tcMar>
              <w:top w:w="60" w:type="dxa"/>
              <w:bottom w:w="60" w:type="dxa"/>
              <w:left w:w="100" w:type="dxa"/>
              <w:right w:w="100" w:type="dxa"/>
            </w:tcMar>
            <w:vAlign w:val="center"/>
          </w:tcPr>
          <w:p>
            <w:r/>
            <w:r>
              <w:rPr>
                <w:color w:val="3A3835"/>
                <w:sz w:val="17"/>
              </w:rPr>
              <w:t>HOLD — Professional Review in Progress — DO NOT RELEASE</w:t>
            </w:r>
          </w:p>
        </w:tc>
        <w:tc>
          <w:tcPr>
            <w:tcW w:type="dxa" w:w="2986"/>
            <w:tcMar>
              <w:top w:w="60" w:type="dxa"/>
              <w:bottom w:w="60" w:type="dxa"/>
              <w:left w:w="100" w:type="dxa"/>
              <w:right w:w="100" w:type="dxa"/>
            </w:tcMar>
            <w:vAlign w:val="center"/>
          </w:tcPr>
          <w:p>
            <w:r/>
            <w:r>
              <w:rPr>
                <w:color w:val="3A3835"/>
                <w:sz w:val="17"/>
              </w:rPr>
              <w:t>EXTREME risk — the highest-risk document in the suite. Wrongful termination can itself constitute repudiation and expose the terminating party to liability for the other party's losses</w:t>
            </w:r>
          </w:p>
        </w:tc>
      </w:tr>
      <w:tr>
        <w:tc>
          <w:tcPr>
            <w:tcW w:type="dxa" w:w="2986"/>
            <w:tcMar>
              <w:top w:w="60" w:type="dxa"/>
              <w:bottom w:w="60" w:type="dxa"/>
              <w:left w:w="100" w:type="dxa"/>
              <w:right w:w="100" w:type="dxa"/>
            </w:tcMar>
            <w:vAlign w:val="center"/>
            <w:shd w:val="clear" w:color="auto" w:fill="F2EFEA"/>
          </w:tcPr>
          <w:p>
            <w:r/>
            <w:r>
              <w:rPr>
                <w:color w:val="3A3835"/>
                <w:sz w:val="17"/>
              </w:rPr>
              <w:t>Subcontractor Agreement</w:t>
            </w:r>
          </w:p>
        </w:tc>
        <w:tc>
          <w:tcPr>
            <w:tcW w:type="dxa" w:w="2986"/>
            <w:tcMar>
              <w:top w:w="60" w:type="dxa"/>
              <w:bottom w:w="60" w:type="dxa"/>
              <w:left w:w="100" w:type="dxa"/>
              <w:right w:w="100" w:type="dxa"/>
            </w:tcMar>
            <w:vAlign w:val="center"/>
            <w:shd w:val="clear" w:color="auto" w:fill="F2EFEA"/>
          </w:tcPr>
          <w:p>
            <w:r/>
            <w:r>
              <w:rPr>
                <w:color w:val="3A3835"/>
                <w:sz w:val="17"/>
              </w:rPr>
              <w:t>HOLD — Professional Review in Progress — DO NOT RELEASE</w:t>
            </w:r>
          </w:p>
        </w:tc>
        <w:tc>
          <w:tcPr>
            <w:tcW w:type="dxa" w:w="2986"/>
            <w:tcMar>
              <w:top w:w="60" w:type="dxa"/>
              <w:bottom w:w="60" w:type="dxa"/>
              <w:left w:w="100" w:type="dxa"/>
              <w:right w:w="100" w:type="dxa"/>
            </w:tcMar>
            <w:vAlign w:val="center"/>
            <w:shd w:val="clear" w:color="auto" w:fill="F2EFEA"/>
          </w:tcPr>
          <w:p>
            <w:r/>
            <w:r>
              <w:rPr>
                <w:color w:val="3A3835"/>
                <w:sz w:val="17"/>
              </w:rPr>
              <w:t>BIF Act retention trust obligations apply above certain thresholds; the generated agreement does not include dispute resolution, IP or assignment clauses that may be required for complex engagements</w:t>
            </w:r>
          </w:p>
        </w:tc>
      </w:tr>
    </w:tbl>
    <w:p>
      <w:pPr>
        <w:spacing w:after="120"/>
      </w:pPr>
    </w:p>
    <w:p>
      <w:pPr>
        <w:pStyle w:val="BIKH1"/>
      </w:pPr>
      <w:r>
        <w:t>Governance Commitment</w:t>
      </w:r>
    </w:p>
    <w:p>
      <w:pPr>
        <w:pStyle w:val="BIKBody"/>
        <w:jc w:val="both"/>
      </w:pPr>
      <w:r>
        <w:t>This document deliberately reproduces the HOLD status of four tools in full, including the internal "DO NOT RELEASE" language, rather than summarising it away. A strategy document that hid this detail from a Board, investor or banking partner would itself be a governance failure of exactly the kind Chapter 11's framework exists to prevent. The commitment stated here is simple: none of these four tools will be promoted to general release until the named professional review is complete and documented in an updated register.</w:t>
      </w:r>
    </w:p>
    <w:p>
      <w:r>
        <w:br w:type="page"/>
      </w:r>
    </w:p>
    <w:p/>
    <w:p/>
    <w:p/>
    <w:p/>
    <w:p/>
    <w:p/>
    <w:p>
      <w:pPr>
        <w:jc w:val="center"/>
      </w:pPr>
      <w:r>
        <w:rPr>
          <w:b/>
          <w:color w:val="D85A30"/>
          <w:sz w:val="26"/>
        </w:rPr>
        <w:t>PART I — BOARD GOVERNANCE &amp; IMPLEMENTATION</w:t>
      </w:r>
    </w:p>
    <w:p>
      <w:pPr>
        <w:jc w:val="center"/>
      </w:pPr>
      <w:r>
        <w:rPr>
          <w:b/>
          <w:color w:val="252320"/>
          <w:sz w:val="60"/>
        </w:rPr>
        <w:t>Board Papers and the Next Twelve Months</w:t>
      </w:r>
    </w:p>
    <w:p>
      <w:pPr>
        <w:jc w:val="center"/>
      </w:pPr>
      <w:r>
        <w:rPr>
          <w:i/>
          <w:color w:val="888780"/>
          <w:sz w:val="23"/>
        </w:rPr>
        <w:t>What the Board is being asked to resolve, and the concrete plan for execution</w:t>
      </w:r>
    </w:p>
    <w:p>
      <w:r>
        <w:br w:type="page"/>
      </w:r>
    </w:p>
    <w:p>
      <w:pPr>
        <w:pStyle w:val="BIKChapterLabel"/>
      </w:pPr>
      <w:r>
        <w:t>PART I — BOARD &amp; IMPLEMENTATION</w:t>
      </w:r>
    </w:p>
    <w:p>
      <w:pPr>
        <w:pStyle w:val="BIKChapterTitle"/>
        <w:pBdr>
          <w:bottom w:val="single" w:sz="18" w:space="8" w:color="D85A30"/>
        </w:pBdr>
      </w:pPr>
      <w:r>
        <w:t>28   Board Papers</w:t>
      </w:r>
    </w:p>
    <w:p>
      <w:pPr>
        <w:pStyle w:val="BIKH1"/>
      </w:pPr>
      <w:r>
        <w:t>Purpose of This Chapter</w:t>
      </w:r>
    </w:p>
    <w:p>
      <w:pPr>
        <w:pStyle w:val="BIKBody"/>
        <w:jc w:val="both"/>
      </w:pPr>
      <w:r>
        <w:t>This chapter is written in board-paper format so that it can be extracted and tabled directly at a Board meeting without further editing. It sets out the resolutions this document supports, the governance cadence recommended to oversee them, and the specific reporting the Board should expect going forward.</w:t>
      </w:r>
    </w:p>
    <w:p>
      <w:pPr>
        <w:pStyle w:val="BIKH1"/>
      </w:pPr>
      <w:r>
        <w:t>Resolutions Sought</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w:t>
            </w:r>
          </w:p>
        </w:tc>
        <w:tc>
          <w:tcPr>
            <w:tcW w:type="dxa" w:w="2986"/>
            <w:shd w:val="clear" w:color="auto" w:fill="252320"/>
            <w:tcMar>
              <w:top w:w="60" w:type="dxa"/>
              <w:bottom w:w="60" w:type="dxa"/>
              <w:left w:w="100" w:type="dxa"/>
              <w:right w:w="100" w:type="dxa"/>
            </w:tcMar>
            <w:vAlign w:val="center"/>
          </w:tcPr>
          <w:p>
            <w:r/>
            <w:r>
              <w:rPr>
                <w:b/>
                <w:color w:val="FFFFFF"/>
                <w:sz w:val="18"/>
              </w:rPr>
              <w:t>Resolution</w:t>
            </w:r>
          </w:p>
        </w:tc>
        <w:tc>
          <w:tcPr>
            <w:tcW w:type="dxa" w:w="2986"/>
            <w:shd w:val="clear" w:color="auto" w:fill="252320"/>
            <w:tcMar>
              <w:top w:w="60" w:type="dxa"/>
              <w:bottom w:w="60" w:type="dxa"/>
              <w:left w:w="100" w:type="dxa"/>
              <w:right w:w="100" w:type="dxa"/>
            </w:tcMar>
            <w:vAlign w:val="center"/>
          </w:tcPr>
          <w:p>
            <w:r/>
            <w:r>
              <w:rPr>
                <w:b/>
                <w:color w:val="FFFFFF"/>
                <w:sz w:val="18"/>
              </w:rPr>
              <w:t>Supporting chapter(s)</w:t>
            </w:r>
          </w:p>
        </w:tc>
      </w:tr>
      <w:tr>
        <w:tc>
          <w:tcPr>
            <w:tcW w:type="dxa" w:w="2986"/>
            <w:tcMar>
              <w:top w:w="60" w:type="dxa"/>
              <w:bottom w:w="60" w:type="dxa"/>
              <w:left w:w="100" w:type="dxa"/>
              <w:right w:w="100" w:type="dxa"/>
            </w:tcMar>
            <w:vAlign w:val="center"/>
          </w:tcPr>
          <w:p>
            <w:r/>
            <w:r>
              <w:rPr>
                <w:color w:val="3A3835"/>
                <w:sz w:val="18"/>
              </w:rPr>
              <w:t>1</w:t>
            </w:r>
          </w:p>
        </w:tc>
        <w:tc>
          <w:tcPr>
            <w:tcW w:type="dxa" w:w="2986"/>
            <w:tcMar>
              <w:top w:w="60" w:type="dxa"/>
              <w:bottom w:w="60" w:type="dxa"/>
              <w:left w:w="100" w:type="dxa"/>
              <w:right w:w="100" w:type="dxa"/>
            </w:tcMar>
            <w:vAlign w:val="center"/>
          </w:tcPr>
          <w:p>
            <w:r/>
            <w:r>
              <w:rPr>
                <w:color w:val="3A3835"/>
                <w:sz w:val="18"/>
              </w:rPr>
              <w:t>That the Board approves this document as the Company's current Strategic Blueprint, superseding prior informal strategy discussions</w:t>
            </w:r>
          </w:p>
        </w:tc>
        <w:tc>
          <w:tcPr>
            <w:tcW w:type="dxa" w:w="2986"/>
            <w:tcMar>
              <w:top w:w="60" w:type="dxa"/>
              <w:bottom w:w="60" w:type="dxa"/>
              <w:left w:w="100" w:type="dxa"/>
              <w:right w:w="100" w:type="dxa"/>
            </w:tcMar>
            <w:vAlign w:val="center"/>
          </w:tcPr>
          <w:p>
            <w:r/>
            <w:r>
              <w:rPr>
                <w:color w:val="3A3835"/>
                <w:sz w:val="18"/>
              </w:rPr>
              <w:t>All</w:t>
            </w:r>
          </w:p>
        </w:tc>
      </w:tr>
      <w:tr>
        <w:tc>
          <w:tcPr>
            <w:tcW w:type="dxa" w:w="2986"/>
            <w:tcMar>
              <w:top w:w="60" w:type="dxa"/>
              <w:bottom w:w="60" w:type="dxa"/>
              <w:left w:w="100" w:type="dxa"/>
              <w:right w:w="100" w:type="dxa"/>
            </w:tcMar>
            <w:vAlign w:val="center"/>
            <w:shd w:val="clear" w:color="auto" w:fill="F2EFEA"/>
          </w:tcPr>
          <w:p>
            <w:r/>
            <w:r>
              <w:rPr>
                <w:color w:val="3A3835"/>
                <w:sz w:val="18"/>
              </w:rPr>
              <w:t>2</w:t>
            </w:r>
          </w:p>
        </w:tc>
        <w:tc>
          <w:tcPr>
            <w:tcW w:type="dxa" w:w="2986"/>
            <w:tcMar>
              <w:top w:w="60" w:type="dxa"/>
              <w:bottom w:w="60" w:type="dxa"/>
              <w:left w:w="100" w:type="dxa"/>
              <w:right w:w="100" w:type="dxa"/>
            </w:tcMar>
            <w:vAlign w:val="center"/>
            <w:shd w:val="clear" w:color="auto" w:fill="F2EFEA"/>
          </w:tcPr>
          <w:p>
            <w:r/>
            <w:r>
              <w:rPr>
                <w:color w:val="3A3835"/>
                <w:sz w:val="18"/>
              </w:rPr>
              <w:t>That the Board approves progression of Phase 2 platform investment (accounts, billing, document history) on the bootstrap-funded basis set out in Chapter 19, absent a superior funding offer</w:t>
            </w:r>
          </w:p>
        </w:tc>
        <w:tc>
          <w:tcPr>
            <w:tcW w:type="dxa" w:w="2986"/>
            <w:tcMar>
              <w:top w:w="60" w:type="dxa"/>
              <w:bottom w:w="60" w:type="dxa"/>
              <w:left w:w="100" w:type="dxa"/>
              <w:right w:w="100" w:type="dxa"/>
            </w:tcMar>
            <w:vAlign w:val="center"/>
            <w:shd w:val="clear" w:color="auto" w:fill="F2EFEA"/>
          </w:tcPr>
          <w:p>
            <w:r/>
            <w:r>
              <w:rPr>
                <w:color w:val="3A3835"/>
                <w:sz w:val="18"/>
              </w:rPr>
              <w:t>8, 19</w:t>
            </w:r>
          </w:p>
        </w:tc>
      </w:tr>
      <w:tr>
        <w:tc>
          <w:tcPr>
            <w:tcW w:type="dxa" w:w="2986"/>
            <w:tcMar>
              <w:top w:w="60" w:type="dxa"/>
              <w:bottom w:w="60" w:type="dxa"/>
              <w:left w:w="100" w:type="dxa"/>
              <w:right w:w="100" w:type="dxa"/>
            </w:tcMar>
            <w:vAlign w:val="center"/>
          </w:tcPr>
          <w:p>
            <w:r/>
            <w:r>
              <w:rPr>
                <w:color w:val="3A3835"/>
                <w:sz w:val="18"/>
              </w:rPr>
              <w:t>3</w:t>
            </w:r>
          </w:p>
        </w:tc>
        <w:tc>
          <w:tcPr>
            <w:tcW w:type="dxa" w:w="2986"/>
            <w:tcMar>
              <w:top w:w="60" w:type="dxa"/>
              <w:bottom w:w="60" w:type="dxa"/>
              <w:left w:w="100" w:type="dxa"/>
              <w:right w:w="100" w:type="dxa"/>
            </w:tcMar>
            <w:vAlign w:val="center"/>
          </w:tcPr>
          <w:p>
            <w:r/>
            <w:r>
              <w:rPr>
                <w:color w:val="3A3835"/>
                <w:sz w:val="18"/>
              </w:rPr>
              <w:t>That the Board notes and endorses the AI Governance Framework (Decision 001) and the Legal and Safety Tool Register as binding constraints on product release, not guidelines</w:t>
            </w:r>
          </w:p>
        </w:tc>
        <w:tc>
          <w:tcPr>
            <w:tcW w:type="dxa" w:w="2986"/>
            <w:tcMar>
              <w:top w:w="60" w:type="dxa"/>
              <w:bottom w:w="60" w:type="dxa"/>
              <w:left w:w="100" w:type="dxa"/>
              <w:right w:w="100" w:type="dxa"/>
            </w:tcMar>
            <w:vAlign w:val="center"/>
          </w:tcPr>
          <w:p>
            <w:r/>
            <w:r>
              <w:rPr>
                <w:color w:val="3A3835"/>
                <w:sz w:val="18"/>
              </w:rPr>
              <w:t>11, 27</w:t>
            </w:r>
          </w:p>
        </w:tc>
      </w:tr>
      <w:tr>
        <w:tc>
          <w:tcPr>
            <w:tcW w:type="dxa" w:w="2986"/>
            <w:tcMar>
              <w:top w:w="60" w:type="dxa"/>
              <w:bottom w:w="60" w:type="dxa"/>
              <w:left w:w="100" w:type="dxa"/>
              <w:right w:w="100" w:type="dxa"/>
            </w:tcMar>
            <w:vAlign w:val="center"/>
            <w:shd w:val="clear" w:color="auto" w:fill="F2EFEA"/>
          </w:tcPr>
          <w:p>
            <w:r/>
            <w:r>
              <w:rPr>
                <w:color w:val="3A3835"/>
                <w:sz w:val="18"/>
              </w:rPr>
              <w:t>4</w:t>
            </w:r>
          </w:p>
        </w:tc>
        <w:tc>
          <w:tcPr>
            <w:tcW w:type="dxa" w:w="2986"/>
            <w:tcMar>
              <w:top w:w="60" w:type="dxa"/>
              <w:bottom w:w="60" w:type="dxa"/>
              <w:left w:w="100" w:type="dxa"/>
              <w:right w:w="100" w:type="dxa"/>
            </w:tcMar>
            <w:vAlign w:val="center"/>
            <w:shd w:val="clear" w:color="auto" w:fill="F2EFEA"/>
          </w:tcPr>
          <w:p>
            <w:r/>
            <w:r>
              <w:rPr>
                <w:color w:val="3A3835"/>
                <w:sz w:val="18"/>
              </w:rPr>
              <w:t>That the Board notes the four tools currently on HOLD (SWMS Generator, Notice to Show Cause, Contract Termination Notice, Subcontractor Agreement) and directs management to commission the named professional legal/WHS reviews before Phase 2 general release</w:t>
            </w:r>
          </w:p>
        </w:tc>
        <w:tc>
          <w:tcPr>
            <w:tcW w:type="dxa" w:w="2986"/>
            <w:tcMar>
              <w:top w:w="60" w:type="dxa"/>
              <w:bottom w:w="60" w:type="dxa"/>
              <w:left w:w="100" w:type="dxa"/>
              <w:right w:w="100" w:type="dxa"/>
            </w:tcMar>
            <w:vAlign w:val="center"/>
            <w:shd w:val="clear" w:color="auto" w:fill="F2EFEA"/>
          </w:tcPr>
          <w:p>
            <w:r/>
            <w:r>
              <w:rPr>
                <w:color w:val="3A3835"/>
                <w:sz w:val="18"/>
              </w:rPr>
              <w:t>27</w:t>
            </w:r>
          </w:p>
        </w:tc>
      </w:tr>
      <w:tr>
        <w:tc>
          <w:tcPr>
            <w:tcW w:type="dxa" w:w="2986"/>
            <w:tcMar>
              <w:top w:w="60" w:type="dxa"/>
              <w:bottom w:w="60" w:type="dxa"/>
              <w:left w:w="100" w:type="dxa"/>
              <w:right w:w="100" w:type="dxa"/>
            </w:tcMar>
            <w:vAlign w:val="center"/>
          </w:tcPr>
          <w:p>
            <w:r/>
            <w:r>
              <w:rPr>
                <w:color w:val="3A3835"/>
                <w:sz w:val="18"/>
              </w:rPr>
              <w:t>5</w:t>
            </w:r>
          </w:p>
        </w:tc>
        <w:tc>
          <w:tcPr>
            <w:tcW w:type="dxa" w:w="2986"/>
            <w:tcMar>
              <w:top w:w="60" w:type="dxa"/>
              <w:bottom w:w="60" w:type="dxa"/>
              <w:left w:w="100" w:type="dxa"/>
              <w:right w:w="100" w:type="dxa"/>
            </w:tcMar>
            <w:vAlign w:val="center"/>
          </w:tcPr>
          <w:p>
            <w:r/>
            <w:r>
              <w:rPr>
                <w:color w:val="3A3835"/>
                <w:sz w:val="18"/>
              </w:rPr>
              <w:t>That the Board directs management to formalise exit-readiness items (Chapter 25) — financial reporting discipline, IP ownership documentation, and key-person mitigation — ahead of any institutional capital raise or acquisition conversation</w:t>
            </w:r>
          </w:p>
        </w:tc>
        <w:tc>
          <w:tcPr>
            <w:tcW w:type="dxa" w:w="2986"/>
            <w:tcMar>
              <w:top w:w="60" w:type="dxa"/>
              <w:bottom w:w="60" w:type="dxa"/>
              <w:left w:w="100" w:type="dxa"/>
              <w:right w:w="100" w:type="dxa"/>
            </w:tcMar>
            <w:vAlign w:val="center"/>
          </w:tcPr>
          <w:p>
            <w:r/>
            <w:r>
              <w:rPr>
                <w:color w:val="3A3835"/>
                <w:sz w:val="18"/>
              </w:rPr>
              <w:t>25</w:t>
            </w:r>
          </w:p>
        </w:tc>
      </w:tr>
      <w:tr>
        <w:tc>
          <w:tcPr>
            <w:tcW w:type="dxa" w:w="2986"/>
            <w:tcMar>
              <w:top w:w="60" w:type="dxa"/>
              <w:bottom w:w="60" w:type="dxa"/>
              <w:left w:w="100" w:type="dxa"/>
              <w:right w:w="100" w:type="dxa"/>
            </w:tcMar>
            <w:vAlign w:val="center"/>
            <w:shd w:val="clear" w:color="auto" w:fill="F2EFEA"/>
          </w:tcPr>
          <w:p>
            <w:r/>
            <w:r>
              <w:rPr>
                <w:color w:val="3A3835"/>
                <w:sz w:val="18"/>
              </w:rPr>
              <w:t>6</w:t>
            </w:r>
          </w:p>
        </w:tc>
        <w:tc>
          <w:tcPr>
            <w:tcW w:type="dxa" w:w="2986"/>
            <w:tcMar>
              <w:top w:w="60" w:type="dxa"/>
              <w:bottom w:w="60" w:type="dxa"/>
              <w:left w:w="100" w:type="dxa"/>
              <w:right w:w="100" w:type="dxa"/>
            </w:tcMar>
            <w:vAlign w:val="center"/>
            <w:shd w:val="clear" w:color="auto" w:fill="F2EFEA"/>
          </w:tcPr>
          <w:p>
            <w:r/>
            <w:r>
              <w:rPr>
                <w:color w:val="3A3835"/>
                <w:sz w:val="18"/>
              </w:rPr>
              <w:t>That the Board receives quarterly reporting against the metrics defined in Chapter 8 (Strategic Plan) and Chapter 26 (Risk Register) as standing agenda items</w:t>
            </w:r>
          </w:p>
        </w:tc>
        <w:tc>
          <w:tcPr>
            <w:tcW w:type="dxa" w:w="2986"/>
            <w:tcMar>
              <w:top w:w="60" w:type="dxa"/>
              <w:bottom w:w="60" w:type="dxa"/>
              <w:left w:w="100" w:type="dxa"/>
              <w:right w:w="100" w:type="dxa"/>
            </w:tcMar>
            <w:vAlign w:val="center"/>
            <w:shd w:val="clear" w:color="auto" w:fill="F2EFEA"/>
          </w:tcPr>
          <w:p>
            <w:r/>
            <w:r>
              <w:rPr>
                <w:color w:val="3A3835"/>
                <w:sz w:val="18"/>
              </w:rPr>
              <w:t>8, 26</w:t>
            </w:r>
          </w:p>
        </w:tc>
      </w:tr>
    </w:tbl>
    <w:p>
      <w:pPr>
        <w:spacing w:after="120"/>
      </w:pPr>
    </w:p>
    <w:p>
      <w:pPr>
        <w:pStyle w:val="BIKH1"/>
      </w:pPr>
      <w:r>
        <w:t>Recommended Governance Cadence</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8"/>
              </w:rPr>
              <w:t>Cadence</w:t>
            </w:r>
          </w:p>
        </w:tc>
        <w:tc>
          <w:tcPr>
            <w:tcW w:type="dxa" w:w="4479"/>
            <w:shd w:val="clear" w:color="auto" w:fill="252320"/>
            <w:tcMar>
              <w:top w:w="60" w:type="dxa"/>
              <w:bottom w:w="60" w:type="dxa"/>
              <w:left w:w="100" w:type="dxa"/>
              <w:right w:w="100" w:type="dxa"/>
            </w:tcMar>
            <w:vAlign w:val="center"/>
          </w:tcPr>
          <w:p>
            <w:r/>
            <w:r>
              <w:rPr>
                <w:b/>
                <w:color w:val="FFFFFF"/>
                <w:sz w:val="18"/>
              </w:rPr>
              <w:t>Standing agenda items</w:t>
            </w:r>
          </w:p>
        </w:tc>
      </w:tr>
      <w:tr>
        <w:tc>
          <w:tcPr>
            <w:tcW w:type="dxa" w:w="4479"/>
            <w:tcMar>
              <w:top w:w="60" w:type="dxa"/>
              <w:bottom w:w="60" w:type="dxa"/>
              <w:left w:w="100" w:type="dxa"/>
              <w:right w:w="100" w:type="dxa"/>
            </w:tcMar>
            <w:vAlign w:val="center"/>
          </w:tcPr>
          <w:p>
            <w:r/>
            <w:r>
              <w:rPr>
                <w:color w:val="3A3835"/>
                <w:sz w:val="18"/>
              </w:rPr>
              <w:t>Quarterly Board meeting</w:t>
            </w:r>
          </w:p>
        </w:tc>
        <w:tc>
          <w:tcPr>
            <w:tcW w:type="dxa" w:w="4479"/>
            <w:tcMar>
              <w:top w:w="60" w:type="dxa"/>
              <w:bottom w:w="60" w:type="dxa"/>
              <w:left w:w="100" w:type="dxa"/>
              <w:right w:w="100" w:type="dxa"/>
            </w:tcMar>
            <w:vAlign w:val="center"/>
          </w:tcPr>
          <w:p>
            <w:r/>
            <w:r>
              <w:rPr>
                <w:color w:val="3A3835"/>
                <w:sz w:val="18"/>
              </w:rPr>
              <w:t>Progress against phase-gate metrics (Ch. 8); top-3 risk register review (Ch. 26); any tool promoted out of "Professional Review in Progress" status (Ch. 27)</w:t>
            </w:r>
          </w:p>
        </w:tc>
      </w:tr>
      <w:tr>
        <w:tc>
          <w:tcPr>
            <w:tcW w:type="dxa" w:w="4479"/>
            <w:tcMar>
              <w:top w:w="60" w:type="dxa"/>
              <w:bottom w:w="60" w:type="dxa"/>
              <w:left w:w="100" w:type="dxa"/>
              <w:right w:w="100" w:type="dxa"/>
            </w:tcMar>
            <w:vAlign w:val="center"/>
            <w:shd w:val="clear" w:color="auto" w:fill="F2EFEA"/>
          </w:tcPr>
          <w:p>
            <w:r/>
            <w:r>
              <w:rPr>
                <w:color w:val="3A3835"/>
                <w:sz w:val="18"/>
              </w:rPr>
              <w:t>Annual strategy refresh</w:t>
            </w:r>
          </w:p>
        </w:tc>
        <w:tc>
          <w:tcPr>
            <w:tcW w:type="dxa" w:w="4479"/>
            <w:tcMar>
              <w:top w:w="60" w:type="dxa"/>
              <w:bottom w:w="60" w:type="dxa"/>
              <w:left w:w="100" w:type="dxa"/>
              <w:right w:w="100" w:type="dxa"/>
            </w:tcMar>
            <w:vAlign w:val="center"/>
            <w:shd w:val="clear" w:color="auto" w:fill="F2EFEA"/>
          </w:tcPr>
          <w:p>
            <w:r/>
            <w:r>
              <w:rPr>
                <w:color w:val="3A3835"/>
                <w:sz w:val="18"/>
              </w:rPr>
              <w:t>Full re-issue of this document, or a formally minuted addendum, incorporating actuals against the financial model (Ch. 19–20) and any material competitive changes (Ch. 17)</w:t>
            </w:r>
          </w:p>
        </w:tc>
      </w:tr>
      <w:tr>
        <w:tc>
          <w:tcPr>
            <w:tcW w:type="dxa" w:w="4479"/>
            <w:tcMar>
              <w:top w:w="60" w:type="dxa"/>
              <w:bottom w:w="60" w:type="dxa"/>
              <w:left w:w="100" w:type="dxa"/>
              <w:right w:w="100" w:type="dxa"/>
            </w:tcMar>
            <w:vAlign w:val="center"/>
          </w:tcPr>
          <w:p>
            <w:r/>
            <w:r>
              <w:rPr>
                <w:color w:val="3A3835"/>
                <w:sz w:val="18"/>
              </w:rPr>
              <w:t>Ad hoc — triggered</w:t>
            </w:r>
          </w:p>
        </w:tc>
        <w:tc>
          <w:tcPr>
            <w:tcW w:type="dxa" w:w="4479"/>
            <w:tcMar>
              <w:top w:w="60" w:type="dxa"/>
              <w:bottom w:w="60" w:type="dxa"/>
              <w:left w:w="100" w:type="dxa"/>
              <w:right w:w="100" w:type="dxa"/>
            </w:tcMar>
            <w:vAlign w:val="center"/>
          </w:tcPr>
          <w:p>
            <w:r/>
            <w:r>
              <w:rPr>
                <w:color w:val="3A3835"/>
                <w:sz w:val="18"/>
              </w:rPr>
              <w:t>Any institutional capital raise, acquisition approach, or material incident involving AI-generated content, reported to the Board within 5 business days</w:t>
            </w:r>
          </w:p>
        </w:tc>
      </w:tr>
    </w:tbl>
    <w:p>
      <w:pPr>
        <w:spacing w:after="120"/>
      </w:pPr>
    </w:p>
    <w:p>
      <w:pPr>
        <w:pStyle w:val="BIKH1"/>
      </w:pPr>
      <w:r>
        <w:t>Reporting Pack Recommended for Each Quarterly Meeting</w:t>
      </w:r>
    </w:p>
    <w:p>
      <w:pPr>
        <w:pStyle w:val="ListBullet"/>
      </w:pPr>
      <w:r>
        <w:t>MRR, paying subscribers, and tools-live count against the Chapter 8 phase-gate targets</w:t>
      </w:r>
    </w:p>
    <w:p>
      <w:pPr>
        <w:pStyle w:val="ListBullet"/>
      </w:pPr>
      <w:r>
        <w:t>Net revenue retention and logo churn, tracked against the three scenarios in Chapter 19–20</w:t>
      </w:r>
    </w:p>
    <w:p>
      <w:pPr>
        <w:pStyle w:val="ListBullet"/>
      </w:pPr>
      <w:r>
        <w:t>Any change in tool release status in the Legal and Safety Tool Register (Chapter 27)</w:t>
      </w:r>
    </w:p>
    <w:p>
      <w:pPr>
        <w:pStyle w:val="ListBullet"/>
      </w:pPr>
      <w:r>
        <w:t>Top-3 risk register movements (Chapter 26), with named mitigation owner sign-off</w:t>
      </w:r>
    </w:p>
    <w:p>
      <w:pPr>
        <w:pStyle w:val="ListBullet"/>
      </w:pPr>
      <w:r>
        <w:t>Cash position against the bootstrap-path model (Chapter 19, Figure 19.1)</w:t>
      </w:r>
    </w:p>
    <w:p>
      <w:pPr>
        <w:pStyle w:val="BIKH1"/>
      </w:pPr>
      <w:r>
        <w:t>Governance RACI</w:t>
      </w:r>
    </w:p>
    <w:tbl>
      <w:tblPr>
        <w:tblStyle w:val="TableGrid"/>
        <w:tblW w:type="auto" w:w="0"/>
        <w:tblLayout w:type="fixed"/>
        <w:tblLook w:firstColumn="1" w:firstRow="1" w:lastColumn="0" w:lastRow="0" w:noHBand="0" w:noVBand="1" w:val="04A0"/>
      </w:tblPr>
      <w:tblGrid>
        <w:gridCol w:w="1792"/>
        <w:gridCol w:w="1792"/>
        <w:gridCol w:w="1792"/>
        <w:gridCol w:w="1792"/>
        <w:gridCol w:w="1792"/>
      </w:tblGrid>
      <w:tr>
        <w:tc>
          <w:tcPr>
            <w:tcW w:type="dxa" w:w="1792"/>
            <w:shd w:val="clear" w:color="auto" w:fill="252320"/>
            <w:tcMar>
              <w:top w:w="60" w:type="dxa"/>
              <w:bottom w:w="60" w:type="dxa"/>
              <w:left w:w="100" w:type="dxa"/>
              <w:right w:w="100" w:type="dxa"/>
            </w:tcMar>
            <w:vAlign w:val="center"/>
          </w:tcPr>
          <w:p>
            <w:r/>
            <w:r>
              <w:rPr>
                <w:b/>
                <w:color w:val="FFFFFF"/>
                <w:sz w:val="17"/>
              </w:rPr>
              <w:t>Decision / activity</w:t>
            </w:r>
          </w:p>
        </w:tc>
        <w:tc>
          <w:tcPr>
            <w:tcW w:type="dxa" w:w="1792"/>
            <w:shd w:val="clear" w:color="auto" w:fill="252320"/>
            <w:tcMar>
              <w:top w:w="60" w:type="dxa"/>
              <w:bottom w:w="60" w:type="dxa"/>
              <w:left w:w="100" w:type="dxa"/>
              <w:right w:w="100" w:type="dxa"/>
            </w:tcMar>
            <w:vAlign w:val="center"/>
          </w:tcPr>
          <w:p>
            <w:r/>
            <w:r>
              <w:rPr>
                <w:b/>
                <w:color w:val="FFFFFF"/>
                <w:sz w:val="17"/>
              </w:rPr>
              <w:t>Founder</w:t>
            </w:r>
          </w:p>
        </w:tc>
        <w:tc>
          <w:tcPr>
            <w:tcW w:type="dxa" w:w="1792"/>
            <w:shd w:val="clear" w:color="auto" w:fill="252320"/>
            <w:tcMar>
              <w:top w:w="60" w:type="dxa"/>
              <w:bottom w:w="60" w:type="dxa"/>
              <w:left w:w="100" w:type="dxa"/>
              <w:right w:w="100" w:type="dxa"/>
            </w:tcMar>
            <w:vAlign w:val="center"/>
          </w:tcPr>
          <w:p>
            <w:r/>
            <w:r>
              <w:rPr>
                <w:b/>
                <w:color w:val="FFFFFF"/>
                <w:sz w:val="17"/>
              </w:rPr>
              <w:t>Board</w:t>
            </w:r>
          </w:p>
        </w:tc>
        <w:tc>
          <w:tcPr>
            <w:tcW w:type="dxa" w:w="1792"/>
            <w:shd w:val="clear" w:color="auto" w:fill="252320"/>
            <w:tcMar>
              <w:top w:w="60" w:type="dxa"/>
              <w:bottom w:w="60" w:type="dxa"/>
              <w:left w:w="100" w:type="dxa"/>
              <w:right w:w="100" w:type="dxa"/>
            </w:tcMar>
            <w:vAlign w:val="center"/>
          </w:tcPr>
          <w:p>
            <w:r/>
            <w:r>
              <w:rPr>
                <w:b/>
                <w:color w:val="FFFFFF"/>
                <w:sz w:val="17"/>
              </w:rPr>
              <w:t>Product/Eng lead</w:t>
            </w:r>
          </w:p>
        </w:tc>
        <w:tc>
          <w:tcPr>
            <w:tcW w:type="dxa" w:w="1792"/>
            <w:shd w:val="clear" w:color="auto" w:fill="252320"/>
            <w:tcMar>
              <w:top w:w="60" w:type="dxa"/>
              <w:bottom w:w="60" w:type="dxa"/>
              <w:left w:w="100" w:type="dxa"/>
              <w:right w:w="100" w:type="dxa"/>
            </w:tcMar>
            <w:vAlign w:val="center"/>
          </w:tcPr>
          <w:p>
            <w:r/>
            <w:r>
              <w:rPr>
                <w:b/>
                <w:color w:val="FFFFFF"/>
                <w:sz w:val="17"/>
              </w:rPr>
              <w:t>Compliance reviewer</w:t>
            </w:r>
          </w:p>
        </w:tc>
      </w:tr>
      <w:tr>
        <w:tc>
          <w:tcPr>
            <w:tcW w:type="dxa" w:w="1792"/>
            <w:tcMar>
              <w:top w:w="60" w:type="dxa"/>
              <w:bottom w:w="60" w:type="dxa"/>
              <w:left w:w="100" w:type="dxa"/>
              <w:right w:w="100" w:type="dxa"/>
            </w:tcMar>
            <w:vAlign w:val="center"/>
          </w:tcPr>
          <w:p>
            <w:r/>
            <w:r>
              <w:rPr>
                <w:color w:val="3A3835"/>
                <w:sz w:val="17"/>
              </w:rPr>
              <w:t>Tool promotion from HOLD to Beta (Ch. 27)</w:t>
            </w:r>
          </w:p>
        </w:tc>
        <w:tc>
          <w:tcPr>
            <w:tcW w:type="dxa" w:w="1792"/>
            <w:tcMar>
              <w:top w:w="60" w:type="dxa"/>
              <w:bottom w:w="60" w:type="dxa"/>
              <w:left w:w="100" w:type="dxa"/>
              <w:right w:w="100" w:type="dxa"/>
            </w:tcMar>
            <w:vAlign w:val="center"/>
          </w:tcPr>
          <w:p>
            <w:r/>
            <w:r>
              <w:rPr>
                <w:color w:val="3A3835"/>
                <w:sz w:val="17"/>
              </w:rPr>
              <w:t>Consulted</w:t>
            </w:r>
          </w:p>
        </w:tc>
        <w:tc>
          <w:tcPr>
            <w:tcW w:type="dxa" w:w="1792"/>
            <w:tcMar>
              <w:top w:w="60" w:type="dxa"/>
              <w:bottom w:w="60" w:type="dxa"/>
              <w:left w:w="100" w:type="dxa"/>
              <w:right w:w="100" w:type="dxa"/>
            </w:tcMar>
            <w:vAlign w:val="center"/>
          </w:tcPr>
          <w:p>
            <w:r/>
            <w:r>
              <w:rPr>
                <w:color w:val="3A3835"/>
                <w:sz w:val="17"/>
              </w:rPr>
              <w:t>Informed</w:t>
            </w:r>
          </w:p>
        </w:tc>
        <w:tc>
          <w:tcPr>
            <w:tcW w:type="dxa" w:w="1792"/>
            <w:tcMar>
              <w:top w:w="60" w:type="dxa"/>
              <w:bottom w:w="60" w:type="dxa"/>
              <w:left w:w="100" w:type="dxa"/>
              <w:right w:w="100" w:type="dxa"/>
            </w:tcMar>
            <w:vAlign w:val="center"/>
          </w:tcPr>
          <w:p>
            <w:r/>
            <w:r>
              <w:rPr>
                <w:color w:val="3A3835"/>
                <w:sz w:val="17"/>
              </w:rPr>
              <w:t>Responsible</w:t>
            </w:r>
          </w:p>
        </w:tc>
        <w:tc>
          <w:tcPr>
            <w:tcW w:type="dxa" w:w="1792"/>
            <w:tcMar>
              <w:top w:w="60" w:type="dxa"/>
              <w:bottom w:w="60" w:type="dxa"/>
              <w:left w:w="100" w:type="dxa"/>
              <w:right w:w="100" w:type="dxa"/>
            </w:tcMar>
            <w:vAlign w:val="center"/>
          </w:tcPr>
          <w:p>
            <w:r/>
            <w:r>
              <w:rPr>
                <w:color w:val="3A3835"/>
                <w:sz w:val="17"/>
              </w:rPr>
              <w:t>Accountable</w:t>
            </w:r>
          </w:p>
        </w:tc>
      </w:tr>
      <w:tr>
        <w:tc>
          <w:tcPr>
            <w:tcW w:type="dxa" w:w="1792"/>
            <w:tcMar>
              <w:top w:w="60" w:type="dxa"/>
              <w:bottom w:w="60" w:type="dxa"/>
              <w:left w:w="100" w:type="dxa"/>
              <w:right w:w="100" w:type="dxa"/>
            </w:tcMar>
            <w:vAlign w:val="center"/>
            <w:shd w:val="clear" w:color="auto" w:fill="F2EFEA"/>
          </w:tcPr>
          <w:p>
            <w:r/>
            <w:r>
              <w:rPr>
                <w:color w:val="3A3835"/>
                <w:sz w:val="17"/>
              </w:rPr>
              <w:t>Phase gate progression (Ch. 8)</w:t>
            </w:r>
          </w:p>
        </w:tc>
        <w:tc>
          <w:tcPr>
            <w:tcW w:type="dxa" w:w="1792"/>
            <w:tcMar>
              <w:top w:w="60" w:type="dxa"/>
              <w:bottom w:w="60" w:type="dxa"/>
              <w:left w:w="100" w:type="dxa"/>
              <w:right w:w="100" w:type="dxa"/>
            </w:tcMar>
            <w:vAlign w:val="center"/>
            <w:shd w:val="clear" w:color="auto" w:fill="F2EFEA"/>
          </w:tcPr>
          <w:p>
            <w:r/>
            <w:r>
              <w:rPr>
                <w:color w:val="3A3835"/>
                <w:sz w:val="17"/>
              </w:rPr>
              <w:t>Accountable</w:t>
            </w:r>
          </w:p>
        </w:tc>
        <w:tc>
          <w:tcPr>
            <w:tcW w:type="dxa" w:w="1792"/>
            <w:tcMar>
              <w:top w:w="60" w:type="dxa"/>
              <w:bottom w:w="60" w:type="dxa"/>
              <w:left w:w="100" w:type="dxa"/>
              <w:right w:w="100" w:type="dxa"/>
            </w:tcMar>
            <w:vAlign w:val="center"/>
            <w:shd w:val="clear" w:color="auto" w:fill="F2EFEA"/>
          </w:tcPr>
          <w:p>
            <w:r/>
            <w:r>
              <w:rPr>
                <w:color w:val="3A3835"/>
                <w:sz w:val="17"/>
              </w:rPr>
              <w:t>Approves</w:t>
            </w:r>
          </w:p>
        </w:tc>
        <w:tc>
          <w:tcPr>
            <w:tcW w:type="dxa" w:w="1792"/>
            <w:tcMar>
              <w:top w:w="60" w:type="dxa"/>
              <w:bottom w:w="60" w:type="dxa"/>
              <w:left w:w="100" w:type="dxa"/>
              <w:right w:w="100" w:type="dxa"/>
            </w:tcMar>
            <w:vAlign w:val="center"/>
            <w:shd w:val="clear" w:color="auto" w:fill="F2EFEA"/>
          </w:tcPr>
          <w:p>
            <w:r/>
            <w:r>
              <w:rPr>
                <w:color w:val="3A3835"/>
                <w:sz w:val="17"/>
              </w:rPr>
              <w:t>Responsible</w:t>
            </w:r>
          </w:p>
        </w:tc>
        <w:tc>
          <w:tcPr>
            <w:tcW w:type="dxa" w:w="1792"/>
            <w:tcMar>
              <w:top w:w="60" w:type="dxa"/>
              <w:bottom w:w="60" w:type="dxa"/>
              <w:left w:w="100" w:type="dxa"/>
              <w:right w:w="100" w:type="dxa"/>
            </w:tcMar>
            <w:vAlign w:val="center"/>
            <w:shd w:val="clear" w:color="auto" w:fill="F2EFEA"/>
          </w:tcPr>
          <w:p>
            <w:r/>
            <w:r>
              <w:rPr>
                <w:color w:val="3A3835"/>
                <w:sz w:val="17"/>
              </w:rPr>
              <w:t>Consulted</w:t>
            </w:r>
          </w:p>
        </w:tc>
      </w:tr>
      <w:tr>
        <w:tc>
          <w:tcPr>
            <w:tcW w:type="dxa" w:w="1792"/>
            <w:tcMar>
              <w:top w:w="60" w:type="dxa"/>
              <w:bottom w:w="60" w:type="dxa"/>
              <w:left w:w="100" w:type="dxa"/>
              <w:right w:w="100" w:type="dxa"/>
            </w:tcMar>
            <w:vAlign w:val="center"/>
          </w:tcPr>
          <w:p>
            <w:r/>
            <w:r>
              <w:rPr>
                <w:color w:val="3A3835"/>
                <w:sz w:val="17"/>
              </w:rPr>
              <w:t>Pricing changes (Ch. 15)</w:t>
            </w:r>
          </w:p>
        </w:tc>
        <w:tc>
          <w:tcPr>
            <w:tcW w:type="dxa" w:w="1792"/>
            <w:tcMar>
              <w:top w:w="60" w:type="dxa"/>
              <w:bottom w:w="60" w:type="dxa"/>
              <w:left w:w="100" w:type="dxa"/>
              <w:right w:w="100" w:type="dxa"/>
            </w:tcMar>
            <w:vAlign w:val="center"/>
          </w:tcPr>
          <w:p>
            <w:r/>
            <w:r>
              <w:rPr>
                <w:color w:val="3A3835"/>
                <w:sz w:val="17"/>
              </w:rPr>
              <w:t>Accountable</w:t>
            </w:r>
          </w:p>
        </w:tc>
        <w:tc>
          <w:tcPr>
            <w:tcW w:type="dxa" w:w="1792"/>
            <w:tcMar>
              <w:top w:w="60" w:type="dxa"/>
              <w:bottom w:w="60" w:type="dxa"/>
              <w:left w:w="100" w:type="dxa"/>
              <w:right w:w="100" w:type="dxa"/>
            </w:tcMar>
            <w:vAlign w:val="center"/>
          </w:tcPr>
          <w:p>
            <w:r/>
            <w:r>
              <w:rPr>
                <w:color w:val="3A3835"/>
                <w:sz w:val="17"/>
              </w:rPr>
              <w:t>Informed</w:t>
            </w:r>
          </w:p>
        </w:tc>
        <w:tc>
          <w:tcPr>
            <w:tcW w:type="dxa" w:w="1792"/>
            <w:tcMar>
              <w:top w:w="60" w:type="dxa"/>
              <w:bottom w:w="60" w:type="dxa"/>
              <w:left w:w="100" w:type="dxa"/>
              <w:right w:w="100" w:type="dxa"/>
            </w:tcMar>
            <w:vAlign w:val="center"/>
          </w:tcPr>
          <w:p>
            <w:r/>
            <w:r>
              <w:rPr>
                <w:color w:val="3A3835"/>
                <w:sz w:val="17"/>
              </w:rPr>
              <w:t>Consulted</w:t>
            </w:r>
          </w:p>
        </w:tc>
        <w:tc>
          <w:tcPr>
            <w:tcW w:type="dxa" w:w="1792"/>
            <w:tcMar>
              <w:top w:w="60" w:type="dxa"/>
              <w:bottom w:w="60" w:type="dxa"/>
              <w:left w:w="100" w:type="dxa"/>
              <w:right w:w="100" w:type="dxa"/>
            </w:tcMar>
            <w:vAlign w:val="center"/>
          </w:tcPr>
          <w:p>
            <w:r/>
            <w:r>
              <w:rPr>
                <w:color w:val="3A3835"/>
                <w:sz w:val="17"/>
              </w:rPr>
              <w:t>—</w:t>
            </w:r>
          </w:p>
        </w:tc>
      </w:tr>
      <w:tr>
        <w:tc>
          <w:tcPr>
            <w:tcW w:type="dxa" w:w="1792"/>
            <w:tcMar>
              <w:top w:w="60" w:type="dxa"/>
              <w:bottom w:w="60" w:type="dxa"/>
              <w:left w:w="100" w:type="dxa"/>
              <w:right w:w="100" w:type="dxa"/>
            </w:tcMar>
            <w:vAlign w:val="center"/>
            <w:shd w:val="clear" w:color="auto" w:fill="F2EFEA"/>
          </w:tcPr>
          <w:p>
            <w:r/>
            <w:r>
              <w:rPr>
                <w:color w:val="3A3835"/>
                <w:sz w:val="17"/>
              </w:rPr>
              <w:t>Institutional capital raise</w:t>
            </w:r>
          </w:p>
        </w:tc>
        <w:tc>
          <w:tcPr>
            <w:tcW w:type="dxa" w:w="1792"/>
            <w:tcMar>
              <w:top w:w="60" w:type="dxa"/>
              <w:bottom w:w="60" w:type="dxa"/>
              <w:left w:w="100" w:type="dxa"/>
              <w:right w:w="100" w:type="dxa"/>
            </w:tcMar>
            <w:vAlign w:val="center"/>
            <w:shd w:val="clear" w:color="auto" w:fill="F2EFEA"/>
          </w:tcPr>
          <w:p>
            <w:r/>
            <w:r>
              <w:rPr>
                <w:color w:val="3A3835"/>
                <w:sz w:val="17"/>
              </w:rPr>
              <w:t>Responsible</w:t>
            </w:r>
          </w:p>
        </w:tc>
        <w:tc>
          <w:tcPr>
            <w:tcW w:type="dxa" w:w="1792"/>
            <w:tcMar>
              <w:top w:w="60" w:type="dxa"/>
              <w:bottom w:w="60" w:type="dxa"/>
              <w:left w:w="100" w:type="dxa"/>
              <w:right w:w="100" w:type="dxa"/>
            </w:tcMar>
            <w:vAlign w:val="center"/>
            <w:shd w:val="clear" w:color="auto" w:fill="F2EFEA"/>
          </w:tcPr>
          <w:p>
            <w:r/>
            <w:r>
              <w:rPr>
                <w:color w:val="3A3835"/>
                <w:sz w:val="17"/>
              </w:rPr>
              <w:t>Accountable</w:t>
            </w:r>
          </w:p>
        </w:tc>
        <w:tc>
          <w:tcPr>
            <w:tcW w:type="dxa" w:w="1792"/>
            <w:tcMar>
              <w:top w:w="60" w:type="dxa"/>
              <w:bottom w:w="60" w:type="dxa"/>
              <w:left w:w="100" w:type="dxa"/>
              <w:right w:w="100" w:type="dxa"/>
            </w:tcMar>
            <w:vAlign w:val="center"/>
            <w:shd w:val="clear" w:color="auto" w:fill="F2EFEA"/>
          </w:tcPr>
          <w:p>
            <w:r/>
            <w:r>
              <w:rPr>
                <w:color w:val="3A3835"/>
                <w:sz w:val="17"/>
              </w:rPr>
              <w:t>Consulted</w:t>
            </w:r>
          </w:p>
        </w:tc>
        <w:tc>
          <w:tcPr>
            <w:tcW w:type="dxa" w:w="1792"/>
            <w:tcMar>
              <w:top w:w="60" w:type="dxa"/>
              <w:bottom w:w="60" w:type="dxa"/>
              <w:left w:w="100" w:type="dxa"/>
              <w:right w:w="100" w:type="dxa"/>
            </w:tcMar>
            <w:vAlign w:val="center"/>
            <w:shd w:val="clear" w:color="auto" w:fill="F2EFEA"/>
          </w:tcPr>
          <w:p>
            <w:r/>
            <w:r>
              <w:rPr>
                <w:color w:val="3A3835"/>
                <w:sz w:val="17"/>
              </w:rPr>
              <w:t>Consulted</w:t>
            </w:r>
          </w:p>
        </w:tc>
      </w:tr>
      <w:tr>
        <w:tc>
          <w:tcPr>
            <w:tcW w:type="dxa" w:w="1792"/>
            <w:tcMar>
              <w:top w:w="60" w:type="dxa"/>
              <w:bottom w:w="60" w:type="dxa"/>
              <w:left w:w="100" w:type="dxa"/>
              <w:right w:w="100" w:type="dxa"/>
            </w:tcMar>
            <w:vAlign w:val="center"/>
          </w:tcPr>
          <w:p>
            <w:r/>
            <w:r>
              <w:rPr>
                <w:color w:val="3A3835"/>
                <w:sz w:val="17"/>
              </w:rPr>
              <w:t>Acquisition approach evaluation (Ch. 24)</w:t>
            </w:r>
          </w:p>
        </w:tc>
        <w:tc>
          <w:tcPr>
            <w:tcW w:type="dxa" w:w="1792"/>
            <w:tcMar>
              <w:top w:w="60" w:type="dxa"/>
              <w:bottom w:w="60" w:type="dxa"/>
              <w:left w:w="100" w:type="dxa"/>
              <w:right w:w="100" w:type="dxa"/>
            </w:tcMar>
            <w:vAlign w:val="center"/>
          </w:tcPr>
          <w:p>
            <w:r/>
            <w:r>
              <w:rPr>
                <w:color w:val="3A3835"/>
                <w:sz w:val="17"/>
              </w:rPr>
              <w:t>Responsible</w:t>
            </w:r>
          </w:p>
        </w:tc>
        <w:tc>
          <w:tcPr>
            <w:tcW w:type="dxa" w:w="1792"/>
            <w:tcMar>
              <w:top w:w="60" w:type="dxa"/>
              <w:bottom w:w="60" w:type="dxa"/>
              <w:left w:w="100" w:type="dxa"/>
              <w:right w:w="100" w:type="dxa"/>
            </w:tcMar>
            <w:vAlign w:val="center"/>
          </w:tcPr>
          <w:p>
            <w:r/>
            <w:r>
              <w:rPr>
                <w:color w:val="3A3835"/>
                <w:sz w:val="17"/>
              </w:rPr>
              <w:t>Accountable</w:t>
            </w:r>
          </w:p>
        </w:tc>
        <w:tc>
          <w:tcPr>
            <w:tcW w:type="dxa" w:w="1792"/>
            <w:tcMar>
              <w:top w:w="60" w:type="dxa"/>
              <w:bottom w:w="60" w:type="dxa"/>
              <w:left w:w="100" w:type="dxa"/>
              <w:right w:w="100" w:type="dxa"/>
            </w:tcMar>
            <w:vAlign w:val="center"/>
          </w:tcPr>
          <w:p>
            <w:r/>
            <w:r>
              <w:rPr>
                <w:color w:val="3A3835"/>
                <w:sz w:val="17"/>
              </w:rPr>
              <w:t>Consulted</w:t>
            </w:r>
          </w:p>
        </w:tc>
        <w:tc>
          <w:tcPr>
            <w:tcW w:type="dxa" w:w="1792"/>
            <w:tcMar>
              <w:top w:w="60" w:type="dxa"/>
              <w:bottom w:w="60" w:type="dxa"/>
              <w:left w:w="100" w:type="dxa"/>
              <w:right w:w="100" w:type="dxa"/>
            </w:tcMar>
            <w:vAlign w:val="center"/>
          </w:tcPr>
          <w:p>
            <w:r/>
            <w:r>
              <w:rPr>
                <w:color w:val="3A3835"/>
                <w:sz w:val="17"/>
              </w:rPr>
              <w:t>Consulted</w:t>
            </w:r>
          </w:p>
        </w:tc>
      </w:tr>
      <w:tr>
        <w:tc>
          <w:tcPr>
            <w:tcW w:type="dxa" w:w="1792"/>
            <w:tcMar>
              <w:top w:w="60" w:type="dxa"/>
              <w:bottom w:w="60" w:type="dxa"/>
              <w:left w:w="100" w:type="dxa"/>
              <w:right w:w="100" w:type="dxa"/>
            </w:tcMar>
            <w:vAlign w:val="center"/>
            <w:shd w:val="clear" w:color="auto" w:fill="F2EFEA"/>
          </w:tcPr>
          <w:p>
            <w:r/>
            <w:r>
              <w:rPr>
                <w:color w:val="3A3835"/>
                <w:sz w:val="17"/>
              </w:rPr>
              <w:t>Quarterly risk register review (Ch. 26)</w:t>
            </w:r>
          </w:p>
        </w:tc>
        <w:tc>
          <w:tcPr>
            <w:tcW w:type="dxa" w:w="1792"/>
            <w:tcMar>
              <w:top w:w="60" w:type="dxa"/>
              <w:bottom w:w="60" w:type="dxa"/>
              <w:left w:w="100" w:type="dxa"/>
              <w:right w:w="100" w:type="dxa"/>
            </w:tcMar>
            <w:vAlign w:val="center"/>
            <w:shd w:val="clear" w:color="auto" w:fill="F2EFEA"/>
          </w:tcPr>
          <w:p>
            <w:r/>
            <w:r>
              <w:rPr>
                <w:color w:val="3A3835"/>
                <w:sz w:val="17"/>
              </w:rPr>
              <w:t>Responsible</w:t>
            </w:r>
          </w:p>
        </w:tc>
        <w:tc>
          <w:tcPr>
            <w:tcW w:type="dxa" w:w="1792"/>
            <w:tcMar>
              <w:top w:w="60" w:type="dxa"/>
              <w:bottom w:w="60" w:type="dxa"/>
              <w:left w:w="100" w:type="dxa"/>
              <w:right w:w="100" w:type="dxa"/>
            </w:tcMar>
            <w:vAlign w:val="center"/>
            <w:shd w:val="clear" w:color="auto" w:fill="F2EFEA"/>
          </w:tcPr>
          <w:p>
            <w:r/>
            <w:r>
              <w:rPr>
                <w:color w:val="3A3835"/>
                <w:sz w:val="17"/>
              </w:rPr>
              <w:t>Accountable</w:t>
            </w:r>
          </w:p>
        </w:tc>
        <w:tc>
          <w:tcPr>
            <w:tcW w:type="dxa" w:w="1792"/>
            <w:tcMar>
              <w:top w:w="60" w:type="dxa"/>
              <w:bottom w:w="60" w:type="dxa"/>
              <w:left w:w="100" w:type="dxa"/>
              <w:right w:w="100" w:type="dxa"/>
            </w:tcMar>
            <w:vAlign w:val="center"/>
            <w:shd w:val="clear" w:color="auto" w:fill="F2EFEA"/>
          </w:tcPr>
          <w:p>
            <w:r/>
            <w:r>
              <w:rPr>
                <w:color w:val="3A3835"/>
                <w:sz w:val="17"/>
              </w:rPr>
              <w:t>Consulted</w:t>
            </w:r>
          </w:p>
        </w:tc>
        <w:tc>
          <w:tcPr>
            <w:tcW w:type="dxa" w:w="1792"/>
            <w:tcMar>
              <w:top w:w="60" w:type="dxa"/>
              <w:bottom w:w="60" w:type="dxa"/>
              <w:left w:w="100" w:type="dxa"/>
              <w:right w:w="100" w:type="dxa"/>
            </w:tcMar>
            <w:vAlign w:val="center"/>
            <w:shd w:val="clear" w:color="auto" w:fill="F2EFEA"/>
          </w:tcPr>
          <w:p>
            <w:r/>
            <w:r>
              <w:rPr>
                <w:color w:val="3A3835"/>
                <w:sz w:val="17"/>
              </w:rPr>
              <w:t>Consulted</w:t>
            </w:r>
          </w:p>
        </w:tc>
      </w:tr>
    </w:tbl>
    <w:p>
      <w:pPr>
        <w:spacing w:after="120"/>
      </w:pPr>
    </w:p>
    <w:p>
      <w:pPr>
        <w:pStyle w:val="BIKH1"/>
      </w:pPr>
      <w:r>
        <w:t>Illustrative Resolution Wording</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SAMPLE RESOLUTION — FOR BOARD MINUTE PURPOSES</w:t>
            </w:r>
          </w:p>
          <w:p>
            <w:r>
              <w:rPr>
                <w:color w:val="FFFFFF"/>
                <w:sz w:val="20"/>
              </w:rPr>
              <w:t>"RESOLVED that the Board of BIK Solutions Pty Ltd adopts the Strategic Blueprint &amp; Investment Memorandum dated 16 July 2026 (Version 1.0) as the Company's current strategic plan; approves progression of Phase 2 platform investment on the bootstrap-funded basis described therein; and directs management to commission independent legal and WHS professional review of the SWMS Generator, Notice to Show Cause, Contract Termination Notice and Subcontractor Agreement tools prior to any general release, consistent with the Legal and Safety Tool Register."</w:t>
            </w:r>
          </w:p>
        </w:tc>
      </w:tr>
    </w:tbl>
    <w:p>
      <w:pPr>
        <w:spacing w:after="80"/>
      </w:pPr>
    </w:p>
    <w:p>
      <w:pPr>
        <w:pStyle w:val="BIKChapterLabel"/>
      </w:pPr>
      <w:r>
        <w:t>PART I — BOARD &amp; IMPLEMENTATION</w:t>
      </w:r>
    </w:p>
    <w:p>
      <w:pPr>
        <w:pStyle w:val="BIKChapterTitle"/>
        <w:pBdr>
          <w:bottom w:val="single" w:sz="18" w:space="8" w:color="D85A30"/>
        </w:pBdr>
      </w:pPr>
      <w:r>
        <w:t>29   Implementation Timeline — Next 12 Months</w:t>
      </w:r>
    </w:p>
    <w:p>
      <w:pPr>
        <w:pStyle w:val="BIKH1"/>
      </w:pPr>
      <w:r>
        <w:t>Quarter-by-Quarter Plan</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Quarter</w:t>
            </w:r>
          </w:p>
        </w:tc>
        <w:tc>
          <w:tcPr>
            <w:tcW w:type="dxa" w:w="2986"/>
            <w:shd w:val="clear" w:color="auto" w:fill="252320"/>
            <w:tcMar>
              <w:top w:w="60" w:type="dxa"/>
              <w:bottom w:w="60" w:type="dxa"/>
              <w:left w:w="100" w:type="dxa"/>
              <w:right w:w="100" w:type="dxa"/>
            </w:tcMar>
            <w:vAlign w:val="center"/>
          </w:tcPr>
          <w:p>
            <w:r/>
            <w:r>
              <w:rPr>
                <w:b/>
                <w:color w:val="FFFFFF"/>
                <w:sz w:val="18"/>
              </w:rPr>
              <w:t>Focus</w:t>
            </w:r>
          </w:p>
        </w:tc>
        <w:tc>
          <w:tcPr>
            <w:tcW w:type="dxa" w:w="2986"/>
            <w:shd w:val="clear" w:color="auto" w:fill="252320"/>
            <w:tcMar>
              <w:top w:w="60" w:type="dxa"/>
              <w:bottom w:w="60" w:type="dxa"/>
              <w:left w:w="100" w:type="dxa"/>
              <w:right w:w="100" w:type="dxa"/>
            </w:tcMar>
            <w:vAlign w:val="center"/>
          </w:tcPr>
          <w:p>
            <w:r/>
            <w:r>
              <w:rPr>
                <w:b/>
                <w:color w:val="FFFFFF"/>
                <w:sz w:val="18"/>
              </w:rPr>
              <w:t>Key deliverables</w:t>
            </w:r>
          </w:p>
        </w:tc>
      </w:tr>
      <w:tr>
        <w:tc>
          <w:tcPr>
            <w:tcW w:type="dxa" w:w="2986"/>
            <w:tcMar>
              <w:top w:w="60" w:type="dxa"/>
              <w:bottom w:w="60" w:type="dxa"/>
              <w:left w:w="100" w:type="dxa"/>
              <w:right w:w="100" w:type="dxa"/>
            </w:tcMar>
            <w:vAlign w:val="center"/>
          </w:tcPr>
          <w:p>
            <w:r/>
            <w:r>
              <w:rPr>
                <w:color w:val="3A3835"/>
                <w:sz w:val="18"/>
              </w:rPr>
              <w:t>Q3 2026 (current)</w:t>
            </w:r>
          </w:p>
        </w:tc>
        <w:tc>
          <w:tcPr>
            <w:tcW w:type="dxa" w:w="2986"/>
            <w:tcMar>
              <w:top w:w="60" w:type="dxa"/>
              <w:bottom w:w="60" w:type="dxa"/>
              <w:left w:w="100" w:type="dxa"/>
              <w:right w:w="100" w:type="dxa"/>
            </w:tcMar>
            <w:vAlign w:val="center"/>
          </w:tcPr>
          <w:p>
            <w:r/>
            <w:r>
              <w:rPr>
                <w:color w:val="3A3835"/>
                <w:sz w:val="18"/>
              </w:rPr>
              <w:t>Complete Phase 1 foundation</w:t>
            </w:r>
          </w:p>
        </w:tc>
        <w:tc>
          <w:tcPr>
            <w:tcW w:type="dxa" w:w="2986"/>
            <w:tcMar>
              <w:top w:w="60" w:type="dxa"/>
              <w:bottom w:w="60" w:type="dxa"/>
              <w:left w:w="100" w:type="dxa"/>
              <w:right w:w="100" w:type="dxa"/>
            </w:tcMar>
            <w:vAlign w:val="center"/>
          </w:tcPr>
          <w:p>
            <w:r/>
            <w:r>
              <w:rPr>
                <w:color w:val="3A3835"/>
                <w:sz w:val="18"/>
              </w:rPr>
              <w:t>Finish remaining Phase 1 tools (Progress Claim, SWMS pending legal review, Site Inspection Report); publish all six toolkit marketing pages; reach 500 email subscribers</w:t>
            </w:r>
          </w:p>
        </w:tc>
      </w:tr>
      <w:tr>
        <w:tc>
          <w:tcPr>
            <w:tcW w:type="dxa" w:w="2986"/>
            <w:tcMar>
              <w:top w:w="60" w:type="dxa"/>
              <w:bottom w:w="60" w:type="dxa"/>
              <w:left w:w="100" w:type="dxa"/>
              <w:right w:w="100" w:type="dxa"/>
            </w:tcMar>
            <w:vAlign w:val="center"/>
            <w:shd w:val="clear" w:color="auto" w:fill="F2EFEA"/>
          </w:tcPr>
          <w:p>
            <w:r/>
            <w:r>
              <w:rPr>
                <w:color w:val="3A3835"/>
                <w:sz w:val="18"/>
              </w:rPr>
              <w:t>Q4 2026</w:t>
            </w:r>
          </w:p>
        </w:tc>
        <w:tc>
          <w:tcPr>
            <w:tcW w:type="dxa" w:w="2986"/>
            <w:tcMar>
              <w:top w:w="60" w:type="dxa"/>
              <w:bottom w:w="60" w:type="dxa"/>
              <w:left w:w="100" w:type="dxa"/>
              <w:right w:w="100" w:type="dxa"/>
            </w:tcMar>
            <w:vAlign w:val="center"/>
            <w:shd w:val="clear" w:color="auto" w:fill="F2EFEA"/>
          </w:tcPr>
          <w:p>
            <w:r/>
            <w:r>
              <w:rPr>
                <w:color w:val="3A3835"/>
                <w:sz w:val="18"/>
              </w:rPr>
              <w:t>Beta-to-launch transition</w:t>
            </w:r>
          </w:p>
        </w:tc>
        <w:tc>
          <w:tcPr>
            <w:tcW w:type="dxa" w:w="2986"/>
            <w:tcMar>
              <w:top w:w="60" w:type="dxa"/>
              <w:bottom w:w="60" w:type="dxa"/>
              <w:left w:w="100" w:type="dxa"/>
              <w:right w:w="100" w:type="dxa"/>
            </w:tcMar>
            <w:vAlign w:val="center"/>
            <w:shd w:val="clear" w:color="auto" w:fill="F2EFEA"/>
          </w:tcPr>
          <w:p>
            <w:r/>
            <w:r>
              <w:rPr>
                <w:color w:val="3A3835"/>
                <w:sz w:val="18"/>
              </w:rPr>
              <w:t>Convert beta feedback into a prioritised fix list; activate analytics (Google Analytics 4, Microsoft Clarity) once account IDs are available; begin Phase 2 technical design (Supabase auth, Stripe billing)</w:t>
            </w:r>
          </w:p>
        </w:tc>
      </w:tr>
      <w:tr>
        <w:tc>
          <w:tcPr>
            <w:tcW w:type="dxa" w:w="2986"/>
            <w:tcMar>
              <w:top w:w="60" w:type="dxa"/>
              <w:bottom w:w="60" w:type="dxa"/>
              <w:left w:w="100" w:type="dxa"/>
              <w:right w:w="100" w:type="dxa"/>
            </w:tcMar>
            <w:vAlign w:val="center"/>
          </w:tcPr>
          <w:p>
            <w:r/>
            <w:r>
              <w:rPr>
                <w:color w:val="3A3835"/>
                <w:sz w:val="18"/>
              </w:rPr>
              <w:t>Q1 2027</w:t>
            </w:r>
          </w:p>
        </w:tc>
        <w:tc>
          <w:tcPr>
            <w:tcW w:type="dxa" w:w="2986"/>
            <w:tcMar>
              <w:top w:w="60" w:type="dxa"/>
              <w:bottom w:w="60" w:type="dxa"/>
              <w:left w:w="100" w:type="dxa"/>
              <w:right w:w="100" w:type="dxa"/>
            </w:tcMar>
            <w:vAlign w:val="center"/>
          </w:tcPr>
          <w:p>
            <w:r/>
            <w:r>
              <w:rPr>
                <w:color w:val="3A3835"/>
                <w:sz w:val="18"/>
              </w:rPr>
              <w:t>Phase 2 build</w:t>
            </w:r>
          </w:p>
        </w:tc>
        <w:tc>
          <w:tcPr>
            <w:tcW w:type="dxa" w:w="2986"/>
            <w:tcMar>
              <w:top w:w="60" w:type="dxa"/>
              <w:bottom w:w="60" w:type="dxa"/>
              <w:left w:w="100" w:type="dxa"/>
              <w:right w:w="100" w:type="dxa"/>
            </w:tcMar>
            <w:vAlign w:val="center"/>
          </w:tcPr>
          <w:p>
            <w:r/>
            <w:r>
              <w:rPr>
                <w:color w:val="3A3835"/>
                <w:sz w:val="18"/>
              </w:rPr>
              <w:t>Ship user accounts, document history dashboard, branded PDF export, and Stripe subscription billing; formally launch paid tiers; migrate Formspree workflows to a real database</w:t>
            </w:r>
          </w:p>
        </w:tc>
      </w:tr>
      <w:tr>
        <w:tc>
          <w:tcPr>
            <w:tcW w:type="dxa" w:w="2986"/>
            <w:tcMar>
              <w:top w:w="60" w:type="dxa"/>
              <w:bottom w:w="60" w:type="dxa"/>
              <w:left w:w="100" w:type="dxa"/>
              <w:right w:w="100" w:type="dxa"/>
            </w:tcMar>
            <w:vAlign w:val="center"/>
            <w:shd w:val="clear" w:color="auto" w:fill="F2EFEA"/>
          </w:tcPr>
          <w:p>
            <w:r/>
            <w:r>
              <w:rPr>
                <w:color w:val="3A3835"/>
                <w:sz w:val="18"/>
              </w:rPr>
              <w:t>Q2 2027</w:t>
            </w:r>
          </w:p>
        </w:tc>
        <w:tc>
          <w:tcPr>
            <w:tcW w:type="dxa" w:w="2986"/>
            <w:tcMar>
              <w:top w:w="60" w:type="dxa"/>
              <w:bottom w:w="60" w:type="dxa"/>
              <w:left w:w="100" w:type="dxa"/>
              <w:right w:w="100" w:type="dxa"/>
            </w:tcMar>
            <w:vAlign w:val="center"/>
            <w:shd w:val="clear" w:color="auto" w:fill="F2EFEA"/>
          </w:tcPr>
          <w:p>
            <w:r/>
            <w:r>
              <w:rPr>
                <w:color w:val="3A3835"/>
                <w:sz w:val="18"/>
              </w:rPr>
              <w:t>Phase 2 consolidation</w:t>
            </w:r>
          </w:p>
        </w:tc>
        <w:tc>
          <w:tcPr>
            <w:tcW w:type="dxa" w:w="2986"/>
            <w:tcMar>
              <w:top w:w="60" w:type="dxa"/>
              <w:bottom w:w="60" w:type="dxa"/>
              <w:left w:w="100" w:type="dxa"/>
              <w:right w:w="100" w:type="dxa"/>
            </w:tcMar>
            <w:vAlign w:val="center"/>
            <w:shd w:val="clear" w:color="auto" w:fill="F2EFEA"/>
          </w:tcPr>
          <w:p>
            <w:r/>
            <w:r>
              <w:rPr>
                <w:color w:val="3A3835"/>
                <w:sz w:val="18"/>
              </w:rPr>
              <w:t>Ship 15 additional Phase 2 tools; launch lifecycle email automation (welcome, nurture, upsell); commission professional legal review of the four HOLD tools</w:t>
            </w:r>
          </w:p>
        </w:tc>
      </w:tr>
      <w:tr>
        <w:tc>
          <w:tcPr>
            <w:tcW w:type="dxa" w:w="2986"/>
            <w:tcMar>
              <w:top w:w="60" w:type="dxa"/>
              <w:bottom w:w="60" w:type="dxa"/>
              <w:left w:w="100" w:type="dxa"/>
              <w:right w:w="100" w:type="dxa"/>
            </w:tcMar>
            <w:vAlign w:val="center"/>
          </w:tcPr>
          <w:p>
            <w:r/>
            <w:r>
              <w:rPr>
                <w:color w:val="3A3835"/>
                <w:sz w:val="18"/>
              </w:rPr>
              <w:t>Q3 2027</w:t>
            </w:r>
          </w:p>
        </w:tc>
        <w:tc>
          <w:tcPr>
            <w:tcW w:type="dxa" w:w="2986"/>
            <w:tcMar>
              <w:top w:w="60" w:type="dxa"/>
              <w:bottom w:w="60" w:type="dxa"/>
              <w:left w:w="100" w:type="dxa"/>
              <w:right w:w="100" w:type="dxa"/>
            </w:tcMar>
            <w:vAlign w:val="center"/>
          </w:tcPr>
          <w:p>
            <w:r/>
            <w:r>
              <w:rPr>
                <w:color w:val="3A3835"/>
                <w:sz w:val="18"/>
              </w:rPr>
              <w:t>Phase 2 target checkpoint</w:t>
            </w:r>
          </w:p>
        </w:tc>
        <w:tc>
          <w:tcPr>
            <w:tcW w:type="dxa" w:w="2986"/>
            <w:tcMar>
              <w:top w:w="60" w:type="dxa"/>
              <w:bottom w:w="60" w:type="dxa"/>
              <w:left w:w="100" w:type="dxa"/>
              <w:right w:w="100" w:type="dxa"/>
            </w:tcMar>
            <w:vAlign w:val="center"/>
          </w:tcPr>
          <w:p>
            <w:r/>
            <w:r>
              <w:rPr>
                <w:color w:val="3A3835"/>
                <w:sz w:val="18"/>
              </w:rPr>
              <w:t>Board review against the 500-subscriber / $15,000 MRR phase-gate (Chapter 8); go/no-go decision on accelerating toward Phase 3 integrations</w:t>
            </w:r>
          </w:p>
        </w:tc>
      </w:tr>
      <w:tr>
        <w:tc>
          <w:tcPr>
            <w:tcW w:type="dxa" w:w="2986"/>
            <w:tcMar>
              <w:top w:w="60" w:type="dxa"/>
              <w:bottom w:w="60" w:type="dxa"/>
              <w:left w:w="100" w:type="dxa"/>
              <w:right w:w="100" w:type="dxa"/>
            </w:tcMar>
            <w:vAlign w:val="center"/>
            <w:shd w:val="clear" w:color="auto" w:fill="F2EFEA"/>
          </w:tcPr>
          <w:p>
            <w:r/>
            <w:r>
              <w:rPr>
                <w:color w:val="3A3835"/>
                <w:sz w:val="18"/>
              </w:rPr>
              <w:t>Q4 2027 – Q2 2028</w:t>
            </w:r>
          </w:p>
        </w:tc>
        <w:tc>
          <w:tcPr>
            <w:tcW w:type="dxa" w:w="2986"/>
            <w:tcMar>
              <w:top w:w="60" w:type="dxa"/>
              <w:bottom w:w="60" w:type="dxa"/>
              <w:left w:w="100" w:type="dxa"/>
              <w:right w:w="100" w:type="dxa"/>
            </w:tcMar>
            <w:vAlign w:val="center"/>
            <w:shd w:val="clear" w:color="auto" w:fill="F2EFEA"/>
          </w:tcPr>
          <w:p>
            <w:r/>
            <w:r>
              <w:rPr>
                <w:color w:val="3A3835"/>
                <w:sz w:val="18"/>
              </w:rPr>
              <w:t>Phase 3 build begins</w:t>
            </w:r>
          </w:p>
        </w:tc>
        <w:tc>
          <w:tcPr>
            <w:tcW w:type="dxa" w:w="2986"/>
            <w:tcMar>
              <w:top w:w="60" w:type="dxa"/>
              <w:bottom w:w="60" w:type="dxa"/>
              <w:left w:w="100" w:type="dxa"/>
              <w:right w:w="100" w:type="dxa"/>
            </w:tcMar>
            <w:vAlign w:val="center"/>
            <w:shd w:val="clear" w:color="auto" w:fill="F2EFEA"/>
          </w:tcPr>
          <w:p>
            <w:r/>
            <w:r>
              <w:rPr>
                <w:color w:val="3A3835"/>
                <w:sz w:val="18"/>
              </w:rPr>
              <w:t>Live Xero and ServiceM8 integrations; team workspaces and role-based access; begin mobile PWA development</w:t>
            </w:r>
          </w:p>
        </w:tc>
      </w:tr>
    </w:tbl>
    <w:p>
      <w:pPr>
        <w:spacing w:after="120"/>
      </w:pPr>
    </w:p>
    <w:p>
      <w:pPr>
        <w:pStyle w:val="BIKH1"/>
      </w:pPr>
      <w:r>
        <w:t>Immediate Next Actions (30/60/90 Days)</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Timeframe</w:t>
            </w:r>
          </w:p>
        </w:tc>
        <w:tc>
          <w:tcPr>
            <w:tcW w:type="dxa" w:w="2986"/>
            <w:shd w:val="clear" w:color="auto" w:fill="252320"/>
            <w:tcMar>
              <w:top w:w="60" w:type="dxa"/>
              <w:bottom w:w="60" w:type="dxa"/>
              <w:left w:w="100" w:type="dxa"/>
              <w:right w:w="100" w:type="dxa"/>
            </w:tcMar>
            <w:vAlign w:val="center"/>
          </w:tcPr>
          <w:p>
            <w:r/>
            <w:r>
              <w:rPr>
                <w:b/>
                <w:color w:val="FFFFFF"/>
                <w:sz w:val="18"/>
              </w:rPr>
              <w:t>Action</w:t>
            </w:r>
          </w:p>
        </w:tc>
        <w:tc>
          <w:tcPr>
            <w:tcW w:type="dxa" w:w="2986"/>
            <w:shd w:val="clear" w:color="auto" w:fill="252320"/>
            <w:tcMar>
              <w:top w:w="60" w:type="dxa"/>
              <w:bottom w:w="60" w:type="dxa"/>
              <w:left w:w="100" w:type="dxa"/>
              <w:right w:w="100" w:type="dxa"/>
            </w:tcMar>
            <w:vAlign w:val="center"/>
          </w:tcPr>
          <w:p>
            <w:r/>
            <w:r>
              <w:rPr>
                <w:b/>
                <w:color w:val="FFFFFF"/>
                <w:sz w:val="18"/>
              </w:rPr>
              <w:t>Owner</w:t>
            </w:r>
          </w:p>
        </w:tc>
      </w:tr>
      <w:tr>
        <w:tc>
          <w:tcPr>
            <w:tcW w:type="dxa" w:w="2986"/>
            <w:tcMar>
              <w:top w:w="60" w:type="dxa"/>
              <w:bottom w:w="60" w:type="dxa"/>
              <w:left w:w="100" w:type="dxa"/>
              <w:right w:w="100" w:type="dxa"/>
            </w:tcMar>
            <w:vAlign w:val="center"/>
          </w:tcPr>
          <w:p>
            <w:r/>
            <w:r>
              <w:rPr>
                <w:color w:val="3A3835"/>
                <w:sz w:val="18"/>
              </w:rPr>
              <w:t>Next 30 days</w:t>
            </w:r>
          </w:p>
        </w:tc>
        <w:tc>
          <w:tcPr>
            <w:tcW w:type="dxa" w:w="2986"/>
            <w:tcMar>
              <w:top w:w="60" w:type="dxa"/>
              <w:bottom w:w="60" w:type="dxa"/>
              <w:left w:w="100" w:type="dxa"/>
              <w:right w:w="100" w:type="dxa"/>
            </w:tcMar>
            <w:vAlign w:val="center"/>
          </w:tcPr>
          <w:p>
            <w:r/>
            <w:r>
              <w:rPr>
                <w:color w:val="3A3835"/>
                <w:sz w:val="18"/>
              </w:rPr>
              <w:t>Board sign-off on the resolutions in Chapter 28; commission construction-lawyer review of the four HOLD tools</w:t>
            </w:r>
          </w:p>
        </w:tc>
        <w:tc>
          <w:tcPr>
            <w:tcW w:type="dxa" w:w="2986"/>
            <w:tcMar>
              <w:top w:w="60" w:type="dxa"/>
              <w:bottom w:w="60" w:type="dxa"/>
              <w:left w:w="100" w:type="dxa"/>
              <w:right w:w="100" w:type="dxa"/>
            </w:tcMar>
            <w:vAlign w:val="center"/>
          </w:tcPr>
          <w:p>
            <w:r/>
            <w:r>
              <w:rPr>
                <w:color w:val="3A3835"/>
                <w:sz w:val="18"/>
              </w:rPr>
              <w:t>Board / Founder</w:t>
            </w:r>
          </w:p>
        </w:tc>
      </w:tr>
      <w:tr>
        <w:tc>
          <w:tcPr>
            <w:tcW w:type="dxa" w:w="2986"/>
            <w:tcMar>
              <w:top w:w="60" w:type="dxa"/>
              <w:bottom w:w="60" w:type="dxa"/>
              <w:left w:w="100" w:type="dxa"/>
              <w:right w:w="100" w:type="dxa"/>
            </w:tcMar>
            <w:vAlign w:val="center"/>
            <w:shd w:val="clear" w:color="auto" w:fill="F2EFEA"/>
          </w:tcPr>
          <w:p>
            <w:r/>
            <w:r>
              <w:rPr>
                <w:color w:val="3A3835"/>
                <w:sz w:val="18"/>
              </w:rPr>
              <w:t>Next 60 days</w:t>
            </w:r>
          </w:p>
        </w:tc>
        <w:tc>
          <w:tcPr>
            <w:tcW w:type="dxa" w:w="2986"/>
            <w:tcMar>
              <w:top w:w="60" w:type="dxa"/>
              <w:bottom w:w="60" w:type="dxa"/>
              <w:left w:w="100" w:type="dxa"/>
              <w:right w:w="100" w:type="dxa"/>
            </w:tcMar>
            <w:vAlign w:val="center"/>
            <w:shd w:val="clear" w:color="auto" w:fill="F2EFEA"/>
          </w:tcPr>
          <w:p>
            <w:r/>
            <w:r>
              <w:rPr>
                <w:color w:val="3A3835"/>
                <w:sz w:val="18"/>
              </w:rPr>
              <w:t>Finalise Phase 2 technical design (Supabase schema, Stripe product/price configuration); activate analytics once tracking IDs are available</w:t>
            </w:r>
          </w:p>
        </w:tc>
        <w:tc>
          <w:tcPr>
            <w:tcW w:type="dxa" w:w="2986"/>
            <w:tcMar>
              <w:top w:w="60" w:type="dxa"/>
              <w:bottom w:w="60" w:type="dxa"/>
              <w:left w:w="100" w:type="dxa"/>
              <w:right w:w="100" w:type="dxa"/>
            </w:tcMar>
            <w:vAlign w:val="center"/>
            <w:shd w:val="clear" w:color="auto" w:fill="F2EFEA"/>
          </w:tcPr>
          <w:p>
            <w:r/>
            <w:r>
              <w:rPr>
                <w:color w:val="3A3835"/>
                <w:sz w:val="18"/>
              </w:rPr>
              <w:t>Product / Engineering</w:t>
            </w:r>
          </w:p>
        </w:tc>
      </w:tr>
      <w:tr>
        <w:tc>
          <w:tcPr>
            <w:tcW w:type="dxa" w:w="2986"/>
            <w:tcMar>
              <w:top w:w="60" w:type="dxa"/>
              <w:bottom w:w="60" w:type="dxa"/>
              <w:left w:w="100" w:type="dxa"/>
              <w:right w:w="100" w:type="dxa"/>
            </w:tcMar>
            <w:vAlign w:val="center"/>
          </w:tcPr>
          <w:p>
            <w:r/>
            <w:r>
              <w:rPr>
                <w:color w:val="3A3835"/>
                <w:sz w:val="18"/>
              </w:rPr>
              <w:t>Next 90 days</w:t>
            </w:r>
          </w:p>
        </w:tc>
        <w:tc>
          <w:tcPr>
            <w:tcW w:type="dxa" w:w="2986"/>
            <w:tcMar>
              <w:top w:w="60" w:type="dxa"/>
              <w:bottom w:w="60" w:type="dxa"/>
              <w:left w:w="100" w:type="dxa"/>
              <w:right w:w="100" w:type="dxa"/>
            </w:tcMar>
            <w:vAlign w:val="center"/>
          </w:tcPr>
          <w:p>
            <w:r/>
            <w:r>
              <w:rPr>
                <w:color w:val="3A3835"/>
                <w:sz w:val="18"/>
              </w:rPr>
              <w:t>Begin Phase 2 build in earnest; formalise financial reporting cadence ahead of any future raise; complete remaining Phase 1 tool set</w:t>
            </w:r>
          </w:p>
        </w:tc>
        <w:tc>
          <w:tcPr>
            <w:tcW w:type="dxa" w:w="2986"/>
            <w:tcMar>
              <w:top w:w="60" w:type="dxa"/>
              <w:bottom w:w="60" w:type="dxa"/>
              <w:left w:w="100" w:type="dxa"/>
              <w:right w:w="100" w:type="dxa"/>
            </w:tcMar>
            <w:vAlign w:val="center"/>
          </w:tcPr>
          <w:p>
            <w:r/>
            <w:r>
              <w:rPr>
                <w:color w:val="3A3835"/>
                <w:sz w:val="18"/>
              </w:rPr>
              <w:t>Founder / Engineering / Finance</w:t>
            </w:r>
          </w:p>
        </w:tc>
      </w:tr>
    </w:tbl>
    <w:p>
      <w:pPr>
        <w:spacing w:after="120"/>
      </w:pP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CLOSING NOTE FOR THE BOARD</w:t>
            </w:r>
          </w:p>
          <w:p>
            <w:r>
              <w:rPr>
                <w:color w:val="FFFFFF"/>
                <w:sz w:val="20"/>
              </w:rPr>
              <w:t>This document is designed to be a living strategic instrument, not an archive piece. The single most important governance habit it asks the Board to adopt is the quarterly cadence in Chapter 28 — because every projection in Part F and every valuation driver in Chapter 21 depends on the discipline described in this chapter actually being followed, not merely approved.</w:t>
            </w:r>
          </w:p>
        </w:tc>
      </w:tr>
    </w:tbl>
    <w:p>
      <w:pPr>
        <w:spacing w:after="80"/>
      </w:pPr>
    </w:p>
    <w:p>
      <w:r>
        <w:br w:type="page"/>
      </w:r>
    </w:p>
    <w:p/>
    <w:p/>
    <w:p/>
    <w:p/>
    <w:p/>
    <w:p/>
    <w:p>
      <w:pPr>
        <w:jc w:val="center"/>
      </w:pPr>
      <w:r>
        <w:rPr>
          <w:b/>
          <w:color w:val="D85A30"/>
          <w:sz w:val="26"/>
        </w:rPr>
        <w:t>APPENDICES</w:t>
      </w:r>
    </w:p>
    <w:p>
      <w:pPr>
        <w:jc w:val="center"/>
      </w:pPr>
      <w:r>
        <w:rPr>
          <w:b/>
          <w:color w:val="252320"/>
          <w:sz w:val="60"/>
        </w:rPr>
        <w:t>Supporting Detail</w:t>
      </w:r>
    </w:p>
    <w:p>
      <w:pPr>
        <w:jc w:val="center"/>
      </w:pPr>
      <w:r>
        <w:rPr>
          <w:i/>
          <w:color w:val="888780"/>
          <w:sz w:val="23"/>
        </w:rPr>
        <w:t>Full tool catalogue, technical architecture summary, assumptions register and glossary</w:t>
      </w:r>
    </w:p>
    <w:p>
      <w:r>
        <w:br w:type="page"/>
      </w:r>
    </w:p>
    <w:p>
      <w:pPr>
        <w:pStyle w:val="BIKChapterLabel"/>
      </w:pPr>
      <w:r>
        <w:t>APPENDICES</w:t>
      </w:r>
    </w:p>
    <w:p>
      <w:pPr>
        <w:pStyle w:val="BIKChapterTitle"/>
        <w:pBdr>
          <w:bottom w:val="single" w:sz="18" w:space="8" w:color="D85A30"/>
        </w:pBdr>
      </w:pPr>
      <w:r>
        <w:t>30   Appendix A — Full AI Tool Catalogue (62 Tools)</w:t>
      </w:r>
    </w:p>
    <w:p>
      <w:pPr>
        <w:pStyle w:val="BIKBody"/>
        <w:jc w:val="both"/>
      </w:pPr>
      <w:r>
        <w:t>The complete BIK Business Toolkit catalogue, organised by category. Each tool is scored 1–10 for commercial value and classified by build effort. Source: docs/ai-tool-catalogue.md.</w:t>
      </w:r>
    </w:p>
    <w:p>
      <w:pPr>
        <w:pStyle w:val="BIKH2"/>
      </w:pPr>
      <w:r>
        <w:t>CATEGORY 1 — SALES &amp; BUSINESS DEVELOPMENT (8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Quote Builder</w:t>
            </w:r>
          </w:p>
        </w:tc>
        <w:tc>
          <w:tcPr>
            <w:tcW w:type="dxa" w:w="2239"/>
            <w:tcMar>
              <w:top w:w="60" w:type="dxa"/>
              <w:bottom w:w="60" w:type="dxa"/>
              <w:left w:w="100" w:type="dxa"/>
              <w:right w:w="100" w:type="dxa"/>
            </w:tcMar>
            <w:vAlign w:val="center"/>
          </w:tcPr>
          <w:p>
            <w:r/>
            <w:r>
              <w:rPr>
                <w:color w:val="3A3835"/>
                <w:sz w:val="17"/>
              </w:rPr>
              <w:t>1</w:t>
            </w:r>
          </w:p>
        </w:tc>
        <w:tc>
          <w:tcPr>
            <w:tcW w:type="dxa" w:w="2239"/>
            <w:tcMar>
              <w:top w:w="60" w:type="dxa"/>
              <w:bottom w:w="60" w:type="dxa"/>
              <w:left w:w="100" w:type="dxa"/>
              <w:right w:w="100" w:type="dxa"/>
            </w:tcMar>
            <w:vAlign w:val="center"/>
          </w:tcPr>
          <w:p>
            <w:r/>
            <w:r>
              <w:rPr>
                <w:color w:val="3A3835"/>
                <w:sz w:val="17"/>
              </w:rPr>
              <w:t>Live</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Client Proposal Generator</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Tender Response Writer</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Follow-up Email Generator</w:t>
            </w:r>
          </w:p>
        </w:tc>
        <w:tc>
          <w:tcPr>
            <w:tcW w:type="dxa" w:w="2239"/>
            <w:tcMar>
              <w:top w:w="60" w:type="dxa"/>
              <w:bottom w:w="60" w:type="dxa"/>
              <w:left w:w="100" w:type="dxa"/>
              <w:right w:w="100" w:type="dxa"/>
            </w:tcMar>
            <w:vAlign w:val="center"/>
            <w:shd w:val="clear" w:color="auto" w:fill="F2EFEA"/>
          </w:tcPr>
          <w:p>
            <w:r/>
            <w:r>
              <w:rPr>
                <w:color w:val="3A3835"/>
                <w:sz w:val="17"/>
              </w:rPr>
              <w:t>1</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6/10</w:t>
            </w:r>
          </w:p>
        </w:tc>
      </w:tr>
      <w:tr>
        <w:tc>
          <w:tcPr>
            <w:tcW w:type="dxa" w:w="2239"/>
            <w:tcMar>
              <w:top w:w="60" w:type="dxa"/>
              <w:bottom w:w="60" w:type="dxa"/>
              <w:left w:w="100" w:type="dxa"/>
              <w:right w:w="100" w:type="dxa"/>
            </w:tcMar>
            <w:vAlign w:val="center"/>
          </w:tcPr>
          <w:p>
            <w:r/>
            <w:r>
              <w:rPr>
                <w:color w:val="3A3835"/>
                <w:sz w:val="17"/>
              </w:rPr>
              <w:t>Job Won / Lost Analysis</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Referral Request Email</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5/10</w:t>
            </w:r>
          </w:p>
        </w:tc>
      </w:tr>
      <w:tr>
        <w:tc>
          <w:tcPr>
            <w:tcW w:type="dxa" w:w="2239"/>
            <w:tcMar>
              <w:top w:w="60" w:type="dxa"/>
              <w:bottom w:w="60" w:type="dxa"/>
              <w:left w:w="100" w:type="dxa"/>
              <w:right w:w="100" w:type="dxa"/>
            </w:tcMar>
            <w:vAlign w:val="center"/>
          </w:tcPr>
          <w:p>
            <w:r/>
            <w:r>
              <w:rPr>
                <w:color w:val="3A3835"/>
                <w:sz w:val="17"/>
              </w:rPr>
              <w:t>Testimonial Request Email</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6/10</w:t>
            </w:r>
          </w:p>
        </w:tc>
      </w:tr>
      <w:tr>
        <w:tc>
          <w:tcPr>
            <w:tcW w:type="dxa" w:w="2239"/>
            <w:tcMar>
              <w:top w:w="60" w:type="dxa"/>
              <w:bottom w:w="60" w:type="dxa"/>
              <w:left w:w="100" w:type="dxa"/>
              <w:right w:w="100" w:type="dxa"/>
            </w:tcMar>
            <w:vAlign w:val="center"/>
            <w:shd w:val="clear" w:color="auto" w:fill="F2EFEA"/>
          </w:tcPr>
          <w:p>
            <w:r/>
            <w:r>
              <w:rPr>
                <w:color w:val="3A3835"/>
                <w:sz w:val="17"/>
              </w:rPr>
              <w:t>Social Media Post Generator</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5/10</w:t>
            </w:r>
          </w:p>
        </w:tc>
      </w:tr>
    </w:tbl>
    <w:p>
      <w:pPr>
        <w:spacing w:after="120"/>
      </w:pPr>
    </w:p>
    <w:p>
      <w:pPr>
        <w:pStyle w:val="BIKH2"/>
      </w:pPr>
      <w:r>
        <w:t>CATEGORY 2 — PROJECT ADMINISTRATION (10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Scope of Works Generator</w:t>
            </w:r>
          </w:p>
        </w:tc>
        <w:tc>
          <w:tcPr>
            <w:tcW w:type="dxa" w:w="2239"/>
            <w:tcMar>
              <w:top w:w="60" w:type="dxa"/>
              <w:bottom w:w="60" w:type="dxa"/>
              <w:left w:w="100" w:type="dxa"/>
              <w:right w:w="100" w:type="dxa"/>
            </w:tcMar>
            <w:vAlign w:val="center"/>
          </w:tcPr>
          <w:p>
            <w:r/>
            <w:r>
              <w:rPr>
                <w:color w:val="3A3835"/>
                <w:sz w:val="17"/>
              </w:rPr>
              <w:t>1</w:t>
            </w:r>
          </w:p>
        </w:tc>
        <w:tc>
          <w:tcPr>
            <w:tcW w:type="dxa" w:w="2239"/>
            <w:tcMar>
              <w:top w:w="60" w:type="dxa"/>
              <w:bottom w:w="60" w:type="dxa"/>
              <w:left w:w="100" w:type="dxa"/>
              <w:right w:w="100" w:type="dxa"/>
            </w:tcMar>
            <w:vAlign w:val="center"/>
          </w:tcPr>
          <w:p>
            <w:r/>
            <w:r>
              <w:rPr>
                <w:color w:val="3A3835"/>
                <w:sz w:val="17"/>
              </w:rPr>
              <w:t>Live</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Variation Notice</w:t>
            </w:r>
          </w:p>
        </w:tc>
        <w:tc>
          <w:tcPr>
            <w:tcW w:type="dxa" w:w="2239"/>
            <w:tcMar>
              <w:top w:w="60" w:type="dxa"/>
              <w:bottom w:w="60" w:type="dxa"/>
              <w:left w:w="100" w:type="dxa"/>
              <w:right w:w="100" w:type="dxa"/>
            </w:tcMar>
            <w:vAlign w:val="center"/>
            <w:shd w:val="clear" w:color="auto" w:fill="F2EFEA"/>
          </w:tcPr>
          <w:p>
            <w:r/>
            <w:r>
              <w:rPr>
                <w:color w:val="3A3835"/>
                <w:sz w:val="17"/>
              </w:rPr>
              <w:t>1</w:t>
            </w:r>
          </w:p>
        </w:tc>
        <w:tc>
          <w:tcPr>
            <w:tcW w:type="dxa" w:w="2239"/>
            <w:tcMar>
              <w:top w:w="60" w:type="dxa"/>
              <w:bottom w:w="60" w:type="dxa"/>
              <w:left w:w="100" w:type="dxa"/>
              <w:right w:w="100" w:type="dxa"/>
            </w:tcMar>
            <w:vAlign w:val="center"/>
            <w:shd w:val="clear" w:color="auto" w:fill="F2EFEA"/>
          </w:tcPr>
          <w:p>
            <w:r/>
            <w:r>
              <w:rPr>
                <w:color w:val="3A3835"/>
                <w:sz w:val="17"/>
              </w:rPr>
              <w:t>Live — production ready</w:t>
            </w:r>
          </w:p>
        </w:tc>
        <w:tc>
          <w:tcPr>
            <w:tcW w:type="dxa" w:w="2239"/>
            <w:tcMar>
              <w:top w:w="60" w:type="dxa"/>
              <w:bottom w:w="60" w:type="dxa"/>
              <w:left w:w="100" w:type="dxa"/>
              <w:right w:w="100" w:type="dxa"/>
            </w:tcMar>
            <w:vAlign w:val="center"/>
            <w:shd w:val="clear" w:color="auto" w:fill="F2EFEA"/>
          </w:tcPr>
          <w:p>
            <w:r/>
            <w:r>
              <w:rPr>
                <w:color w:val="3A3835"/>
                <w:sz w:val="17"/>
              </w:rPr>
              <w:t>9/10</w:t>
            </w:r>
          </w:p>
        </w:tc>
      </w:tr>
      <w:tr>
        <w:tc>
          <w:tcPr>
            <w:tcW w:type="dxa" w:w="2239"/>
            <w:tcMar>
              <w:top w:w="60" w:type="dxa"/>
              <w:bottom w:w="60" w:type="dxa"/>
              <w:left w:w="100" w:type="dxa"/>
              <w:right w:w="100" w:type="dxa"/>
            </w:tcMar>
            <w:vAlign w:val="center"/>
          </w:tcPr>
          <w:p>
            <w:r/>
            <w:r>
              <w:rPr>
                <w:color w:val="3A3835"/>
                <w:sz w:val="17"/>
              </w:rPr>
              <w:t>Site Diary Generator</w:t>
            </w:r>
          </w:p>
        </w:tc>
        <w:tc>
          <w:tcPr>
            <w:tcW w:type="dxa" w:w="2239"/>
            <w:tcMar>
              <w:top w:w="60" w:type="dxa"/>
              <w:bottom w:w="60" w:type="dxa"/>
              <w:left w:w="100" w:type="dxa"/>
              <w:right w:w="100" w:type="dxa"/>
            </w:tcMar>
            <w:vAlign w:val="center"/>
          </w:tcPr>
          <w:p>
            <w:r/>
            <w:r>
              <w:rPr>
                <w:color w:val="3A3835"/>
                <w:sz w:val="17"/>
              </w:rPr>
              <w:t>1</w:t>
            </w:r>
          </w:p>
        </w:tc>
        <w:tc>
          <w:tcPr>
            <w:tcW w:type="dxa" w:w="2239"/>
            <w:tcMar>
              <w:top w:w="60" w:type="dxa"/>
              <w:bottom w:w="60" w:type="dxa"/>
              <w:left w:w="100" w:type="dxa"/>
              <w:right w:w="100" w:type="dxa"/>
            </w:tcMar>
            <w:vAlign w:val="center"/>
          </w:tcPr>
          <w:p>
            <w:r/>
            <w:r>
              <w:rPr>
                <w:color w:val="3A3835"/>
                <w:sz w:val="17"/>
              </w:rPr>
              <w:t>Live (Free tier)</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Defect Report</w:t>
            </w:r>
          </w:p>
        </w:tc>
        <w:tc>
          <w:tcPr>
            <w:tcW w:type="dxa" w:w="2239"/>
            <w:tcMar>
              <w:top w:w="60" w:type="dxa"/>
              <w:bottom w:w="60" w:type="dxa"/>
              <w:left w:w="100" w:type="dxa"/>
              <w:right w:w="100" w:type="dxa"/>
            </w:tcMar>
            <w:vAlign w:val="center"/>
            <w:shd w:val="clear" w:color="auto" w:fill="F2EFEA"/>
          </w:tcPr>
          <w:p>
            <w:r/>
            <w:r>
              <w:rPr>
                <w:color w:val="3A3835"/>
                <w:sz w:val="17"/>
              </w:rPr>
              <w:t>1</w:t>
            </w:r>
          </w:p>
        </w:tc>
        <w:tc>
          <w:tcPr>
            <w:tcW w:type="dxa" w:w="2239"/>
            <w:tcMar>
              <w:top w:w="60" w:type="dxa"/>
              <w:bottom w:w="60" w:type="dxa"/>
              <w:left w:w="100" w:type="dxa"/>
              <w:right w:w="100" w:type="dxa"/>
            </w:tcMar>
            <w:vAlign w:val="center"/>
            <w:shd w:val="clear" w:color="auto" w:fill="F2EFEA"/>
          </w:tcPr>
          <w:p>
            <w:r/>
            <w:r>
              <w:rPr>
                <w:color w:val="3A3835"/>
                <w:sz w:val="17"/>
              </w:rPr>
              <w:t>Live</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Site Inspection Report</w:t>
            </w:r>
          </w:p>
        </w:tc>
        <w:tc>
          <w:tcPr>
            <w:tcW w:type="dxa" w:w="2239"/>
            <w:tcMar>
              <w:top w:w="60" w:type="dxa"/>
              <w:bottom w:w="60" w:type="dxa"/>
              <w:left w:w="100" w:type="dxa"/>
              <w:right w:w="100" w:type="dxa"/>
            </w:tcMar>
            <w:vAlign w:val="center"/>
          </w:tcPr>
          <w:p>
            <w:r/>
            <w:r>
              <w:rPr>
                <w:color w:val="3A3835"/>
                <w:sz w:val="17"/>
              </w:rPr>
              <w:t>1</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8/10</w:t>
            </w:r>
          </w:p>
        </w:tc>
      </w:tr>
      <w:tr>
        <w:tc>
          <w:tcPr>
            <w:tcW w:type="dxa" w:w="2239"/>
            <w:tcMar>
              <w:top w:w="60" w:type="dxa"/>
              <w:bottom w:w="60" w:type="dxa"/>
              <w:left w:w="100" w:type="dxa"/>
              <w:right w:w="100" w:type="dxa"/>
            </w:tcMar>
            <w:vAlign w:val="center"/>
            <w:shd w:val="clear" w:color="auto" w:fill="F2EFEA"/>
          </w:tcPr>
          <w:p>
            <w:r/>
            <w:r>
              <w:rPr>
                <w:color w:val="3A3835"/>
                <w:sz w:val="17"/>
              </w:rPr>
              <w:t>Handover Checklist Generator</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Live (beta)</w:t>
            </w:r>
          </w:p>
        </w:tc>
        <w:tc>
          <w:tcPr>
            <w:tcW w:type="dxa" w:w="2239"/>
            <w:tcMar>
              <w:top w:w="60" w:type="dxa"/>
              <w:bottom w:w="60" w:type="dxa"/>
              <w:left w:w="100" w:type="dxa"/>
              <w:right w:w="100" w:type="dxa"/>
            </w:tcMar>
            <w:vAlign w:val="center"/>
            <w:shd w:val="clear" w:color="auto" w:fill="F2EFEA"/>
          </w:tcPr>
          <w:p>
            <w:r/>
            <w:r>
              <w:rPr>
                <w:color w:val="3A3835"/>
                <w:sz w:val="17"/>
              </w:rPr>
              <w:t>7/10</w:t>
            </w:r>
          </w:p>
        </w:tc>
      </w:tr>
      <w:tr>
        <w:tc>
          <w:tcPr>
            <w:tcW w:type="dxa" w:w="2239"/>
            <w:tcMar>
              <w:top w:w="60" w:type="dxa"/>
              <w:bottom w:w="60" w:type="dxa"/>
              <w:left w:w="100" w:type="dxa"/>
              <w:right w:w="100" w:type="dxa"/>
            </w:tcMar>
            <w:vAlign w:val="center"/>
          </w:tcPr>
          <w:p>
            <w:r/>
            <w:r>
              <w:rPr>
                <w:color w:val="3A3835"/>
                <w:sz w:val="17"/>
              </w:rPr>
              <w:t>Project Completion Certificate</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Meeting Minutes Generator</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6/10</w:t>
            </w:r>
          </w:p>
        </w:tc>
      </w:tr>
      <w:tr>
        <w:tc>
          <w:tcPr>
            <w:tcW w:type="dxa" w:w="2239"/>
            <w:tcMar>
              <w:top w:w="60" w:type="dxa"/>
              <w:bottom w:w="60" w:type="dxa"/>
              <w:left w:w="100" w:type="dxa"/>
              <w:right w:w="100" w:type="dxa"/>
            </w:tcMar>
            <w:vAlign w:val="center"/>
          </w:tcPr>
          <w:p>
            <w:r/>
            <w:r>
              <w:rPr>
                <w:color w:val="3A3835"/>
                <w:sz w:val="17"/>
              </w:rPr>
              <w:t>Programme / Schedule Generator</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8/10</w:t>
            </w:r>
          </w:p>
        </w:tc>
      </w:tr>
      <w:tr>
        <w:tc>
          <w:tcPr>
            <w:tcW w:type="dxa" w:w="2239"/>
            <w:tcMar>
              <w:top w:w="60" w:type="dxa"/>
              <w:bottom w:w="60" w:type="dxa"/>
              <w:left w:w="100" w:type="dxa"/>
              <w:right w:w="100" w:type="dxa"/>
            </w:tcMar>
            <w:vAlign w:val="center"/>
            <w:shd w:val="clear" w:color="auto" w:fill="F2EFEA"/>
          </w:tcPr>
          <w:p>
            <w:r/>
            <w:r>
              <w:rPr>
                <w:color w:val="3A3835"/>
                <w:sz w:val="17"/>
              </w:rPr>
              <w:t>Contract Variation Log</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7/10</w:t>
            </w:r>
          </w:p>
        </w:tc>
      </w:tr>
    </w:tbl>
    <w:p>
      <w:pPr>
        <w:spacing w:after="120"/>
      </w:pPr>
    </w:p>
    <w:p>
      <w:pPr>
        <w:pStyle w:val="BIKH2"/>
      </w:pPr>
      <w:r>
        <w:t>CATEGORY 3 — SAFETY &amp; COMPLIANCE (8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SWMS Generator</w:t>
            </w:r>
          </w:p>
        </w:tc>
        <w:tc>
          <w:tcPr>
            <w:tcW w:type="dxa" w:w="2239"/>
            <w:tcMar>
              <w:top w:w="60" w:type="dxa"/>
              <w:bottom w:w="60" w:type="dxa"/>
              <w:left w:w="100" w:type="dxa"/>
              <w:right w:w="100" w:type="dxa"/>
            </w:tcMar>
            <w:vAlign w:val="center"/>
          </w:tcPr>
          <w:p>
            <w:r/>
            <w:r>
              <w:rPr>
                <w:color w:val="3A3835"/>
                <w:sz w:val="17"/>
              </w:rPr>
              <w:t>1</w:t>
            </w:r>
          </w:p>
        </w:tc>
        <w:tc>
          <w:tcPr>
            <w:tcW w:type="dxa" w:w="2239"/>
            <w:tcMar>
              <w:top w:w="60" w:type="dxa"/>
              <w:bottom w:w="60" w:type="dxa"/>
              <w:left w:w="100" w:type="dxa"/>
              <w:right w:w="100" w:type="dxa"/>
            </w:tcMar>
            <w:vAlign w:val="center"/>
          </w:tcPr>
          <w:p>
            <w:r/>
            <w:r>
              <w:rPr>
                <w:color w:val="3A3835"/>
                <w:sz w:val="17"/>
              </w:rPr>
              <w:t>Drafted — legal HOLD</w:t>
            </w:r>
          </w:p>
        </w:tc>
        <w:tc>
          <w:tcPr>
            <w:tcW w:type="dxa" w:w="2239"/>
            <w:tcMar>
              <w:top w:w="60" w:type="dxa"/>
              <w:bottom w:w="60" w:type="dxa"/>
              <w:left w:w="100" w:type="dxa"/>
              <w:right w:w="100" w:type="dxa"/>
            </w:tcMar>
            <w:vAlign w:val="center"/>
          </w:tcPr>
          <w:p>
            <w:r/>
            <w:r>
              <w:rPr>
                <w:color w:val="3A3835"/>
                <w:sz w:val="17"/>
              </w:rPr>
              <w:t>10/10</w:t>
            </w:r>
          </w:p>
        </w:tc>
      </w:tr>
      <w:tr>
        <w:tc>
          <w:tcPr>
            <w:tcW w:type="dxa" w:w="2239"/>
            <w:tcMar>
              <w:top w:w="60" w:type="dxa"/>
              <w:bottom w:w="60" w:type="dxa"/>
              <w:left w:w="100" w:type="dxa"/>
              <w:right w:w="100" w:type="dxa"/>
            </w:tcMar>
            <w:vAlign w:val="center"/>
            <w:shd w:val="clear" w:color="auto" w:fill="F2EFEA"/>
          </w:tcPr>
          <w:p>
            <w:r/>
            <w:r>
              <w:rPr>
                <w:color w:val="3A3835"/>
                <w:sz w:val="17"/>
              </w:rPr>
              <w:t>Toolbox Talk Generator</w:t>
            </w:r>
          </w:p>
        </w:tc>
        <w:tc>
          <w:tcPr>
            <w:tcW w:type="dxa" w:w="2239"/>
            <w:tcMar>
              <w:top w:w="60" w:type="dxa"/>
              <w:bottom w:w="60" w:type="dxa"/>
              <w:left w:w="100" w:type="dxa"/>
              <w:right w:w="100" w:type="dxa"/>
            </w:tcMar>
            <w:vAlign w:val="center"/>
            <w:shd w:val="clear" w:color="auto" w:fill="F2EFEA"/>
          </w:tcPr>
          <w:p>
            <w:r/>
            <w:r>
              <w:rPr>
                <w:color w:val="3A3835"/>
                <w:sz w:val="17"/>
              </w:rPr>
              <w:t>1</w:t>
            </w:r>
          </w:p>
        </w:tc>
        <w:tc>
          <w:tcPr>
            <w:tcW w:type="dxa" w:w="2239"/>
            <w:tcMar>
              <w:top w:w="60" w:type="dxa"/>
              <w:bottom w:w="60" w:type="dxa"/>
              <w:left w:w="100" w:type="dxa"/>
              <w:right w:w="100" w:type="dxa"/>
            </w:tcMar>
            <w:vAlign w:val="center"/>
            <w:shd w:val="clear" w:color="auto" w:fill="F2EFEA"/>
          </w:tcPr>
          <w:p>
            <w:r/>
            <w:r>
              <w:rPr>
                <w:color w:val="3A3835"/>
                <w:sz w:val="17"/>
              </w:rPr>
              <w:t>Live (Free tier)</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Safety Management Plan</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Incident Report</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Live (beta) — statutory warning</w:t>
            </w:r>
          </w:p>
        </w:tc>
        <w:tc>
          <w:tcPr>
            <w:tcW w:type="dxa" w:w="2239"/>
            <w:tcMar>
              <w:top w:w="60" w:type="dxa"/>
              <w:bottom w:w="60" w:type="dxa"/>
              <w:left w:w="100" w:type="dxa"/>
              <w:right w:w="100" w:type="dxa"/>
            </w:tcMar>
            <w:vAlign w:val="center"/>
            <w:shd w:val="clear" w:color="auto" w:fill="F2EFEA"/>
          </w:tcPr>
          <w:p>
            <w:r/>
            <w:r>
              <w:rPr>
                <w:color w:val="3A3835"/>
                <w:sz w:val="17"/>
              </w:rPr>
              <w:t>9/10</w:t>
            </w:r>
          </w:p>
        </w:tc>
      </w:tr>
      <w:tr>
        <w:tc>
          <w:tcPr>
            <w:tcW w:type="dxa" w:w="2239"/>
            <w:tcMar>
              <w:top w:w="60" w:type="dxa"/>
              <w:bottom w:w="60" w:type="dxa"/>
              <w:left w:w="100" w:type="dxa"/>
              <w:right w:w="100" w:type="dxa"/>
            </w:tcMar>
            <w:vAlign w:val="center"/>
          </w:tcPr>
          <w:p>
            <w:r/>
            <w:r>
              <w:rPr>
                <w:color w:val="3A3835"/>
                <w:sz w:val="17"/>
              </w:rPr>
              <w:t>Job Safety Analysis (JSA)</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8/10</w:t>
            </w:r>
          </w:p>
        </w:tc>
      </w:tr>
      <w:tr>
        <w:tc>
          <w:tcPr>
            <w:tcW w:type="dxa" w:w="2239"/>
            <w:tcMar>
              <w:top w:w="60" w:type="dxa"/>
              <w:bottom w:w="60" w:type="dxa"/>
              <w:left w:w="100" w:type="dxa"/>
              <w:right w:w="100" w:type="dxa"/>
            </w:tcMar>
            <w:vAlign w:val="center"/>
            <w:shd w:val="clear" w:color="auto" w:fill="F2EFEA"/>
          </w:tcPr>
          <w:p>
            <w:r/>
            <w:r>
              <w:rPr>
                <w:color w:val="3A3835"/>
                <w:sz w:val="17"/>
              </w:rPr>
              <w:t>Emergency Response Plan</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7/10</w:t>
            </w:r>
          </w:p>
        </w:tc>
      </w:tr>
      <w:tr>
        <w:tc>
          <w:tcPr>
            <w:tcW w:type="dxa" w:w="2239"/>
            <w:tcMar>
              <w:top w:w="60" w:type="dxa"/>
              <w:bottom w:w="60" w:type="dxa"/>
              <w:left w:w="100" w:type="dxa"/>
              <w:right w:w="100" w:type="dxa"/>
            </w:tcMar>
            <w:vAlign w:val="center"/>
          </w:tcPr>
          <w:p>
            <w:r/>
            <w:r>
              <w:rPr>
                <w:color w:val="3A3835"/>
                <w:sz w:val="17"/>
              </w:rPr>
              <w:t>WHS Induction Generator</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Risk Register (tool)</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8/10</w:t>
            </w:r>
          </w:p>
        </w:tc>
      </w:tr>
    </w:tbl>
    <w:p>
      <w:pPr>
        <w:spacing w:after="120"/>
      </w:pPr>
    </w:p>
    <w:p>
      <w:pPr>
        <w:pStyle w:val="BIKH2"/>
      </w:pPr>
      <w:r>
        <w:t>CATEGORY 4 — FINANCE &amp; ACCOUNTS (8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Progress Claim</w:t>
            </w:r>
          </w:p>
        </w:tc>
        <w:tc>
          <w:tcPr>
            <w:tcW w:type="dxa" w:w="2239"/>
            <w:tcMar>
              <w:top w:w="60" w:type="dxa"/>
              <w:bottom w:w="60" w:type="dxa"/>
              <w:left w:w="100" w:type="dxa"/>
              <w:right w:w="100" w:type="dxa"/>
            </w:tcMar>
            <w:vAlign w:val="center"/>
          </w:tcPr>
          <w:p>
            <w:r/>
            <w:r>
              <w:rPr>
                <w:color w:val="3A3835"/>
                <w:sz w:val="17"/>
              </w:rPr>
              <w:t>1</w:t>
            </w:r>
          </w:p>
        </w:tc>
        <w:tc>
          <w:tcPr>
            <w:tcW w:type="dxa" w:w="2239"/>
            <w:tcMar>
              <w:top w:w="60" w:type="dxa"/>
              <w:bottom w:w="60" w:type="dxa"/>
              <w:left w:w="100" w:type="dxa"/>
              <w:right w:w="100" w:type="dxa"/>
            </w:tcMar>
            <w:vAlign w:val="center"/>
          </w:tcPr>
          <w:p>
            <w:r/>
            <w:r>
              <w:rPr>
                <w:color w:val="3A3835"/>
                <w:sz w:val="17"/>
              </w:rPr>
              <w:t>In development — top priority</w:t>
            </w:r>
          </w:p>
        </w:tc>
        <w:tc>
          <w:tcPr>
            <w:tcW w:type="dxa" w:w="2239"/>
            <w:tcMar>
              <w:top w:w="60" w:type="dxa"/>
              <w:bottom w:w="60" w:type="dxa"/>
              <w:left w:w="100" w:type="dxa"/>
              <w:right w:w="100" w:type="dxa"/>
            </w:tcMar>
            <w:vAlign w:val="center"/>
          </w:tcPr>
          <w:p>
            <w:r/>
            <w:r>
              <w:rPr>
                <w:color w:val="3A3835"/>
                <w:sz w:val="17"/>
              </w:rPr>
              <w:t>10/10</w:t>
            </w:r>
          </w:p>
        </w:tc>
      </w:tr>
      <w:tr>
        <w:tc>
          <w:tcPr>
            <w:tcW w:type="dxa" w:w="2239"/>
            <w:tcMar>
              <w:top w:w="60" w:type="dxa"/>
              <w:bottom w:w="60" w:type="dxa"/>
              <w:left w:w="100" w:type="dxa"/>
              <w:right w:w="100" w:type="dxa"/>
            </w:tcMar>
            <w:vAlign w:val="center"/>
            <w:shd w:val="clear" w:color="auto" w:fill="F2EFEA"/>
          </w:tcPr>
          <w:p>
            <w:r/>
            <w:r>
              <w:rPr>
                <w:color w:val="3A3835"/>
                <w:sz w:val="17"/>
              </w:rPr>
              <w:t>Payment Reminder Email</w:t>
            </w:r>
          </w:p>
        </w:tc>
        <w:tc>
          <w:tcPr>
            <w:tcW w:type="dxa" w:w="2239"/>
            <w:tcMar>
              <w:top w:w="60" w:type="dxa"/>
              <w:bottom w:w="60" w:type="dxa"/>
              <w:left w:w="100" w:type="dxa"/>
              <w:right w:w="100" w:type="dxa"/>
            </w:tcMar>
            <w:vAlign w:val="center"/>
            <w:shd w:val="clear" w:color="auto" w:fill="F2EFEA"/>
          </w:tcPr>
          <w:p>
            <w:r/>
            <w:r>
              <w:rPr>
                <w:color w:val="3A3835"/>
                <w:sz w:val="17"/>
              </w:rPr>
              <w:t>1</w:t>
            </w:r>
          </w:p>
        </w:tc>
        <w:tc>
          <w:tcPr>
            <w:tcW w:type="dxa" w:w="2239"/>
            <w:tcMar>
              <w:top w:w="60" w:type="dxa"/>
              <w:bottom w:w="60" w:type="dxa"/>
              <w:left w:w="100" w:type="dxa"/>
              <w:right w:w="100" w:type="dxa"/>
            </w:tcMar>
            <w:vAlign w:val="center"/>
            <w:shd w:val="clear" w:color="auto" w:fill="F2EFEA"/>
          </w:tcPr>
          <w:p>
            <w:r/>
            <w:r>
              <w:rPr>
                <w:color w:val="3A3835"/>
                <w:sz w:val="17"/>
              </w:rPr>
              <w:t>Live (Free tier)</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Retention Claim Notice</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8/10</w:t>
            </w:r>
          </w:p>
        </w:tc>
      </w:tr>
      <w:tr>
        <w:tc>
          <w:tcPr>
            <w:tcW w:type="dxa" w:w="2239"/>
            <w:tcMar>
              <w:top w:w="60" w:type="dxa"/>
              <w:bottom w:w="60" w:type="dxa"/>
              <w:left w:w="100" w:type="dxa"/>
              <w:right w:w="100" w:type="dxa"/>
            </w:tcMar>
            <w:vAlign w:val="center"/>
            <w:shd w:val="clear" w:color="auto" w:fill="F2EFEA"/>
          </w:tcPr>
          <w:p>
            <w:r/>
            <w:r>
              <w:rPr>
                <w:color w:val="3A3835"/>
                <w:sz w:val="17"/>
              </w:rPr>
              <w:t>Build Cost Tracker</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Insurance Certificate Request</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6/10</w:t>
            </w:r>
          </w:p>
        </w:tc>
      </w:tr>
      <w:tr>
        <w:tc>
          <w:tcPr>
            <w:tcW w:type="dxa" w:w="2239"/>
            <w:tcMar>
              <w:top w:w="60" w:type="dxa"/>
              <w:bottom w:w="60" w:type="dxa"/>
              <w:left w:w="100" w:type="dxa"/>
              <w:right w:w="100" w:type="dxa"/>
            </w:tcMar>
            <w:vAlign w:val="center"/>
            <w:shd w:val="clear" w:color="auto" w:fill="F2EFEA"/>
          </w:tcPr>
          <w:p>
            <w:r/>
            <w:r>
              <w:rPr>
                <w:color w:val="3A3835"/>
                <w:sz w:val="17"/>
              </w:rPr>
              <w:t>Invoice Generator</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7/10</w:t>
            </w:r>
          </w:p>
        </w:tc>
      </w:tr>
      <w:tr>
        <w:tc>
          <w:tcPr>
            <w:tcW w:type="dxa" w:w="2239"/>
            <w:tcMar>
              <w:top w:w="60" w:type="dxa"/>
              <w:bottom w:w="60" w:type="dxa"/>
              <w:left w:w="100" w:type="dxa"/>
              <w:right w:w="100" w:type="dxa"/>
            </w:tcMar>
            <w:vAlign w:val="center"/>
          </w:tcPr>
          <w:p>
            <w:r/>
            <w:r>
              <w:rPr>
                <w:color w:val="3A3835"/>
                <w:sz w:val="17"/>
              </w:rPr>
              <w:t>Cashflow Forecast</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Subcontractor Payment Schedule</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7/10</w:t>
            </w:r>
          </w:p>
        </w:tc>
      </w:tr>
    </w:tbl>
    <w:p>
      <w:pPr>
        <w:spacing w:after="120"/>
      </w:pPr>
    </w:p>
    <w:p>
      <w:pPr>
        <w:pStyle w:val="BIKH2"/>
      </w:pPr>
      <w:r>
        <w:t>CATEGORY 5 — CLIENT COMMUNICATION (7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Project Update Email</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Delay Notice</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Live (beta)</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Defect Response Letter</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8/10</w:t>
            </w:r>
          </w:p>
        </w:tc>
      </w:tr>
      <w:tr>
        <w:tc>
          <w:tcPr>
            <w:tcW w:type="dxa" w:w="2239"/>
            <w:tcMar>
              <w:top w:w="60" w:type="dxa"/>
              <w:bottom w:w="60" w:type="dxa"/>
              <w:left w:w="100" w:type="dxa"/>
              <w:right w:w="100" w:type="dxa"/>
            </w:tcMar>
            <w:vAlign w:val="center"/>
            <w:shd w:val="clear" w:color="auto" w:fill="F2EFEA"/>
          </w:tcPr>
          <w:p>
            <w:r/>
            <w:r>
              <w:rPr>
                <w:color w:val="3A3835"/>
                <w:sz w:val="17"/>
              </w:rPr>
              <w:t>Client Welcome Pack</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6/10</w:t>
            </w:r>
          </w:p>
        </w:tc>
      </w:tr>
      <w:tr>
        <w:tc>
          <w:tcPr>
            <w:tcW w:type="dxa" w:w="2239"/>
            <w:tcMar>
              <w:top w:w="60" w:type="dxa"/>
              <w:bottom w:w="60" w:type="dxa"/>
              <w:left w:w="100" w:type="dxa"/>
              <w:right w:w="100" w:type="dxa"/>
            </w:tcMar>
            <w:vAlign w:val="center"/>
          </w:tcPr>
          <w:p>
            <w:r/>
            <w:r>
              <w:rPr>
                <w:color w:val="3A3835"/>
                <w:sz w:val="17"/>
              </w:rPr>
              <w:t>Complaint Response Letter</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8/10</w:t>
            </w:r>
          </w:p>
        </w:tc>
      </w:tr>
      <w:tr>
        <w:tc>
          <w:tcPr>
            <w:tcW w:type="dxa" w:w="2239"/>
            <w:tcMar>
              <w:top w:w="60" w:type="dxa"/>
              <w:bottom w:w="60" w:type="dxa"/>
              <w:left w:w="100" w:type="dxa"/>
              <w:right w:w="100" w:type="dxa"/>
            </w:tcMar>
            <w:vAlign w:val="center"/>
            <w:shd w:val="clear" w:color="auto" w:fill="F2EFEA"/>
          </w:tcPr>
          <w:p>
            <w:r/>
            <w:r>
              <w:rPr>
                <w:color w:val="3A3835"/>
                <w:sz w:val="17"/>
              </w:rPr>
              <w:t>Testimonial / Review Response</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5/10</w:t>
            </w:r>
          </w:p>
        </w:tc>
      </w:tr>
      <w:tr>
        <w:tc>
          <w:tcPr>
            <w:tcW w:type="dxa" w:w="2239"/>
            <w:tcMar>
              <w:top w:w="60" w:type="dxa"/>
              <w:bottom w:w="60" w:type="dxa"/>
              <w:left w:w="100" w:type="dxa"/>
              <w:right w:w="100" w:type="dxa"/>
            </w:tcMar>
            <w:vAlign w:val="center"/>
          </w:tcPr>
          <w:p>
            <w:r/>
            <w:r>
              <w:rPr>
                <w:color w:val="3A3835"/>
                <w:sz w:val="17"/>
              </w:rPr>
              <w:t>End-of-Project Survey</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6/10</w:t>
            </w:r>
          </w:p>
        </w:tc>
      </w:tr>
    </w:tbl>
    <w:p>
      <w:pPr>
        <w:spacing w:after="120"/>
      </w:pPr>
    </w:p>
    <w:p>
      <w:pPr>
        <w:pStyle w:val="BIKH2"/>
      </w:pPr>
      <w:r>
        <w:t>CATEGORY 6 — HR &amp; PEOPLE (7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Job Ad Generator</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Interview Question Generator</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6/10</w:t>
            </w:r>
          </w:p>
        </w:tc>
      </w:tr>
      <w:tr>
        <w:tc>
          <w:tcPr>
            <w:tcW w:type="dxa" w:w="2239"/>
            <w:tcMar>
              <w:top w:w="60" w:type="dxa"/>
              <w:bottom w:w="60" w:type="dxa"/>
              <w:left w:w="100" w:type="dxa"/>
              <w:right w:w="100" w:type="dxa"/>
            </w:tcMar>
            <w:vAlign w:val="center"/>
          </w:tcPr>
          <w:p>
            <w:r/>
            <w:r>
              <w:rPr>
                <w:color w:val="3A3835"/>
                <w:sz w:val="17"/>
              </w:rPr>
              <w:t>Employment Contract (Fair Work compliant)</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 — legal disclaimer required</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Employee Onboarding Pack</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7/10</w:t>
            </w:r>
          </w:p>
        </w:tc>
      </w:tr>
      <w:tr>
        <w:tc>
          <w:tcPr>
            <w:tcW w:type="dxa" w:w="2239"/>
            <w:tcMar>
              <w:top w:w="60" w:type="dxa"/>
              <w:bottom w:w="60" w:type="dxa"/>
              <w:left w:w="100" w:type="dxa"/>
              <w:right w:w="100" w:type="dxa"/>
            </w:tcMar>
            <w:vAlign w:val="center"/>
          </w:tcPr>
          <w:p>
            <w:r/>
            <w:r>
              <w:rPr>
                <w:color w:val="3A3835"/>
                <w:sz w:val="17"/>
              </w:rPr>
              <w:t>Performance Review Template</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6/10</w:t>
            </w:r>
          </w:p>
        </w:tc>
      </w:tr>
      <w:tr>
        <w:tc>
          <w:tcPr>
            <w:tcW w:type="dxa" w:w="2239"/>
            <w:tcMar>
              <w:top w:w="60" w:type="dxa"/>
              <w:bottom w:w="60" w:type="dxa"/>
              <w:left w:w="100" w:type="dxa"/>
              <w:right w:w="100" w:type="dxa"/>
            </w:tcMar>
            <w:vAlign w:val="center"/>
            <w:shd w:val="clear" w:color="auto" w:fill="F2EFEA"/>
          </w:tcPr>
          <w:p>
            <w:r/>
            <w:r>
              <w:rPr>
                <w:color w:val="3A3835"/>
                <w:sz w:val="17"/>
              </w:rPr>
              <w:t>Warning Letter</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 — legal disclaimer required</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Hire Subcontractor Checklist</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7/10</w:t>
            </w:r>
          </w:p>
        </w:tc>
      </w:tr>
    </w:tbl>
    <w:p>
      <w:pPr>
        <w:spacing w:after="120"/>
      </w:pPr>
    </w:p>
    <w:p>
      <w:pPr>
        <w:pStyle w:val="BIKH2"/>
      </w:pPr>
      <w:r>
        <w:t>CATEGORY 7 — SUBCONTRACTOR MANAGEMENT (6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Subcontractor Agreement</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Drafted — legal HOLD</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Subcontractor Performance Notice</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7/10</w:t>
            </w:r>
          </w:p>
        </w:tc>
      </w:tr>
      <w:tr>
        <w:tc>
          <w:tcPr>
            <w:tcW w:type="dxa" w:w="2239"/>
            <w:tcMar>
              <w:top w:w="60" w:type="dxa"/>
              <w:bottom w:w="60" w:type="dxa"/>
              <w:left w:w="100" w:type="dxa"/>
              <w:right w:w="100" w:type="dxa"/>
            </w:tcMar>
            <w:vAlign w:val="center"/>
          </w:tcPr>
          <w:p>
            <w:r/>
            <w:r>
              <w:rPr>
                <w:color w:val="3A3835"/>
                <w:sz w:val="17"/>
              </w:rPr>
              <w:t>Subcontractor Pre-qualification Form</w:t>
            </w:r>
          </w:p>
        </w:tc>
        <w:tc>
          <w:tcPr>
            <w:tcW w:type="dxa" w:w="2239"/>
            <w:tcMar>
              <w:top w:w="60" w:type="dxa"/>
              <w:bottom w:w="60" w:type="dxa"/>
              <w:left w:w="100" w:type="dxa"/>
              <w:right w:w="100" w:type="dxa"/>
            </w:tcMar>
            <w:vAlign w:val="center"/>
          </w:tcPr>
          <w:p>
            <w:r/>
            <w:r>
              <w:rPr>
                <w:color w:val="3A3835"/>
                <w:sz w:val="17"/>
              </w:rPr>
              <w:t>2</w:t>
            </w:r>
          </w:p>
        </w:tc>
        <w:tc>
          <w:tcPr>
            <w:tcW w:type="dxa" w:w="2239"/>
            <w:tcMar>
              <w:top w:w="60" w:type="dxa"/>
              <w:bottom w:w="60" w:type="dxa"/>
              <w:left w:w="100" w:type="dxa"/>
              <w:right w:w="100" w:type="dxa"/>
            </w:tcMar>
            <w:vAlign w:val="center"/>
          </w:tcPr>
          <w:p>
            <w:r/>
            <w:r>
              <w:rPr>
                <w:color w:val="3A3835"/>
                <w:sz w:val="17"/>
              </w:rPr>
              <w:t>Planned</w:t>
            </w:r>
          </w:p>
        </w:tc>
        <w:tc>
          <w:tcPr>
            <w:tcW w:type="dxa" w:w="2239"/>
            <w:tcMar>
              <w:top w:w="60" w:type="dxa"/>
              <w:bottom w:w="60" w:type="dxa"/>
              <w:left w:w="100" w:type="dxa"/>
              <w:right w:w="100" w:type="dxa"/>
            </w:tcMar>
            <w:vAlign w:val="center"/>
          </w:tcPr>
          <w:p>
            <w:r/>
            <w:r>
              <w:rPr>
                <w:color w:val="3A3835"/>
                <w:sz w:val="17"/>
              </w:rPr>
              <w:t>7/10</w:t>
            </w:r>
          </w:p>
        </w:tc>
      </w:tr>
      <w:tr>
        <w:tc>
          <w:tcPr>
            <w:tcW w:type="dxa" w:w="2239"/>
            <w:tcMar>
              <w:top w:w="60" w:type="dxa"/>
              <w:bottom w:w="60" w:type="dxa"/>
              <w:left w:w="100" w:type="dxa"/>
              <w:right w:w="100" w:type="dxa"/>
            </w:tcMar>
            <w:vAlign w:val="center"/>
            <w:shd w:val="clear" w:color="auto" w:fill="F2EFEA"/>
          </w:tcPr>
          <w:p>
            <w:r/>
            <w:r>
              <w:rPr>
                <w:color w:val="3A3835"/>
                <w:sz w:val="17"/>
              </w:rPr>
              <w:t>Back-to-Back Subcontract</w:t>
            </w:r>
          </w:p>
        </w:tc>
        <w:tc>
          <w:tcPr>
            <w:tcW w:type="dxa" w:w="2239"/>
            <w:tcMar>
              <w:top w:w="60" w:type="dxa"/>
              <w:bottom w:w="60" w:type="dxa"/>
              <w:left w:w="100" w:type="dxa"/>
              <w:right w:w="100" w:type="dxa"/>
            </w:tcMar>
            <w:vAlign w:val="center"/>
            <w:shd w:val="clear" w:color="auto" w:fill="F2EFEA"/>
          </w:tcPr>
          <w:p>
            <w:r/>
            <w:r>
              <w:rPr>
                <w:color w:val="3A3835"/>
                <w:sz w:val="17"/>
              </w:rPr>
              <w:t>3</w:t>
            </w:r>
          </w:p>
        </w:tc>
        <w:tc>
          <w:tcPr>
            <w:tcW w:type="dxa" w:w="2239"/>
            <w:tcMar>
              <w:top w:w="60" w:type="dxa"/>
              <w:bottom w:w="60" w:type="dxa"/>
              <w:left w:w="100" w:type="dxa"/>
              <w:right w:w="100" w:type="dxa"/>
            </w:tcMar>
            <w:vAlign w:val="center"/>
            <w:shd w:val="clear" w:color="auto" w:fill="F2EFEA"/>
          </w:tcPr>
          <w:p>
            <w:r/>
            <w:r>
              <w:rPr>
                <w:color w:val="3A3835"/>
                <w:sz w:val="17"/>
              </w:rPr>
              <w:t>Idea — legal review required</w:t>
            </w:r>
          </w:p>
        </w:tc>
        <w:tc>
          <w:tcPr>
            <w:tcW w:type="dxa" w:w="2239"/>
            <w:tcMar>
              <w:top w:w="60" w:type="dxa"/>
              <w:bottom w:w="60" w:type="dxa"/>
              <w:left w:w="100" w:type="dxa"/>
              <w:right w:w="100" w:type="dxa"/>
            </w:tcMar>
            <w:vAlign w:val="center"/>
            <w:shd w:val="clear" w:color="auto" w:fill="F2EFEA"/>
          </w:tcPr>
          <w:p>
            <w:r/>
            <w:r>
              <w:rPr>
                <w:color w:val="3A3835"/>
                <w:sz w:val="17"/>
              </w:rPr>
              <w:t>8/10</w:t>
            </w:r>
          </w:p>
        </w:tc>
      </w:tr>
      <w:tr>
        <w:tc>
          <w:tcPr>
            <w:tcW w:type="dxa" w:w="2239"/>
            <w:tcMar>
              <w:top w:w="60" w:type="dxa"/>
              <w:bottom w:w="60" w:type="dxa"/>
              <w:left w:w="100" w:type="dxa"/>
              <w:right w:w="100" w:type="dxa"/>
            </w:tcMar>
            <w:vAlign w:val="center"/>
          </w:tcPr>
          <w:p>
            <w:r/>
            <w:r>
              <w:rPr>
                <w:color w:val="3A3835"/>
                <w:sz w:val="17"/>
              </w:rPr>
              <w:t>EOT Claim (Extension of Time)</w:t>
            </w:r>
          </w:p>
        </w:tc>
        <w:tc>
          <w:tcPr>
            <w:tcW w:type="dxa" w:w="2239"/>
            <w:tcMar>
              <w:top w:w="60" w:type="dxa"/>
              <w:bottom w:w="60" w:type="dxa"/>
              <w:left w:w="100" w:type="dxa"/>
              <w:right w:w="100" w:type="dxa"/>
            </w:tcMar>
            <w:vAlign w:val="center"/>
          </w:tcPr>
          <w:p>
            <w:r/>
            <w:r>
              <w:rPr>
                <w:color w:val="3A3835"/>
                <w:sz w:val="17"/>
              </w:rPr>
              <w:t>3</w:t>
            </w:r>
          </w:p>
        </w:tc>
        <w:tc>
          <w:tcPr>
            <w:tcW w:type="dxa" w:w="2239"/>
            <w:tcMar>
              <w:top w:w="60" w:type="dxa"/>
              <w:bottom w:w="60" w:type="dxa"/>
              <w:left w:w="100" w:type="dxa"/>
              <w:right w:w="100" w:type="dxa"/>
            </w:tcMar>
            <w:vAlign w:val="center"/>
          </w:tcPr>
          <w:p>
            <w:r/>
            <w:r>
              <w:rPr>
                <w:color w:val="3A3835"/>
                <w:sz w:val="17"/>
              </w:rPr>
              <w:t>Live (beta)</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Subcontractor Register</w:t>
            </w:r>
          </w:p>
        </w:tc>
        <w:tc>
          <w:tcPr>
            <w:tcW w:type="dxa" w:w="2239"/>
            <w:tcMar>
              <w:top w:w="60" w:type="dxa"/>
              <w:bottom w:w="60" w:type="dxa"/>
              <w:left w:w="100" w:type="dxa"/>
              <w:right w:w="100" w:type="dxa"/>
            </w:tcMar>
            <w:vAlign w:val="center"/>
            <w:shd w:val="clear" w:color="auto" w:fill="F2EFEA"/>
          </w:tcPr>
          <w:p>
            <w:r/>
            <w:r>
              <w:rPr>
                <w:color w:val="3A3835"/>
                <w:sz w:val="17"/>
              </w:rPr>
              <w:t>2</w:t>
            </w:r>
          </w:p>
        </w:tc>
        <w:tc>
          <w:tcPr>
            <w:tcW w:type="dxa" w:w="2239"/>
            <w:tcMar>
              <w:top w:w="60" w:type="dxa"/>
              <w:bottom w:w="60" w:type="dxa"/>
              <w:left w:w="100" w:type="dxa"/>
              <w:right w:w="100" w:type="dxa"/>
            </w:tcMar>
            <w:vAlign w:val="center"/>
            <w:shd w:val="clear" w:color="auto" w:fill="F2EFEA"/>
          </w:tcPr>
          <w:p>
            <w:r/>
            <w:r>
              <w:rPr>
                <w:color w:val="3A3835"/>
                <w:sz w:val="17"/>
              </w:rPr>
              <w:t>Planned</w:t>
            </w:r>
          </w:p>
        </w:tc>
        <w:tc>
          <w:tcPr>
            <w:tcW w:type="dxa" w:w="2239"/>
            <w:tcMar>
              <w:top w:w="60" w:type="dxa"/>
              <w:bottom w:w="60" w:type="dxa"/>
              <w:left w:w="100" w:type="dxa"/>
              <w:right w:w="100" w:type="dxa"/>
            </w:tcMar>
            <w:vAlign w:val="center"/>
            <w:shd w:val="clear" w:color="auto" w:fill="F2EFEA"/>
          </w:tcPr>
          <w:p>
            <w:r/>
            <w:r>
              <w:rPr>
                <w:color w:val="3A3835"/>
                <w:sz w:val="17"/>
              </w:rPr>
              <w:t>6/10</w:t>
            </w:r>
          </w:p>
        </w:tc>
      </w:tr>
    </w:tbl>
    <w:p>
      <w:pPr>
        <w:spacing w:after="120"/>
      </w:pPr>
    </w:p>
    <w:p>
      <w:pPr>
        <w:pStyle w:val="BIKH2"/>
      </w:pPr>
      <w:r>
        <w:t>CATEGORY 8 — PHASE 4 AI AGENTS (8 TOOLS)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Tool</w:t>
            </w:r>
          </w:p>
        </w:tc>
        <w:tc>
          <w:tcPr>
            <w:tcW w:type="dxa" w:w="2239"/>
            <w:shd w:val="clear" w:color="auto" w:fill="252320"/>
            <w:tcMar>
              <w:top w:w="60" w:type="dxa"/>
              <w:bottom w:w="60" w:type="dxa"/>
              <w:left w:w="100" w:type="dxa"/>
              <w:right w:w="100" w:type="dxa"/>
            </w:tcMar>
            <w:vAlign w:val="center"/>
          </w:tcPr>
          <w:p>
            <w:r/>
            <w:r>
              <w:rPr>
                <w:b/>
                <w:color w:val="FFFFFF"/>
                <w:sz w:val="17"/>
              </w:rPr>
              <w:t>Phase</w:t>
            </w:r>
          </w:p>
        </w:tc>
        <w:tc>
          <w:tcPr>
            <w:tcW w:type="dxa" w:w="2239"/>
            <w:shd w:val="clear" w:color="auto" w:fill="252320"/>
            <w:tcMar>
              <w:top w:w="60" w:type="dxa"/>
              <w:bottom w:w="60" w:type="dxa"/>
              <w:left w:w="100" w:type="dxa"/>
              <w:right w:w="100" w:type="dxa"/>
            </w:tcMar>
            <w:vAlign w:val="center"/>
          </w:tcPr>
          <w:p>
            <w:r/>
            <w:r>
              <w:rPr>
                <w:b/>
                <w:color w:val="FFFFFF"/>
                <w:sz w:val="17"/>
              </w:rPr>
              <w:t>Status</w:t>
            </w:r>
          </w:p>
        </w:tc>
        <w:tc>
          <w:tcPr>
            <w:tcW w:type="dxa" w:w="2239"/>
            <w:shd w:val="clear" w:color="auto" w:fill="252320"/>
            <w:tcMar>
              <w:top w:w="60" w:type="dxa"/>
              <w:bottom w:w="60" w:type="dxa"/>
              <w:left w:w="100" w:type="dxa"/>
              <w:right w:w="100" w:type="dxa"/>
            </w:tcMar>
            <w:vAlign w:val="center"/>
          </w:tcPr>
          <w:p>
            <w:r/>
            <w:r>
              <w:rPr>
                <w:b/>
                <w:color w:val="FFFFFF"/>
                <w:sz w:val="17"/>
              </w:rPr>
              <w:t>Value</w:t>
            </w:r>
          </w:p>
        </w:tc>
      </w:tr>
      <w:tr>
        <w:tc>
          <w:tcPr>
            <w:tcW w:type="dxa" w:w="2239"/>
            <w:tcMar>
              <w:top w:w="60" w:type="dxa"/>
              <w:bottom w:w="60" w:type="dxa"/>
              <w:left w:w="100" w:type="dxa"/>
              <w:right w:w="100" w:type="dxa"/>
            </w:tcMar>
            <w:vAlign w:val="center"/>
          </w:tcPr>
          <w:p>
            <w:r/>
            <w:r>
              <w:rPr>
                <w:color w:val="3A3835"/>
                <w:sz w:val="17"/>
              </w:rPr>
              <w:t>Voice-to-Site-Diary Agent</w:t>
            </w:r>
          </w:p>
        </w:tc>
        <w:tc>
          <w:tcPr>
            <w:tcW w:type="dxa" w:w="2239"/>
            <w:tcMar>
              <w:top w:w="60" w:type="dxa"/>
              <w:bottom w:w="60" w:type="dxa"/>
              <w:left w:w="100" w:type="dxa"/>
              <w:right w:w="100" w:type="dxa"/>
            </w:tcMar>
            <w:vAlign w:val="center"/>
          </w:tcPr>
          <w:p>
            <w:r/>
            <w:r>
              <w:rPr>
                <w:color w:val="3A3835"/>
                <w:sz w:val="17"/>
              </w:rPr>
              <w:t>4</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10/10</w:t>
            </w:r>
          </w:p>
        </w:tc>
      </w:tr>
      <w:tr>
        <w:tc>
          <w:tcPr>
            <w:tcW w:type="dxa" w:w="2239"/>
            <w:tcMar>
              <w:top w:w="60" w:type="dxa"/>
              <w:bottom w:w="60" w:type="dxa"/>
              <w:left w:w="100" w:type="dxa"/>
              <w:right w:w="100" w:type="dxa"/>
            </w:tcMar>
            <w:vAlign w:val="center"/>
            <w:shd w:val="clear" w:color="auto" w:fill="F2EFEA"/>
          </w:tcPr>
          <w:p>
            <w:r/>
            <w:r>
              <w:rPr>
                <w:color w:val="3A3835"/>
                <w:sz w:val="17"/>
              </w:rPr>
              <w:t>Photo-to-Defect-Report Agent</w:t>
            </w:r>
          </w:p>
        </w:tc>
        <w:tc>
          <w:tcPr>
            <w:tcW w:type="dxa" w:w="2239"/>
            <w:tcMar>
              <w:top w:w="60" w:type="dxa"/>
              <w:bottom w:w="60" w:type="dxa"/>
              <w:left w:w="100" w:type="dxa"/>
              <w:right w:w="100" w:type="dxa"/>
            </w:tcMar>
            <w:vAlign w:val="center"/>
            <w:shd w:val="clear" w:color="auto" w:fill="F2EFEA"/>
          </w:tcPr>
          <w:p>
            <w:r/>
            <w:r>
              <w:rPr>
                <w:color w:val="3A3835"/>
                <w:sz w:val="17"/>
              </w:rPr>
              <w:t>4</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10/10</w:t>
            </w:r>
          </w:p>
        </w:tc>
      </w:tr>
      <w:tr>
        <w:tc>
          <w:tcPr>
            <w:tcW w:type="dxa" w:w="2239"/>
            <w:tcMar>
              <w:top w:w="60" w:type="dxa"/>
              <w:bottom w:w="60" w:type="dxa"/>
              <w:left w:w="100" w:type="dxa"/>
              <w:right w:w="100" w:type="dxa"/>
            </w:tcMar>
            <w:vAlign w:val="center"/>
          </w:tcPr>
          <w:p>
            <w:r/>
            <w:r>
              <w:rPr>
                <w:color w:val="3A3835"/>
                <w:sz w:val="17"/>
              </w:rPr>
              <w:t>Auto Payment Reminder Agent</w:t>
            </w:r>
          </w:p>
        </w:tc>
        <w:tc>
          <w:tcPr>
            <w:tcW w:type="dxa" w:w="2239"/>
            <w:tcMar>
              <w:top w:w="60" w:type="dxa"/>
              <w:bottom w:w="60" w:type="dxa"/>
              <w:left w:w="100" w:type="dxa"/>
              <w:right w:w="100" w:type="dxa"/>
            </w:tcMar>
            <w:vAlign w:val="center"/>
          </w:tcPr>
          <w:p>
            <w:r/>
            <w:r>
              <w:rPr>
                <w:color w:val="3A3835"/>
                <w:sz w:val="17"/>
              </w:rPr>
              <w:t>4</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9/10</w:t>
            </w:r>
          </w:p>
        </w:tc>
      </w:tr>
      <w:tr>
        <w:tc>
          <w:tcPr>
            <w:tcW w:type="dxa" w:w="2239"/>
            <w:tcMar>
              <w:top w:w="60" w:type="dxa"/>
              <w:bottom w:w="60" w:type="dxa"/>
              <w:left w:w="100" w:type="dxa"/>
              <w:right w:w="100" w:type="dxa"/>
            </w:tcMar>
            <w:vAlign w:val="center"/>
            <w:shd w:val="clear" w:color="auto" w:fill="F2EFEA"/>
          </w:tcPr>
          <w:p>
            <w:r/>
            <w:r>
              <w:rPr>
                <w:color w:val="3A3835"/>
                <w:sz w:val="17"/>
              </w:rPr>
              <w:t>Contract Risk Review Agent</w:t>
            </w:r>
          </w:p>
        </w:tc>
        <w:tc>
          <w:tcPr>
            <w:tcW w:type="dxa" w:w="2239"/>
            <w:tcMar>
              <w:top w:w="60" w:type="dxa"/>
              <w:bottom w:w="60" w:type="dxa"/>
              <w:left w:w="100" w:type="dxa"/>
              <w:right w:w="100" w:type="dxa"/>
            </w:tcMar>
            <w:vAlign w:val="center"/>
            <w:shd w:val="clear" w:color="auto" w:fill="F2EFEA"/>
          </w:tcPr>
          <w:p>
            <w:r/>
            <w:r>
              <w:rPr>
                <w:color w:val="3A3835"/>
                <w:sz w:val="17"/>
              </w:rPr>
              <w:t>4</w:t>
            </w:r>
          </w:p>
        </w:tc>
        <w:tc>
          <w:tcPr>
            <w:tcW w:type="dxa" w:w="2239"/>
            <w:tcMar>
              <w:top w:w="60" w:type="dxa"/>
              <w:bottom w:w="60" w:type="dxa"/>
              <w:left w:w="100" w:type="dxa"/>
              <w:right w:w="100" w:type="dxa"/>
            </w:tcMar>
            <w:vAlign w:val="center"/>
            <w:shd w:val="clear" w:color="auto" w:fill="F2EFEA"/>
          </w:tcPr>
          <w:p>
            <w:r/>
            <w:r>
              <w:rPr>
                <w:color w:val="3A3835"/>
                <w:sz w:val="17"/>
              </w:rPr>
              <w:t>Idea — legal disclaimer required</w:t>
            </w:r>
          </w:p>
        </w:tc>
        <w:tc>
          <w:tcPr>
            <w:tcW w:type="dxa" w:w="2239"/>
            <w:tcMar>
              <w:top w:w="60" w:type="dxa"/>
              <w:bottom w:w="60" w:type="dxa"/>
              <w:left w:w="100" w:type="dxa"/>
              <w:right w:w="100" w:type="dxa"/>
            </w:tcMar>
            <w:vAlign w:val="center"/>
            <w:shd w:val="clear" w:color="auto" w:fill="F2EFEA"/>
          </w:tcPr>
          <w:p>
            <w:r/>
            <w:r>
              <w:rPr>
                <w:color w:val="3A3835"/>
                <w:sz w:val="17"/>
              </w:rPr>
              <w:t>10/10</w:t>
            </w:r>
          </w:p>
        </w:tc>
      </w:tr>
      <w:tr>
        <w:tc>
          <w:tcPr>
            <w:tcW w:type="dxa" w:w="2239"/>
            <w:tcMar>
              <w:top w:w="60" w:type="dxa"/>
              <w:bottom w:w="60" w:type="dxa"/>
              <w:left w:w="100" w:type="dxa"/>
              <w:right w:w="100" w:type="dxa"/>
            </w:tcMar>
            <w:vAlign w:val="center"/>
          </w:tcPr>
          <w:p>
            <w:r/>
            <w:r>
              <w:rPr>
                <w:color w:val="3A3835"/>
                <w:sz w:val="17"/>
              </w:rPr>
              <w:t>SWMS-from-Photo Agent</w:t>
            </w:r>
          </w:p>
        </w:tc>
        <w:tc>
          <w:tcPr>
            <w:tcW w:type="dxa" w:w="2239"/>
            <w:tcMar>
              <w:top w:w="60" w:type="dxa"/>
              <w:bottom w:w="60" w:type="dxa"/>
              <w:left w:w="100" w:type="dxa"/>
              <w:right w:w="100" w:type="dxa"/>
            </w:tcMar>
            <w:vAlign w:val="center"/>
          </w:tcPr>
          <w:p>
            <w:r/>
            <w:r>
              <w:rPr>
                <w:color w:val="3A3835"/>
                <w:sz w:val="17"/>
              </w:rPr>
              <w:t>4</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10/10</w:t>
            </w:r>
          </w:p>
        </w:tc>
      </w:tr>
      <w:tr>
        <w:tc>
          <w:tcPr>
            <w:tcW w:type="dxa" w:w="2239"/>
            <w:tcMar>
              <w:top w:w="60" w:type="dxa"/>
              <w:bottom w:w="60" w:type="dxa"/>
              <w:left w:w="100" w:type="dxa"/>
              <w:right w:w="100" w:type="dxa"/>
            </w:tcMar>
            <w:vAlign w:val="center"/>
            <w:shd w:val="clear" w:color="auto" w:fill="F2EFEA"/>
          </w:tcPr>
          <w:p>
            <w:r/>
            <w:r>
              <w:rPr>
                <w:color w:val="3A3835"/>
                <w:sz w:val="17"/>
              </w:rPr>
              <w:t>Job Cost Reconciliation Agent</w:t>
            </w:r>
          </w:p>
        </w:tc>
        <w:tc>
          <w:tcPr>
            <w:tcW w:type="dxa" w:w="2239"/>
            <w:tcMar>
              <w:top w:w="60" w:type="dxa"/>
              <w:bottom w:w="60" w:type="dxa"/>
              <w:left w:w="100" w:type="dxa"/>
              <w:right w:w="100" w:type="dxa"/>
            </w:tcMar>
            <w:vAlign w:val="center"/>
            <w:shd w:val="clear" w:color="auto" w:fill="F2EFEA"/>
          </w:tcPr>
          <w:p>
            <w:r/>
            <w:r>
              <w:rPr>
                <w:color w:val="3A3835"/>
                <w:sz w:val="17"/>
              </w:rPr>
              <w:t>4</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9/10</w:t>
            </w:r>
          </w:p>
        </w:tc>
      </w:tr>
      <w:tr>
        <w:tc>
          <w:tcPr>
            <w:tcW w:type="dxa" w:w="2239"/>
            <w:tcMar>
              <w:top w:w="60" w:type="dxa"/>
              <w:bottom w:w="60" w:type="dxa"/>
              <w:left w:w="100" w:type="dxa"/>
              <w:right w:w="100" w:type="dxa"/>
            </w:tcMar>
            <w:vAlign w:val="center"/>
          </w:tcPr>
          <w:p>
            <w:r/>
            <w:r>
              <w:rPr>
                <w:color w:val="3A3835"/>
                <w:sz w:val="17"/>
              </w:rPr>
              <w:t>Delay Notice Auto-Generator Agent</w:t>
            </w:r>
          </w:p>
        </w:tc>
        <w:tc>
          <w:tcPr>
            <w:tcW w:type="dxa" w:w="2239"/>
            <w:tcMar>
              <w:top w:w="60" w:type="dxa"/>
              <w:bottom w:w="60" w:type="dxa"/>
              <w:left w:w="100" w:type="dxa"/>
              <w:right w:w="100" w:type="dxa"/>
            </w:tcMar>
            <w:vAlign w:val="center"/>
          </w:tcPr>
          <w:p>
            <w:r/>
            <w:r>
              <w:rPr>
                <w:color w:val="3A3835"/>
                <w:sz w:val="17"/>
              </w:rPr>
              <w:t>4</w:t>
            </w:r>
          </w:p>
        </w:tc>
        <w:tc>
          <w:tcPr>
            <w:tcW w:type="dxa" w:w="2239"/>
            <w:tcMar>
              <w:top w:w="60" w:type="dxa"/>
              <w:bottom w:w="60" w:type="dxa"/>
              <w:left w:w="100" w:type="dxa"/>
              <w:right w:w="100" w:type="dxa"/>
            </w:tcMar>
            <w:vAlign w:val="center"/>
          </w:tcPr>
          <w:p>
            <w:r/>
            <w:r>
              <w:rPr>
                <w:color w:val="3A3835"/>
                <w:sz w:val="17"/>
              </w:rPr>
              <w:t>Idea</w:t>
            </w:r>
          </w:p>
        </w:tc>
        <w:tc>
          <w:tcPr>
            <w:tcW w:type="dxa" w:w="2239"/>
            <w:tcMar>
              <w:top w:w="60" w:type="dxa"/>
              <w:bottom w:w="60" w:type="dxa"/>
              <w:left w:w="100" w:type="dxa"/>
              <w:right w:w="100" w:type="dxa"/>
            </w:tcMar>
            <w:vAlign w:val="center"/>
          </w:tcPr>
          <w:p>
            <w:r/>
            <w:r>
              <w:rPr>
                <w:color w:val="3A3835"/>
                <w:sz w:val="17"/>
              </w:rPr>
              <w:t>10/10</w:t>
            </w:r>
          </w:p>
        </w:tc>
      </w:tr>
      <w:tr>
        <w:tc>
          <w:tcPr>
            <w:tcW w:type="dxa" w:w="2239"/>
            <w:tcMar>
              <w:top w:w="60" w:type="dxa"/>
              <w:bottom w:w="60" w:type="dxa"/>
              <w:left w:w="100" w:type="dxa"/>
              <w:right w:w="100" w:type="dxa"/>
            </w:tcMar>
            <w:vAlign w:val="center"/>
            <w:shd w:val="clear" w:color="auto" w:fill="F2EFEA"/>
          </w:tcPr>
          <w:p>
            <w:r/>
            <w:r>
              <w:rPr>
                <w:color w:val="3A3835"/>
                <w:sz w:val="17"/>
              </w:rPr>
              <w:t>Compliance Monitoring Agent</w:t>
            </w:r>
          </w:p>
        </w:tc>
        <w:tc>
          <w:tcPr>
            <w:tcW w:type="dxa" w:w="2239"/>
            <w:tcMar>
              <w:top w:w="60" w:type="dxa"/>
              <w:bottom w:w="60" w:type="dxa"/>
              <w:left w:w="100" w:type="dxa"/>
              <w:right w:w="100" w:type="dxa"/>
            </w:tcMar>
            <w:vAlign w:val="center"/>
            <w:shd w:val="clear" w:color="auto" w:fill="F2EFEA"/>
          </w:tcPr>
          <w:p>
            <w:r/>
            <w:r>
              <w:rPr>
                <w:color w:val="3A3835"/>
                <w:sz w:val="17"/>
              </w:rPr>
              <w:t>4</w:t>
            </w:r>
          </w:p>
        </w:tc>
        <w:tc>
          <w:tcPr>
            <w:tcW w:type="dxa" w:w="2239"/>
            <w:tcMar>
              <w:top w:w="60" w:type="dxa"/>
              <w:bottom w:w="60" w:type="dxa"/>
              <w:left w:w="100" w:type="dxa"/>
              <w:right w:w="100" w:type="dxa"/>
            </w:tcMar>
            <w:vAlign w:val="center"/>
            <w:shd w:val="clear" w:color="auto" w:fill="F2EFEA"/>
          </w:tcPr>
          <w:p>
            <w:r/>
            <w:r>
              <w:rPr>
                <w:color w:val="3A3835"/>
                <w:sz w:val="17"/>
              </w:rPr>
              <w:t>Idea</w:t>
            </w:r>
          </w:p>
        </w:tc>
        <w:tc>
          <w:tcPr>
            <w:tcW w:type="dxa" w:w="2239"/>
            <w:tcMar>
              <w:top w:w="60" w:type="dxa"/>
              <w:bottom w:w="60" w:type="dxa"/>
              <w:left w:w="100" w:type="dxa"/>
              <w:right w:w="100" w:type="dxa"/>
            </w:tcMar>
            <w:vAlign w:val="center"/>
            <w:shd w:val="clear" w:color="auto" w:fill="F2EFEA"/>
          </w:tcPr>
          <w:p>
            <w:r/>
            <w:r>
              <w:rPr>
                <w:color w:val="3A3835"/>
                <w:sz w:val="17"/>
              </w:rPr>
              <w:t>8/10</w:t>
            </w:r>
          </w:p>
        </w:tc>
      </w:tr>
    </w:tbl>
    <w:p>
      <w:pPr>
        <w:spacing w:after="120"/>
      </w:pPr>
    </w:p>
    <w:p>
      <w:pPr>
        <w:pStyle w:val="BIKCaption"/>
        <w:jc w:val="center"/>
      </w:pPr>
      <w:r>
        <w:t>Total tools catalogued: 62. Tools with full specifications: 62. Source: docs/ai-tool-catalogue.md, 15 July 2026.</w:t>
      </w:r>
    </w:p>
    <w:p>
      <w:pPr>
        <w:pStyle w:val="BIKChapterLabel"/>
      </w:pPr>
      <w:r>
        <w:t>APPENDICES</w:t>
      </w:r>
    </w:p>
    <w:p>
      <w:pPr>
        <w:pStyle w:val="BIKChapterTitle"/>
        <w:pBdr>
          <w:bottom w:val="single" w:sz="18" w:space="8" w:color="D85A30"/>
        </w:pBdr>
      </w:pPr>
      <w:r>
        <w:t>31   Appendix B — Technical Architecture Summary</w:t>
      </w:r>
    </w:p>
    <w:p>
      <w:pPr>
        <w:pStyle w:val="BIKH1"/>
      </w:pPr>
      <w:r>
        <w:t>Phase 1 Stack (Current)</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Layer</w:t>
            </w:r>
          </w:p>
        </w:tc>
        <w:tc>
          <w:tcPr>
            <w:tcW w:type="dxa" w:w="2986"/>
            <w:shd w:val="clear" w:color="auto" w:fill="252320"/>
            <w:tcMar>
              <w:top w:w="60" w:type="dxa"/>
              <w:bottom w:w="60" w:type="dxa"/>
              <w:left w:w="100" w:type="dxa"/>
              <w:right w:w="100" w:type="dxa"/>
            </w:tcMar>
            <w:vAlign w:val="center"/>
          </w:tcPr>
          <w:p>
            <w:r/>
            <w:r>
              <w:rPr>
                <w:b/>
                <w:color w:val="FFFFFF"/>
                <w:sz w:val="18"/>
              </w:rPr>
              <w:t>Technology</w:t>
            </w:r>
          </w:p>
        </w:tc>
        <w:tc>
          <w:tcPr>
            <w:tcW w:type="dxa" w:w="2986"/>
            <w:shd w:val="clear" w:color="auto" w:fill="252320"/>
            <w:tcMar>
              <w:top w:w="60" w:type="dxa"/>
              <w:bottom w:w="60" w:type="dxa"/>
              <w:left w:w="100" w:type="dxa"/>
              <w:right w:w="100" w:type="dxa"/>
            </w:tcMar>
            <w:vAlign w:val="center"/>
          </w:tcPr>
          <w:p>
            <w:r/>
            <w:r>
              <w:rPr>
                <w:b/>
                <w:color w:val="FFFFFF"/>
                <w:sz w:val="18"/>
              </w:rPr>
              <w:t>Rationale</w:t>
            </w:r>
          </w:p>
        </w:tc>
      </w:tr>
      <w:tr>
        <w:tc>
          <w:tcPr>
            <w:tcW w:type="dxa" w:w="2986"/>
            <w:tcMar>
              <w:top w:w="60" w:type="dxa"/>
              <w:bottom w:w="60" w:type="dxa"/>
              <w:left w:w="100" w:type="dxa"/>
              <w:right w:w="100" w:type="dxa"/>
            </w:tcMar>
            <w:vAlign w:val="center"/>
          </w:tcPr>
          <w:p>
            <w:r/>
            <w:r>
              <w:rPr>
                <w:color w:val="3A3835"/>
                <w:sz w:val="18"/>
              </w:rPr>
              <w:t>HTML</w:t>
            </w:r>
          </w:p>
        </w:tc>
        <w:tc>
          <w:tcPr>
            <w:tcW w:type="dxa" w:w="2986"/>
            <w:tcMar>
              <w:top w:w="60" w:type="dxa"/>
              <w:bottom w:w="60" w:type="dxa"/>
              <w:left w:w="100" w:type="dxa"/>
              <w:right w:w="100" w:type="dxa"/>
            </w:tcMar>
            <w:vAlign w:val="center"/>
          </w:tcPr>
          <w:p>
            <w:r/>
            <w:r>
              <w:rPr>
                <w:color w:val="3A3835"/>
                <w:sz w:val="18"/>
              </w:rPr>
              <w:t>Semantic HTML5 with ARIA attributes</w:t>
            </w:r>
          </w:p>
        </w:tc>
        <w:tc>
          <w:tcPr>
            <w:tcW w:type="dxa" w:w="2986"/>
            <w:tcMar>
              <w:top w:w="60" w:type="dxa"/>
              <w:bottom w:w="60" w:type="dxa"/>
              <w:left w:w="100" w:type="dxa"/>
              <w:right w:w="100" w:type="dxa"/>
            </w:tcMar>
            <w:vAlign w:val="center"/>
          </w:tcPr>
          <w:p>
            <w:r/>
            <w:r>
              <w:rPr>
                <w:color w:val="3A3835"/>
                <w:sz w:val="18"/>
              </w:rPr>
              <w:t>Accessibility, SEO, simplicity</w:t>
            </w:r>
          </w:p>
        </w:tc>
      </w:tr>
      <w:tr>
        <w:tc>
          <w:tcPr>
            <w:tcW w:type="dxa" w:w="2986"/>
            <w:tcMar>
              <w:top w:w="60" w:type="dxa"/>
              <w:bottom w:w="60" w:type="dxa"/>
              <w:left w:w="100" w:type="dxa"/>
              <w:right w:w="100" w:type="dxa"/>
            </w:tcMar>
            <w:vAlign w:val="center"/>
            <w:shd w:val="clear" w:color="auto" w:fill="F2EFEA"/>
          </w:tcPr>
          <w:p>
            <w:r/>
            <w:r>
              <w:rPr>
                <w:color w:val="3A3835"/>
                <w:sz w:val="18"/>
              </w:rPr>
              <w:t>CSS</w:t>
            </w:r>
          </w:p>
        </w:tc>
        <w:tc>
          <w:tcPr>
            <w:tcW w:type="dxa" w:w="2986"/>
            <w:tcMar>
              <w:top w:w="60" w:type="dxa"/>
              <w:bottom w:w="60" w:type="dxa"/>
              <w:left w:w="100" w:type="dxa"/>
              <w:right w:w="100" w:type="dxa"/>
            </w:tcMar>
            <w:vAlign w:val="center"/>
            <w:shd w:val="clear" w:color="auto" w:fill="F2EFEA"/>
          </w:tcPr>
          <w:p>
            <w:r/>
            <w:r>
              <w:rPr>
                <w:color w:val="3A3835"/>
                <w:sz w:val="18"/>
              </w:rPr>
              <w:t>Vanilla CSS with custom properties</w:t>
            </w:r>
          </w:p>
        </w:tc>
        <w:tc>
          <w:tcPr>
            <w:tcW w:type="dxa" w:w="2986"/>
            <w:tcMar>
              <w:top w:w="60" w:type="dxa"/>
              <w:bottom w:w="60" w:type="dxa"/>
              <w:left w:w="100" w:type="dxa"/>
              <w:right w:w="100" w:type="dxa"/>
            </w:tcMar>
            <w:vAlign w:val="center"/>
            <w:shd w:val="clear" w:color="auto" w:fill="F2EFEA"/>
          </w:tcPr>
          <w:p>
            <w:r/>
            <w:r>
              <w:rPr>
                <w:color w:val="3A3835"/>
                <w:sz w:val="18"/>
              </w:rPr>
              <w:t>No build step; maintainable; fast</w:t>
            </w:r>
          </w:p>
        </w:tc>
      </w:tr>
      <w:tr>
        <w:tc>
          <w:tcPr>
            <w:tcW w:type="dxa" w:w="2986"/>
            <w:tcMar>
              <w:top w:w="60" w:type="dxa"/>
              <w:bottom w:w="60" w:type="dxa"/>
              <w:left w:w="100" w:type="dxa"/>
              <w:right w:w="100" w:type="dxa"/>
            </w:tcMar>
            <w:vAlign w:val="center"/>
          </w:tcPr>
          <w:p>
            <w:r/>
            <w:r>
              <w:rPr>
                <w:color w:val="3A3835"/>
                <w:sz w:val="18"/>
              </w:rPr>
              <w:t>JavaScript</w:t>
            </w:r>
          </w:p>
        </w:tc>
        <w:tc>
          <w:tcPr>
            <w:tcW w:type="dxa" w:w="2986"/>
            <w:tcMar>
              <w:top w:w="60" w:type="dxa"/>
              <w:bottom w:w="60" w:type="dxa"/>
              <w:left w:w="100" w:type="dxa"/>
              <w:right w:w="100" w:type="dxa"/>
            </w:tcMar>
            <w:vAlign w:val="center"/>
          </w:tcPr>
          <w:p>
            <w:r/>
            <w:r>
              <w:rPr>
                <w:color w:val="3A3835"/>
                <w:sz w:val="18"/>
              </w:rPr>
              <w:t>Vanilla ES6 modules</w:t>
            </w:r>
          </w:p>
        </w:tc>
        <w:tc>
          <w:tcPr>
            <w:tcW w:type="dxa" w:w="2986"/>
            <w:tcMar>
              <w:top w:w="60" w:type="dxa"/>
              <w:bottom w:w="60" w:type="dxa"/>
              <w:left w:w="100" w:type="dxa"/>
              <w:right w:w="100" w:type="dxa"/>
            </w:tcMar>
            <w:vAlign w:val="center"/>
          </w:tcPr>
          <w:p>
            <w:r/>
            <w:r>
              <w:rPr>
                <w:color w:val="3A3835"/>
                <w:sz w:val="18"/>
              </w:rPr>
              <w:t>Zero dependencies; no bundler required</w:t>
            </w:r>
          </w:p>
        </w:tc>
      </w:tr>
      <w:tr>
        <w:tc>
          <w:tcPr>
            <w:tcW w:type="dxa" w:w="2986"/>
            <w:tcMar>
              <w:top w:w="60" w:type="dxa"/>
              <w:bottom w:w="60" w:type="dxa"/>
              <w:left w:w="100" w:type="dxa"/>
              <w:right w:w="100" w:type="dxa"/>
            </w:tcMar>
            <w:vAlign w:val="center"/>
            <w:shd w:val="clear" w:color="auto" w:fill="F2EFEA"/>
          </w:tcPr>
          <w:p>
            <w:r/>
            <w:r>
              <w:rPr>
                <w:color w:val="3A3835"/>
                <w:sz w:val="18"/>
              </w:rPr>
              <w:t>Hosting</w:t>
            </w:r>
          </w:p>
        </w:tc>
        <w:tc>
          <w:tcPr>
            <w:tcW w:type="dxa" w:w="2986"/>
            <w:tcMar>
              <w:top w:w="60" w:type="dxa"/>
              <w:bottom w:w="60" w:type="dxa"/>
              <w:left w:w="100" w:type="dxa"/>
              <w:right w:w="100" w:type="dxa"/>
            </w:tcMar>
            <w:vAlign w:val="center"/>
            <w:shd w:val="clear" w:color="auto" w:fill="F2EFEA"/>
          </w:tcPr>
          <w:p>
            <w:r/>
            <w:r>
              <w:rPr>
                <w:color w:val="3A3835"/>
                <w:sz w:val="18"/>
              </w:rPr>
              <w:t>GitHub Pages</w:t>
            </w:r>
          </w:p>
        </w:tc>
        <w:tc>
          <w:tcPr>
            <w:tcW w:type="dxa" w:w="2986"/>
            <w:tcMar>
              <w:top w:w="60" w:type="dxa"/>
              <w:bottom w:w="60" w:type="dxa"/>
              <w:left w:w="100" w:type="dxa"/>
              <w:right w:w="100" w:type="dxa"/>
            </w:tcMar>
            <w:vAlign w:val="center"/>
            <w:shd w:val="clear" w:color="auto" w:fill="F2EFEA"/>
          </w:tcPr>
          <w:p>
            <w:r/>
            <w:r>
              <w:rPr>
                <w:color w:val="3A3835"/>
                <w:sz w:val="18"/>
              </w:rPr>
              <w:t>Free; auto-deploys from branch; automatic SSL</w:t>
            </w:r>
          </w:p>
        </w:tc>
      </w:tr>
      <w:tr>
        <w:tc>
          <w:tcPr>
            <w:tcW w:type="dxa" w:w="2986"/>
            <w:tcMar>
              <w:top w:w="60" w:type="dxa"/>
              <w:bottom w:w="60" w:type="dxa"/>
              <w:left w:w="100" w:type="dxa"/>
              <w:right w:w="100" w:type="dxa"/>
            </w:tcMar>
            <w:vAlign w:val="center"/>
          </w:tcPr>
          <w:p>
            <w:r/>
            <w:r>
              <w:rPr>
                <w:color w:val="3A3835"/>
                <w:sz w:val="18"/>
              </w:rPr>
              <w:t>Forms</w:t>
            </w:r>
          </w:p>
        </w:tc>
        <w:tc>
          <w:tcPr>
            <w:tcW w:type="dxa" w:w="2986"/>
            <w:tcMar>
              <w:top w:w="60" w:type="dxa"/>
              <w:bottom w:w="60" w:type="dxa"/>
              <w:left w:w="100" w:type="dxa"/>
              <w:right w:w="100" w:type="dxa"/>
            </w:tcMar>
            <w:vAlign w:val="center"/>
          </w:tcPr>
          <w:p>
            <w:r/>
            <w:r>
              <w:rPr>
                <w:color w:val="3A3835"/>
                <w:sz w:val="18"/>
              </w:rPr>
              <w:t>Formspree</w:t>
            </w:r>
          </w:p>
        </w:tc>
        <w:tc>
          <w:tcPr>
            <w:tcW w:type="dxa" w:w="2986"/>
            <w:tcMar>
              <w:top w:w="60" w:type="dxa"/>
              <w:bottom w:w="60" w:type="dxa"/>
              <w:left w:w="100" w:type="dxa"/>
              <w:right w:w="100" w:type="dxa"/>
            </w:tcMar>
            <w:vAlign w:val="center"/>
          </w:tcPr>
          <w:p>
            <w:r/>
            <w:r>
              <w:rPr>
                <w:color w:val="3A3835"/>
                <w:sz w:val="18"/>
              </w:rPr>
              <w:t>Zero-backend form handling in Phase 1</w:t>
            </w:r>
          </w:p>
        </w:tc>
      </w:tr>
      <w:tr>
        <w:tc>
          <w:tcPr>
            <w:tcW w:type="dxa" w:w="2986"/>
            <w:tcMar>
              <w:top w:w="60" w:type="dxa"/>
              <w:bottom w:w="60" w:type="dxa"/>
              <w:left w:w="100" w:type="dxa"/>
              <w:right w:w="100" w:type="dxa"/>
            </w:tcMar>
            <w:vAlign w:val="center"/>
            <w:shd w:val="clear" w:color="auto" w:fill="F2EFEA"/>
          </w:tcPr>
          <w:p>
            <w:r/>
            <w:r>
              <w:rPr>
                <w:color w:val="3A3835"/>
                <w:sz w:val="18"/>
              </w:rPr>
              <w:t>E-commerce</w:t>
            </w:r>
          </w:p>
        </w:tc>
        <w:tc>
          <w:tcPr>
            <w:tcW w:type="dxa" w:w="2986"/>
            <w:tcMar>
              <w:top w:w="60" w:type="dxa"/>
              <w:bottom w:w="60" w:type="dxa"/>
              <w:left w:w="100" w:type="dxa"/>
              <w:right w:w="100" w:type="dxa"/>
            </w:tcMar>
            <w:vAlign w:val="center"/>
            <w:shd w:val="clear" w:color="auto" w:fill="F2EFEA"/>
          </w:tcPr>
          <w:p>
            <w:r/>
            <w:r>
              <w:rPr>
                <w:color w:val="3A3835"/>
                <w:sz w:val="18"/>
              </w:rPr>
              <w:t>Gumroad</w:t>
            </w:r>
          </w:p>
        </w:tc>
        <w:tc>
          <w:tcPr>
            <w:tcW w:type="dxa" w:w="2986"/>
            <w:tcMar>
              <w:top w:w="60" w:type="dxa"/>
              <w:bottom w:w="60" w:type="dxa"/>
              <w:left w:w="100" w:type="dxa"/>
              <w:right w:w="100" w:type="dxa"/>
            </w:tcMar>
            <w:vAlign w:val="center"/>
            <w:shd w:val="clear" w:color="auto" w:fill="F2EFEA"/>
          </w:tcPr>
          <w:p>
            <w:r/>
            <w:r>
              <w:rPr>
                <w:color w:val="3A3835"/>
                <w:sz w:val="18"/>
              </w:rPr>
              <w:t>Digital product sales without payment infrastructure</w:t>
            </w:r>
          </w:p>
        </w:tc>
      </w:tr>
    </w:tbl>
    <w:p>
      <w:pPr>
        <w:spacing w:after="120"/>
      </w:pPr>
    </w:p>
    <w:p>
      <w:pPr>
        <w:pStyle w:val="BIKH1"/>
      </w:pPr>
      <w:r>
        <w:t>Phase 2+ Planned Stack</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Layer</w:t>
            </w:r>
          </w:p>
        </w:tc>
        <w:tc>
          <w:tcPr>
            <w:tcW w:type="dxa" w:w="2986"/>
            <w:shd w:val="clear" w:color="auto" w:fill="252320"/>
            <w:tcMar>
              <w:top w:w="60" w:type="dxa"/>
              <w:bottom w:w="60" w:type="dxa"/>
              <w:left w:w="100" w:type="dxa"/>
              <w:right w:w="100" w:type="dxa"/>
            </w:tcMar>
            <w:vAlign w:val="center"/>
          </w:tcPr>
          <w:p>
            <w:r/>
            <w:r>
              <w:rPr>
                <w:b/>
                <w:color w:val="FFFFFF"/>
                <w:sz w:val="18"/>
              </w:rPr>
              <w:t>Technology</w:t>
            </w:r>
          </w:p>
        </w:tc>
        <w:tc>
          <w:tcPr>
            <w:tcW w:type="dxa" w:w="2986"/>
            <w:shd w:val="clear" w:color="auto" w:fill="252320"/>
            <w:tcMar>
              <w:top w:w="60" w:type="dxa"/>
              <w:bottom w:w="60" w:type="dxa"/>
              <w:left w:w="100" w:type="dxa"/>
              <w:right w:w="100" w:type="dxa"/>
            </w:tcMar>
            <w:vAlign w:val="center"/>
          </w:tcPr>
          <w:p>
            <w:r/>
            <w:r>
              <w:rPr>
                <w:b/>
                <w:color w:val="FFFFFF"/>
                <w:sz w:val="18"/>
              </w:rPr>
              <w:t>Notes</w:t>
            </w:r>
          </w:p>
        </w:tc>
      </w:tr>
      <w:tr>
        <w:tc>
          <w:tcPr>
            <w:tcW w:type="dxa" w:w="2986"/>
            <w:tcMar>
              <w:top w:w="60" w:type="dxa"/>
              <w:bottom w:w="60" w:type="dxa"/>
              <w:left w:w="100" w:type="dxa"/>
              <w:right w:w="100" w:type="dxa"/>
            </w:tcMar>
            <w:vAlign w:val="center"/>
          </w:tcPr>
          <w:p>
            <w:r/>
            <w:r>
              <w:rPr>
                <w:color w:val="3A3835"/>
                <w:sz w:val="18"/>
              </w:rPr>
              <w:t>Frontend</w:t>
            </w:r>
          </w:p>
        </w:tc>
        <w:tc>
          <w:tcPr>
            <w:tcW w:type="dxa" w:w="2986"/>
            <w:tcMar>
              <w:top w:w="60" w:type="dxa"/>
              <w:bottom w:w="60" w:type="dxa"/>
              <w:left w:w="100" w:type="dxa"/>
              <w:right w:w="100" w:type="dxa"/>
            </w:tcMar>
            <w:vAlign w:val="center"/>
          </w:tcPr>
          <w:p>
            <w:r/>
            <w:r>
              <w:rPr>
                <w:color w:val="3A3835"/>
                <w:sz w:val="18"/>
              </w:rPr>
              <w:t>Static HTML + JS retained</w:t>
            </w:r>
          </w:p>
        </w:tc>
        <w:tc>
          <w:tcPr>
            <w:tcW w:type="dxa" w:w="2986"/>
            <w:tcMar>
              <w:top w:w="60" w:type="dxa"/>
              <w:bottom w:w="60" w:type="dxa"/>
              <w:left w:w="100" w:type="dxa"/>
              <w:right w:w="100" w:type="dxa"/>
            </w:tcMar>
            <w:vAlign w:val="center"/>
          </w:tcPr>
          <w:p>
            <w:r/>
            <w:r>
              <w:rPr>
                <w:color w:val="3A3835"/>
                <w:sz w:val="18"/>
              </w:rPr>
              <w:t>Avoids framework lock-in</w:t>
            </w:r>
          </w:p>
        </w:tc>
      </w:tr>
      <w:tr>
        <w:tc>
          <w:tcPr>
            <w:tcW w:type="dxa" w:w="2986"/>
            <w:tcMar>
              <w:top w:w="60" w:type="dxa"/>
              <w:bottom w:w="60" w:type="dxa"/>
              <w:left w:w="100" w:type="dxa"/>
              <w:right w:w="100" w:type="dxa"/>
            </w:tcMar>
            <w:vAlign w:val="center"/>
            <w:shd w:val="clear" w:color="auto" w:fill="F2EFEA"/>
          </w:tcPr>
          <w:p>
            <w:r/>
            <w:r>
              <w:rPr>
                <w:color w:val="3A3835"/>
                <w:sz w:val="18"/>
              </w:rPr>
              <w:t>Auth &amp; database</w:t>
            </w:r>
          </w:p>
        </w:tc>
        <w:tc>
          <w:tcPr>
            <w:tcW w:type="dxa" w:w="2986"/>
            <w:tcMar>
              <w:top w:w="60" w:type="dxa"/>
              <w:bottom w:w="60" w:type="dxa"/>
              <w:left w:w="100" w:type="dxa"/>
              <w:right w:w="100" w:type="dxa"/>
            </w:tcMar>
            <w:vAlign w:val="center"/>
            <w:shd w:val="clear" w:color="auto" w:fill="F2EFEA"/>
          </w:tcPr>
          <w:p>
            <w:r/>
            <w:r>
              <w:rPr>
                <w:color w:val="3A3835"/>
                <w:sz w:val="18"/>
              </w:rPr>
              <w:t>Supabase (PostgreSQL)</w:t>
            </w:r>
          </w:p>
        </w:tc>
        <w:tc>
          <w:tcPr>
            <w:tcW w:type="dxa" w:w="2986"/>
            <w:tcMar>
              <w:top w:w="60" w:type="dxa"/>
              <w:bottom w:w="60" w:type="dxa"/>
              <w:left w:w="100" w:type="dxa"/>
              <w:right w:w="100" w:type="dxa"/>
            </w:tcMar>
            <w:vAlign w:val="center"/>
            <w:shd w:val="clear" w:color="auto" w:fill="F2EFEA"/>
          </w:tcPr>
          <w:p>
            <w:r/>
            <w:r>
              <w:rPr>
                <w:color w:val="3A3835"/>
                <w:sz w:val="18"/>
              </w:rPr>
              <w:t>Users, documents, subscriptions</w:t>
            </w:r>
          </w:p>
        </w:tc>
      </w:tr>
      <w:tr>
        <w:tc>
          <w:tcPr>
            <w:tcW w:type="dxa" w:w="2986"/>
            <w:tcMar>
              <w:top w:w="60" w:type="dxa"/>
              <w:bottom w:w="60" w:type="dxa"/>
              <w:left w:w="100" w:type="dxa"/>
              <w:right w:w="100" w:type="dxa"/>
            </w:tcMar>
            <w:vAlign w:val="center"/>
          </w:tcPr>
          <w:p>
            <w:r/>
            <w:r>
              <w:rPr>
                <w:color w:val="3A3835"/>
                <w:sz w:val="18"/>
              </w:rPr>
              <w:t>AI generation</w:t>
            </w:r>
          </w:p>
        </w:tc>
        <w:tc>
          <w:tcPr>
            <w:tcW w:type="dxa" w:w="2986"/>
            <w:tcMar>
              <w:top w:w="60" w:type="dxa"/>
              <w:bottom w:w="60" w:type="dxa"/>
              <w:left w:w="100" w:type="dxa"/>
              <w:right w:w="100" w:type="dxa"/>
            </w:tcMar>
            <w:vAlign w:val="center"/>
          </w:tcPr>
          <w:p>
            <w:r/>
            <w:r>
              <w:rPr>
                <w:color w:val="3A3835"/>
                <w:sz w:val="18"/>
              </w:rPr>
              <w:t>Anthropic Claude API</w:t>
            </w:r>
          </w:p>
        </w:tc>
        <w:tc>
          <w:tcPr>
            <w:tcW w:type="dxa" w:w="2986"/>
            <w:tcMar>
              <w:top w:w="60" w:type="dxa"/>
              <w:bottom w:w="60" w:type="dxa"/>
              <w:left w:w="100" w:type="dxa"/>
              <w:right w:w="100" w:type="dxa"/>
            </w:tcMar>
            <w:vAlign w:val="center"/>
          </w:tcPr>
          <w:p>
            <w:r/>
            <w:r>
              <w:rPr>
                <w:color w:val="3A3835"/>
                <w:sz w:val="18"/>
              </w:rPr>
              <w:t>generateDocument() remains the sole integration point</w:t>
            </w:r>
          </w:p>
        </w:tc>
      </w:tr>
      <w:tr>
        <w:tc>
          <w:tcPr>
            <w:tcW w:type="dxa" w:w="2986"/>
            <w:tcMar>
              <w:top w:w="60" w:type="dxa"/>
              <w:bottom w:w="60" w:type="dxa"/>
              <w:left w:w="100" w:type="dxa"/>
              <w:right w:w="100" w:type="dxa"/>
            </w:tcMar>
            <w:vAlign w:val="center"/>
            <w:shd w:val="clear" w:color="auto" w:fill="F2EFEA"/>
          </w:tcPr>
          <w:p>
            <w:r/>
            <w:r>
              <w:rPr>
                <w:color w:val="3A3835"/>
                <w:sz w:val="18"/>
              </w:rPr>
              <w:t>PDF generation</w:t>
            </w:r>
          </w:p>
        </w:tc>
        <w:tc>
          <w:tcPr>
            <w:tcW w:type="dxa" w:w="2986"/>
            <w:tcMar>
              <w:top w:w="60" w:type="dxa"/>
              <w:bottom w:w="60" w:type="dxa"/>
              <w:left w:w="100" w:type="dxa"/>
              <w:right w:w="100" w:type="dxa"/>
            </w:tcMar>
            <w:vAlign w:val="center"/>
            <w:shd w:val="clear" w:color="auto" w:fill="F2EFEA"/>
          </w:tcPr>
          <w:p>
            <w:r/>
            <w:r>
              <w:rPr>
                <w:color w:val="3A3835"/>
                <w:sz w:val="18"/>
              </w:rPr>
              <w:t>Puppeteer / Playwright (serverless)</w:t>
            </w:r>
          </w:p>
        </w:tc>
        <w:tc>
          <w:tcPr>
            <w:tcW w:type="dxa" w:w="2986"/>
            <w:tcMar>
              <w:top w:w="60" w:type="dxa"/>
              <w:bottom w:w="60" w:type="dxa"/>
              <w:left w:w="100" w:type="dxa"/>
              <w:right w:w="100" w:type="dxa"/>
            </w:tcMar>
            <w:vAlign w:val="center"/>
            <w:shd w:val="clear" w:color="auto" w:fill="F2EFEA"/>
          </w:tcPr>
          <w:p>
            <w:r/>
            <w:r>
              <w:rPr>
                <w:color w:val="3A3835"/>
                <w:sz w:val="18"/>
              </w:rPr>
              <w:t>Server-rendered HTML → PDF</w:t>
            </w:r>
          </w:p>
        </w:tc>
      </w:tr>
      <w:tr>
        <w:tc>
          <w:tcPr>
            <w:tcW w:type="dxa" w:w="2986"/>
            <w:tcMar>
              <w:top w:w="60" w:type="dxa"/>
              <w:bottom w:w="60" w:type="dxa"/>
              <w:left w:w="100" w:type="dxa"/>
              <w:right w:w="100" w:type="dxa"/>
            </w:tcMar>
            <w:vAlign w:val="center"/>
          </w:tcPr>
          <w:p>
            <w:r/>
            <w:r>
              <w:rPr>
                <w:color w:val="3A3835"/>
                <w:sz w:val="18"/>
              </w:rPr>
              <w:t>Payments</w:t>
            </w:r>
          </w:p>
        </w:tc>
        <w:tc>
          <w:tcPr>
            <w:tcW w:type="dxa" w:w="2986"/>
            <w:tcMar>
              <w:top w:w="60" w:type="dxa"/>
              <w:bottom w:w="60" w:type="dxa"/>
              <w:left w:w="100" w:type="dxa"/>
              <w:right w:w="100" w:type="dxa"/>
            </w:tcMar>
            <w:vAlign w:val="center"/>
          </w:tcPr>
          <w:p>
            <w:r/>
            <w:r>
              <w:rPr>
                <w:color w:val="3A3835"/>
                <w:sz w:val="18"/>
              </w:rPr>
              <w:t>Stripe</w:t>
            </w:r>
          </w:p>
        </w:tc>
        <w:tc>
          <w:tcPr>
            <w:tcW w:type="dxa" w:w="2986"/>
            <w:tcMar>
              <w:top w:w="60" w:type="dxa"/>
              <w:bottom w:w="60" w:type="dxa"/>
              <w:left w:w="100" w:type="dxa"/>
              <w:right w:w="100" w:type="dxa"/>
            </w:tcMar>
            <w:vAlign w:val="center"/>
          </w:tcPr>
          <w:p>
            <w:r/>
            <w:r>
              <w:rPr>
                <w:color w:val="3A3835"/>
                <w:sz w:val="18"/>
              </w:rPr>
              <w:t>Subscription billing</w:t>
            </w:r>
          </w:p>
        </w:tc>
      </w:tr>
      <w:tr>
        <w:tc>
          <w:tcPr>
            <w:tcW w:type="dxa" w:w="2986"/>
            <w:tcMar>
              <w:top w:w="60" w:type="dxa"/>
              <w:bottom w:w="60" w:type="dxa"/>
              <w:left w:w="100" w:type="dxa"/>
              <w:right w:w="100" w:type="dxa"/>
            </w:tcMar>
            <w:vAlign w:val="center"/>
            <w:shd w:val="clear" w:color="auto" w:fill="F2EFEA"/>
          </w:tcPr>
          <w:p>
            <w:r/>
            <w:r>
              <w:rPr>
                <w:color w:val="3A3835"/>
                <w:sz w:val="18"/>
              </w:rPr>
              <w:t>Hosting</w:t>
            </w:r>
          </w:p>
        </w:tc>
        <w:tc>
          <w:tcPr>
            <w:tcW w:type="dxa" w:w="2986"/>
            <w:tcMar>
              <w:top w:w="60" w:type="dxa"/>
              <w:bottom w:w="60" w:type="dxa"/>
              <w:left w:w="100" w:type="dxa"/>
              <w:right w:w="100" w:type="dxa"/>
            </w:tcMar>
            <w:vAlign w:val="center"/>
            <w:shd w:val="clear" w:color="auto" w:fill="F2EFEA"/>
          </w:tcPr>
          <w:p>
            <w:r/>
            <w:r>
              <w:rPr>
                <w:color w:val="3A3835"/>
                <w:sz w:val="18"/>
              </w:rPr>
              <w:t>Vercel or Netlify</w:t>
            </w:r>
          </w:p>
        </w:tc>
        <w:tc>
          <w:tcPr>
            <w:tcW w:type="dxa" w:w="2986"/>
            <w:tcMar>
              <w:top w:w="60" w:type="dxa"/>
              <w:bottom w:w="60" w:type="dxa"/>
              <w:left w:w="100" w:type="dxa"/>
              <w:right w:w="100" w:type="dxa"/>
            </w:tcMar>
            <w:vAlign w:val="center"/>
            <w:shd w:val="clear" w:color="auto" w:fill="F2EFEA"/>
          </w:tcPr>
          <w:p>
            <w:r/>
            <w:r>
              <w:rPr>
                <w:color w:val="3A3835"/>
                <w:sz w:val="18"/>
              </w:rPr>
              <w:t>Serverless functions for API routes</w:t>
            </w:r>
          </w:p>
        </w:tc>
      </w:tr>
      <w:tr>
        <w:tc>
          <w:tcPr>
            <w:tcW w:type="dxa" w:w="2986"/>
            <w:tcMar>
              <w:top w:w="60" w:type="dxa"/>
              <w:bottom w:w="60" w:type="dxa"/>
              <w:left w:w="100" w:type="dxa"/>
              <w:right w:w="100" w:type="dxa"/>
            </w:tcMar>
            <w:vAlign w:val="center"/>
          </w:tcPr>
          <w:p>
            <w:r/>
            <w:r>
              <w:rPr>
                <w:color w:val="3A3835"/>
                <w:sz w:val="18"/>
              </w:rPr>
              <w:t>Email</w:t>
            </w:r>
          </w:p>
        </w:tc>
        <w:tc>
          <w:tcPr>
            <w:tcW w:type="dxa" w:w="2986"/>
            <w:tcMar>
              <w:top w:w="60" w:type="dxa"/>
              <w:bottom w:w="60" w:type="dxa"/>
              <w:left w:w="100" w:type="dxa"/>
              <w:right w:w="100" w:type="dxa"/>
            </w:tcMar>
            <w:vAlign w:val="center"/>
          </w:tcPr>
          <w:p>
            <w:r/>
            <w:r>
              <w:rPr>
                <w:color w:val="3A3835"/>
                <w:sz w:val="18"/>
              </w:rPr>
              <w:t>Resend or Postmark</w:t>
            </w:r>
          </w:p>
        </w:tc>
        <w:tc>
          <w:tcPr>
            <w:tcW w:type="dxa" w:w="2986"/>
            <w:tcMar>
              <w:top w:w="60" w:type="dxa"/>
              <w:bottom w:w="60" w:type="dxa"/>
              <w:left w:w="100" w:type="dxa"/>
              <w:right w:w="100" w:type="dxa"/>
            </w:tcMar>
            <w:vAlign w:val="center"/>
          </w:tcPr>
          <w:p>
            <w:r/>
            <w:r>
              <w:rPr>
                <w:color w:val="3A3835"/>
                <w:sz w:val="18"/>
              </w:rPr>
              <w:t>Transactional email</w:t>
            </w:r>
          </w:p>
        </w:tc>
      </w:tr>
    </w:tbl>
    <w:p>
      <w:pPr>
        <w:spacing w:after="120"/>
      </w:pPr>
    </w:p>
    <w:p>
      <w:pPr>
        <w:pStyle w:val="BIKH1"/>
      </w:pPr>
      <w:r>
        <w:t>Integration Layer (SPEC-002) — Architecture Complete, Stubs Only</w:t>
      </w:r>
    </w:p>
    <w:p>
      <w:pPr>
        <w:pStyle w:val="BIKBody"/>
        <w:jc w:val="both"/>
      </w:pPr>
      <w:r>
        <w:t>Seven provider stubs (Xero, MYOB, QuickBooks, Buildxact, ServiceM8, SimPRO, AroFlo) and five service modules (contact, invoice, quote, project, attachment) are fully architected behind a single public entry point. All monetary amounts are stored as integer cents; a typed error hierarchy (BIKIntegrationError and nine subclasses) and a retrying HTTP client with structured logging are in place. Every provider stub carries an explicit `_IMPLEMENTATION_POINT` marker documenting the exact API call required to go live — implementation is planned for Phase 3 against real OAuth credentials.</w:t>
      </w:r>
    </w:p>
    <w:tbl>
      <w:tblPr>
        <w:tblStyle w:val="TableGrid"/>
        <w:tblW w:type="auto" w:w="0"/>
        <w:tblLayout w:type="fixed"/>
        <w:tblLook w:firstColumn="1" w:firstRow="1" w:lastColumn="0" w:lastRow="0" w:noHBand="0" w:noVBand="1" w:val="04A0"/>
      </w:tblPr>
      <w:tblGrid>
        <w:gridCol w:w="1493"/>
        <w:gridCol w:w="1493"/>
        <w:gridCol w:w="1493"/>
        <w:gridCol w:w="1493"/>
        <w:gridCol w:w="1493"/>
        <w:gridCol w:w="1493"/>
      </w:tblGrid>
      <w:tr>
        <w:tc>
          <w:tcPr>
            <w:tcW w:type="dxa" w:w="1493"/>
            <w:shd w:val="clear" w:color="auto" w:fill="252320"/>
            <w:tcMar>
              <w:top w:w="60" w:type="dxa"/>
              <w:bottom w:w="60" w:type="dxa"/>
              <w:left w:w="100" w:type="dxa"/>
              <w:right w:w="100" w:type="dxa"/>
            </w:tcMar>
            <w:vAlign w:val="center"/>
          </w:tcPr>
          <w:p>
            <w:r/>
            <w:r>
              <w:rPr>
                <w:b/>
                <w:color w:val="FFFFFF"/>
                <w:sz w:val="17"/>
              </w:rPr>
              <w:t>Provider</w:t>
            </w:r>
          </w:p>
        </w:tc>
        <w:tc>
          <w:tcPr>
            <w:tcW w:type="dxa" w:w="1493"/>
            <w:shd w:val="clear" w:color="auto" w:fill="252320"/>
            <w:tcMar>
              <w:top w:w="60" w:type="dxa"/>
              <w:bottom w:w="60" w:type="dxa"/>
              <w:left w:w="100" w:type="dxa"/>
              <w:right w:w="100" w:type="dxa"/>
            </w:tcMar>
            <w:vAlign w:val="center"/>
          </w:tcPr>
          <w:p>
            <w:r/>
            <w:r>
              <w:rPr>
                <w:b/>
                <w:color w:val="FFFFFF"/>
                <w:sz w:val="17"/>
              </w:rPr>
              <w:t>Contacts</w:t>
            </w:r>
          </w:p>
        </w:tc>
        <w:tc>
          <w:tcPr>
            <w:tcW w:type="dxa" w:w="1493"/>
            <w:shd w:val="clear" w:color="auto" w:fill="252320"/>
            <w:tcMar>
              <w:top w:w="60" w:type="dxa"/>
              <w:bottom w:w="60" w:type="dxa"/>
              <w:left w:w="100" w:type="dxa"/>
              <w:right w:w="100" w:type="dxa"/>
            </w:tcMar>
            <w:vAlign w:val="center"/>
          </w:tcPr>
          <w:p>
            <w:r/>
            <w:r>
              <w:rPr>
                <w:b/>
                <w:color w:val="FFFFFF"/>
                <w:sz w:val="17"/>
              </w:rPr>
              <w:t>Invoices</w:t>
            </w:r>
          </w:p>
        </w:tc>
        <w:tc>
          <w:tcPr>
            <w:tcW w:type="dxa" w:w="1493"/>
            <w:shd w:val="clear" w:color="auto" w:fill="252320"/>
            <w:tcMar>
              <w:top w:w="60" w:type="dxa"/>
              <w:bottom w:w="60" w:type="dxa"/>
              <w:left w:w="100" w:type="dxa"/>
              <w:right w:w="100" w:type="dxa"/>
            </w:tcMar>
            <w:vAlign w:val="center"/>
          </w:tcPr>
          <w:p>
            <w:r/>
            <w:r>
              <w:rPr>
                <w:b/>
                <w:color w:val="FFFFFF"/>
                <w:sz w:val="17"/>
              </w:rPr>
              <w:t>Quotes</w:t>
            </w:r>
          </w:p>
        </w:tc>
        <w:tc>
          <w:tcPr>
            <w:tcW w:type="dxa" w:w="1493"/>
            <w:shd w:val="clear" w:color="auto" w:fill="252320"/>
            <w:tcMar>
              <w:top w:w="60" w:type="dxa"/>
              <w:bottom w:w="60" w:type="dxa"/>
              <w:left w:w="100" w:type="dxa"/>
              <w:right w:w="100" w:type="dxa"/>
            </w:tcMar>
            <w:vAlign w:val="center"/>
          </w:tcPr>
          <w:p>
            <w:r/>
            <w:r>
              <w:rPr>
                <w:b/>
                <w:color w:val="FFFFFF"/>
                <w:sz w:val="17"/>
              </w:rPr>
              <w:t>Projects</w:t>
            </w:r>
          </w:p>
        </w:tc>
        <w:tc>
          <w:tcPr>
            <w:tcW w:type="dxa" w:w="1493"/>
            <w:shd w:val="clear" w:color="auto" w:fill="252320"/>
            <w:tcMar>
              <w:top w:w="60" w:type="dxa"/>
              <w:bottom w:w="60" w:type="dxa"/>
              <w:left w:w="100" w:type="dxa"/>
              <w:right w:w="100" w:type="dxa"/>
            </w:tcMar>
            <w:vAlign w:val="center"/>
          </w:tcPr>
          <w:p>
            <w:r/>
            <w:r>
              <w:rPr>
                <w:b/>
                <w:color w:val="FFFFFF"/>
                <w:sz w:val="17"/>
              </w:rPr>
              <w:t>Attachments</w:t>
            </w:r>
          </w:p>
        </w:tc>
      </w:tr>
      <w:tr>
        <w:tc>
          <w:tcPr>
            <w:tcW w:type="dxa" w:w="1493"/>
            <w:tcMar>
              <w:top w:w="60" w:type="dxa"/>
              <w:bottom w:w="60" w:type="dxa"/>
              <w:left w:w="100" w:type="dxa"/>
              <w:right w:w="100" w:type="dxa"/>
            </w:tcMar>
            <w:vAlign w:val="center"/>
          </w:tcPr>
          <w:p>
            <w:r/>
            <w:r>
              <w:rPr>
                <w:color w:val="3A3835"/>
                <w:sz w:val="17"/>
              </w:rPr>
              <w:t>Xero</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r>
      <w:tr>
        <w:tc>
          <w:tcPr>
            <w:tcW w:type="dxa" w:w="1493"/>
            <w:tcMar>
              <w:top w:w="60" w:type="dxa"/>
              <w:bottom w:w="60" w:type="dxa"/>
              <w:left w:w="100" w:type="dxa"/>
              <w:right w:w="100" w:type="dxa"/>
            </w:tcMar>
            <w:vAlign w:val="center"/>
            <w:shd w:val="clear" w:color="auto" w:fill="F2EFEA"/>
          </w:tcPr>
          <w:p>
            <w:r/>
            <w:r>
              <w:rPr>
                <w:color w:val="3A3835"/>
                <w:sz w:val="17"/>
              </w:rPr>
              <w:t>MYOB</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r>
      <w:tr>
        <w:tc>
          <w:tcPr>
            <w:tcW w:type="dxa" w:w="1493"/>
            <w:tcMar>
              <w:top w:w="60" w:type="dxa"/>
              <w:bottom w:w="60" w:type="dxa"/>
              <w:left w:w="100" w:type="dxa"/>
              <w:right w:w="100" w:type="dxa"/>
            </w:tcMar>
            <w:vAlign w:val="center"/>
          </w:tcPr>
          <w:p>
            <w:r/>
            <w:r>
              <w:rPr>
                <w:color w:val="3A3835"/>
                <w:sz w:val="17"/>
              </w:rPr>
              <w:t>QuickBooks</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r>
      <w:tr>
        <w:tc>
          <w:tcPr>
            <w:tcW w:type="dxa" w:w="1493"/>
            <w:tcMar>
              <w:top w:w="60" w:type="dxa"/>
              <w:bottom w:w="60" w:type="dxa"/>
              <w:left w:w="100" w:type="dxa"/>
              <w:right w:w="100" w:type="dxa"/>
            </w:tcMar>
            <w:vAlign w:val="center"/>
            <w:shd w:val="clear" w:color="auto" w:fill="F2EFEA"/>
          </w:tcPr>
          <w:p>
            <w:r/>
            <w:r>
              <w:rPr>
                <w:color w:val="3A3835"/>
                <w:sz w:val="17"/>
              </w:rPr>
              <w:t>Buildxact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r>
      <w:tr>
        <w:tc>
          <w:tcPr>
            <w:tcW w:type="dxa" w:w="1493"/>
            <w:tcMar>
              <w:top w:w="60" w:type="dxa"/>
              <w:bottom w:w="60" w:type="dxa"/>
              <w:left w:w="100" w:type="dxa"/>
              <w:right w:w="100" w:type="dxa"/>
            </w:tcMar>
            <w:vAlign w:val="center"/>
          </w:tcPr>
          <w:p>
            <w:r/>
            <w:r>
              <w:rPr>
                <w:color w:val="3A3835"/>
                <w:sz w:val="17"/>
              </w:rPr>
              <w:t>ServiceM8</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r>
      <w:tr>
        <w:tc>
          <w:tcPr>
            <w:tcW w:type="dxa" w:w="1493"/>
            <w:tcMar>
              <w:top w:w="60" w:type="dxa"/>
              <w:bottom w:w="60" w:type="dxa"/>
              <w:left w:w="100" w:type="dxa"/>
              <w:right w:w="100" w:type="dxa"/>
            </w:tcMar>
            <w:vAlign w:val="center"/>
            <w:shd w:val="clear" w:color="auto" w:fill="F2EFEA"/>
          </w:tcPr>
          <w:p>
            <w:r/>
            <w:r>
              <w:rPr>
                <w:color w:val="3A3835"/>
                <w:sz w:val="17"/>
              </w:rPr>
              <w:t>SimPRO</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c>
          <w:tcPr>
            <w:tcW w:type="dxa" w:w="1493"/>
            <w:tcMar>
              <w:top w:w="60" w:type="dxa"/>
              <w:bottom w:w="60" w:type="dxa"/>
              <w:left w:w="100" w:type="dxa"/>
              <w:right w:w="100" w:type="dxa"/>
            </w:tcMar>
            <w:vAlign w:val="center"/>
            <w:shd w:val="clear" w:color="auto" w:fill="F2EFEA"/>
          </w:tcPr>
          <w:p>
            <w:r/>
            <w:r>
              <w:rPr>
                <w:color w:val="3A3835"/>
                <w:sz w:val="17"/>
              </w:rPr>
              <w:t>—</w:t>
            </w:r>
          </w:p>
        </w:tc>
      </w:tr>
      <w:tr>
        <w:tc>
          <w:tcPr>
            <w:tcW w:type="dxa" w:w="1493"/>
            <w:tcMar>
              <w:top w:w="60" w:type="dxa"/>
              <w:bottom w:w="60" w:type="dxa"/>
              <w:left w:w="100" w:type="dxa"/>
              <w:right w:w="100" w:type="dxa"/>
            </w:tcMar>
            <w:vAlign w:val="center"/>
          </w:tcPr>
          <w:p>
            <w:r/>
            <w:r>
              <w:rPr>
                <w:color w:val="3A3835"/>
                <w:sz w:val="17"/>
              </w:rPr>
              <w:t>AroFlo</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c>
          <w:tcPr>
            <w:tcW w:type="dxa" w:w="1493"/>
            <w:tcMar>
              <w:top w:w="60" w:type="dxa"/>
              <w:bottom w:w="60" w:type="dxa"/>
              <w:left w:w="100" w:type="dxa"/>
              <w:right w:w="100" w:type="dxa"/>
            </w:tcMar>
            <w:vAlign w:val="center"/>
          </w:tcPr>
          <w:p>
            <w:r/>
            <w:r>
              <w:rPr>
                <w:color w:val="3A3835"/>
                <w:sz w:val="17"/>
              </w:rPr>
              <w:t>—</w:t>
            </w:r>
          </w:p>
        </w:tc>
      </w:tr>
    </w:tbl>
    <w:p>
      <w:pPr>
        <w:spacing w:after="120"/>
      </w:pPr>
    </w:p>
    <w:p>
      <w:pPr>
        <w:pStyle w:val="BIKH1"/>
      </w:pPr>
      <w:r>
        <w:t>Security Posture</w:t>
      </w:r>
    </w:p>
    <w:p>
      <w:pPr>
        <w:pStyle w:val="ListBullet"/>
      </w:pPr>
      <w:r>
        <w:t>Phase 1: no user data stored server-side; all forms routed through Formspree; AI API keys stored client-side only, never transmitted to BIK servers</w:t>
      </w:r>
    </w:p>
    <w:p>
      <w:pPr>
        <w:pStyle w:val="ListBullet"/>
      </w:pPr>
      <w:r>
        <w:t>All user input passes through HTML-entity escaping before rendering, mitigating XSS by design</w:t>
      </w:r>
    </w:p>
    <w:p>
      <w:pPr>
        <w:pStyle w:val="ListBullet"/>
      </w:pPr>
      <w:r>
        <w:t>Phase 2: Supabase Auth with bcrypt password hashing and Row Level Security on all tables</w:t>
      </w:r>
    </w:p>
    <w:p>
      <w:pPr>
        <w:pStyle w:val="ListBullet"/>
      </w:pPr>
      <w:r>
        <w:t>Phase 2+: CSP headers on hosting platform; no third-party scripts without audit</w:t>
      </w:r>
    </w:p>
    <w:p>
      <w:pPr>
        <w:pStyle w:val="BIKChapterLabel"/>
      </w:pPr>
      <w:r>
        <w:t>APPENDICES</w:t>
      </w:r>
    </w:p>
    <w:p>
      <w:pPr>
        <w:pStyle w:val="BIKChapterTitle"/>
        <w:pBdr>
          <w:bottom w:val="single" w:sz="18" w:space="8" w:color="D85A30"/>
        </w:pBdr>
      </w:pPr>
      <w:r>
        <w:t>32   Appendix C — Financial Model Assumptions Register</w:t>
      </w:r>
    </w:p>
    <w:p>
      <w:pPr>
        <w:pStyle w:val="BIKBody"/>
        <w:jc w:val="both"/>
      </w:pPr>
      <w:r>
        <w:t>Every illustrative assumption used in Part F is listed here with its source classification, so any reader can distinguish BIK's own published targets from this document's modelled extrapolations.</w:t>
      </w: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Ref</w:t>
            </w:r>
          </w:p>
        </w:tc>
        <w:tc>
          <w:tcPr>
            <w:tcW w:type="dxa" w:w="2239"/>
            <w:shd w:val="clear" w:color="auto" w:fill="252320"/>
            <w:tcMar>
              <w:top w:w="60" w:type="dxa"/>
              <w:bottom w:w="60" w:type="dxa"/>
              <w:left w:w="100" w:type="dxa"/>
              <w:right w:w="100" w:type="dxa"/>
            </w:tcMar>
            <w:vAlign w:val="center"/>
          </w:tcPr>
          <w:p>
            <w:r/>
            <w:r>
              <w:rPr>
                <w:b/>
                <w:color w:val="FFFFFF"/>
                <w:sz w:val="17"/>
              </w:rPr>
              <w:t>Assumption</w:t>
            </w:r>
          </w:p>
        </w:tc>
        <w:tc>
          <w:tcPr>
            <w:tcW w:type="dxa" w:w="2239"/>
            <w:shd w:val="clear" w:color="auto" w:fill="252320"/>
            <w:tcMar>
              <w:top w:w="60" w:type="dxa"/>
              <w:bottom w:w="60" w:type="dxa"/>
              <w:left w:w="100" w:type="dxa"/>
              <w:right w:w="100" w:type="dxa"/>
            </w:tcMar>
            <w:vAlign w:val="center"/>
          </w:tcPr>
          <w:p>
            <w:r/>
            <w:r>
              <w:rPr>
                <w:b/>
                <w:color w:val="FFFFFF"/>
                <w:sz w:val="17"/>
              </w:rPr>
              <w:t>Classification</w:t>
            </w:r>
          </w:p>
        </w:tc>
        <w:tc>
          <w:tcPr>
            <w:tcW w:type="dxa" w:w="2239"/>
            <w:shd w:val="clear" w:color="auto" w:fill="252320"/>
            <w:tcMar>
              <w:top w:w="60" w:type="dxa"/>
              <w:bottom w:w="60" w:type="dxa"/>
              <w:left w:w="100" w:type="dxa"/>
              <w:right w:w="100" w:type="dxa"/>
            </w:tcMar>
            <w:vAlign w:val="center"/>
          </w:tcPr>
          <w:p>
            <w:r/>
            <w:r>
              <w:rPr>
                <w:b/>
                <w:color w:val="FFFFFF"/>
                <w:sz w:val="17"/>
              </w:rPr>
              <w:t>Used in</w:t>
            </w:r>
          </w:p>
        </w:tc>
      </w:tr>
      <w:tr>
        <w:tc>
          <w:tcPr>
            <w:tcW w:type="dxa" w:w="2239"/>
            <w:tcMar>
              <w:top w:w="60" w:type="dxa"/>
              <w:bottom w:w="60" w:type="dxa"/>
              <w:left w:w="100" w:type="dxa"/>
              <w:right w:w="100" w:type="dxa"/>
            </w:tcMar>
            <w:vAlign w:val="center"/>
          </w:tcPr>
          <w:p>
            <w:r/>
            <w:r>
              <w:rPr>
                <w:color w:val="3A3835"/>
                <w:sz w:val="17"/>
              </w:rPr>
              <w:t>F1</w:t>
            </w:r>
          </w:p>
        </w:tc>
        <w:tc>
          <w:tcPr>
            <w:tcW w:type="dxa" w:w="2239"/>
            <w:tcMar>
              <w:top w:w="60" w:type="dxa"/>
              <w:bottom w:w="60" w:type="dxa"/>
              <w:left w:w="100" w:type="dxa"/>
              <w:right w:w="100" w:type="dxa"/>
            </w:tcMar>
            <w:vAlign w:val="center"/>
          </w:tcPr>
          <w:p>
            <w:r/>
            <w:r>
              <w:rPr>
                <w:color w:val="3A3835"/>
                <w:sz w:val="17"/>
              </w:rPr>
              <w:t>Monthly organic visitor growth to 8K–30K by Month 12</w:t>
            </w:r>
          </w:p>
        </w:tc>
        <w:tc>
          <w:tcPr>
            <w:tcW w:type="dxa" w:w="2239"/>
            <w:tcMar>
              <w:top w:w="60" w:type="dxa"/>
              <w:bottom w:w="60" w:type="dxa"/>
              <w:left w:w="100" w:type="dxa"/>
              <w:right w:w="100" w:type="dxa"/>
            </w:tcMar>
            <w:vAlign w:val="center"/>
          </w:tcPr>
          <w:p>
            <w:r/>
            <w:r>
              <w:rPr>
                <w:color w:val="3A3835"/>
                <w:sz w:val="17"/>
              </w:rPr>
              <w:t>Illustrative — planning scenario</w:t>
            </w:r>
          </w:p>
        </w:tc>
        <w:tc>
          <w:tcPr>
            <w:tcW w:type="dxa" w:w="2239"/>
            <w:tcMar>
              <w:top w:w="60" w:type="dxa"/>
              <w:bottom w:w="60" w:type="dxa"/>
              <w:left w:w="100" w:type="dxa"/>
              <w:right w:w="100" w:type="dxa"/>
            </w:tcMar>
            <w:vAlign w:val="center"/>
          </w:tcPr>
          <w:p>
            <w:r/>
            <w:r>
              <w:rPr>
                <w:color w:val="3A3835"/>
                <w:sz w:val="17"/>
              </w:rPr>
              <w:t>Ch. 19</w:t>
            </w:r>
          </w:p>
        </w:tc>
      </w:tr>
      <w:tr>
        <w:tc>
          <w:tcPr>
            <w:tcW w:type="dxa" w:w="2239"/>
            <w:tcMar>
              <w:top w:w="60" w:type="dxa"/>
              <w:bottom w:w="60" w:type="dxa"/>
              <w:left w:w="100" w:type="dxa"/>
              <w:right w:w="100" w:type="dxa"/>
            </w:tcMar>
            <w:vAlign w:val="center"/>
            <w:shd w:val="clear" w:color="auto" w:fill="F2EFEA"/>
          </w:tcPr>
          <w:p>
            <w:r/>
            <w:r>
              <w:rPr>
                <w:color w:val="3A3835"/>
                <w:sz w:val="17"/>
              </w:rPr>
              <w:t>F2</w:t>
            </w:r>
          </w:p>
        </w:tc>
        <w:tc>
          <w:tcPr>
            <w:tcW w:type="dxa" w:w="2239"/>
            <w:tcMar>
              <w:top w:w="60" w:type="dxa"/>
              <w:bottom w:w="60" w:type="dxa"/>
              <w:left w:w="100" w:type="dxa"/>
              <w:right w:w="100" w:type="dxa"/>
            </w:tcMar>
            <w:vAlign w:val="center"/>
            <w:shd w:val="clear" w:color="auto" w:fill="F2EFEA"/>
          </w:tcPr>
          <w:p>
            <w:r/>
            <w:r>
              <w:rPr>
                <w:color w:val="3A3835"/>
                <w:sz w:val="17"/>
              </w:rPr>
              <w:t>Visitor → email capture rate 4–8%</w:t>
            </w:r>
          </w:p>
        </w:tc>
        <w:tc>
          <w:tcPr>
            <w:tcW w:type="dxa" w:w="2239"/>
            <w:tcMar>
              <w:top w:w="60" w:type="dxa"/>
              <w:bottom w:w="60" w:type="dxa"/>
              <w:left w:w="100" w:type="dxa"/>
              <w:right w:w="100" w:type="dxa"/>
            </w:tcMar>
            <w:vAlign w:val="center"/>
            <w:shd w:val="clear" w:color="auto" w:fill="F2EFEA"/>
          </w:tcPr>
          <w:p>
            <w:r/>
            <w:r>
              <w:rPr>
                <w:color w:val="3A3835"/>
                <w:sz w:val="17"/>
              </w:rPr>
              <w:t>Illustrative — industry-typical range for content-led SaaS</w:t>
            </w:r>
          </w:p>
        </w:tc>
        <w:tc>
          <w:tcPr>
            <w:tcW w:type="dxa" w:w="2239"/>
            <w:tcMar>
              <w:top w:w="60" w:type="dxa"/>
              <w:bottom w:w="60" w:type="dxa"/>
              <w:left w:w="100" w:type="dxa"/>
              <w:right w:w="100" w:type="dxa"/>
            </w:tcMar>
            <w:vAlign w:val="center"/>
            <w:shd w:val="clear" w:color="auto" w:fill="F2EFEA"/>
          </w:tcPr>
          <w:p>
            <w:r/>
            <w:r>
              <w:rPr>
                <w:color w:val="3A3835"/>
                <w:sz w:val="17"/>
              </w:rPr>
              <w:t>Ch. 19</w:t>
            </w:r>
          </w:p>
        </w:tc>
      </w:tr>
      <w:tr>
        <w:tc>
          <w:tcPr>
            <w:tcW w:type="dxa" w:w="2239"/>
            <w:tcMar>
              <w:top w:w="60" w:type="dxa"/>
              <w:bottom w:w="60" w:type="dxa"/>
              <w:left w:w="100" w:type="dxa"/>
              <w:right w:w="100" w:type="dxa"/>
            </w:tcMar>
            <w:vAlign w:val="center"/>
          </w:tcPr>
          <w:p>
            <w:r/>
            <w:r>
              <w:rPr>
                <w:color w:val="3A3835"/>
                <w:sz w:val="17"/>
              </w:rPr>
              <w:t>F3</w:t>
            </w:r>
          </w:p>
        </w:tc>
        <w:tc>
          <w:tcPr>
            <w:tcW w:type="dxa" w:w="2239"/>
            <w:tcMar>
              <w:top w:w="60" w:type="dxa"/>
              <w:bottom w:w="60" w:type="dxa"/>
              <w:left w:w="100" w:type="dxa"/>
              <w:right w:w="100" w:type="dxa"/>
            </w:tcMar>
            <w:vAlign w:val="center"/>
          </w:tcPr>
          <w:p>
            <w:r/>
            <w:r>
              <w:rPr>
                <w:color w:val="3A3835"/>
                <w:sz w:val="17"/>
              </w:rPr>
              <w:t>Free → paid conversion 8–16% at 90 days</w:t>
            </w:r>
          </w:p>
        </w:tc>
        <w:tc>
          <w:tcPr>
            <w:tcW w:type="dxa" w:w="2239"/>
            <w:tcMar>
              <w:top w:w="60" w:type="dxa"/>
              <w:bottom w:w="60" w:type="dxa"/>
              <w:left w:w="100" w:type="dxa"/>
              <w:right w:w="100" w:type="dxa"/>
            </w:tcMar>
            <w:vAlign w:val="center"/>
          </w:tcPr>
          <w:p>
            <w:r/>
            <w:r>
              <w:rPr>
                <w:color w:val="3A3835"/>
                <w:sz w:val="17"/>
              </w:rPr>
              <w:t>Illustrative — planning scenario</w:t>
            </w:r>
          </w:p>
        </w:tc>
        <w:tc>
          <w:tcPr>
            <w:tcW w:type="dxa" w:w="2239"/>
            <w:tcMar>
              <w:top w:w="60" w:type="dxa"/>
              <w:bottom w:w="60" w:type="dxa"/>
              <w:left w:w="100" w:type="dxa"/>
              <w:right w:w="100" w:type="dxa"/>
            </w:tcMar>
            <w:vAlign w:val="center"/>
          </w:tcPr>
          <w:p>
            <w:r/>
            <w:r>
              <w:rPr>
                <w:color w:val="3A3835"/>
                <w:sz w:val="17"/>
              </w:rPr>
              <w:t>Ch. 19</w:t>
            </w:r>
          </w:p>
        </w:tc>
      </w:tr>
      <w:tr>
        <w:tc>
          <w:tcPr>
            <w:tcW w:type="dxa" w:w="2239"/>
            <w:tcMar>
              <w:top w:w="60" w:type="dxa"/>
              <w:bottom w:w="60" w:type="dxa"/>
              <w:left w:w="100" w:type="dxa"/>
              <w:right w:w="100" w:type="dxa"/>
            </w:tcMar>
            <w:vAlign w:val="center"/>
            <w:shd w:val="clear" w:color="auto" w:fill="F2EFEA"/>
          </w:tcPr>
          <w:p>
            <w:r/>
            <w:r>
              <w:rPr>
                <w:color w:val="3A3835"/>
                <w:sz w:val="17"/>
              </w:rPr>
              <w:t>F4</w:t>
            </w:r>
          </w:p>
        </w:tc>
        <w:tc>
          <w:tcPr>
            <w:tcW w:type="dxa" w:w="2239"/>
            <w:tcMar>
              <w:top w:w="60" w:type="dxa"/>
              <w:bottom w:w="60" w:type="dxa"/>
              <w:left w:w="100" w:type="dxa"/>
              <w:right w:w="100" w:type="dxa"/>
            </w:tcMar>
            <w:vAlign w:val="center"/>
            <w:shd w:val="clear" w:color="auto" w:fill="F2EFEA"/>
          </w:tcPr>
          <w:p>
            <w:r/>
            <w:r>
              <w:rPr>
                <w:color w:val="3A3835"/>
                <w:sz w:val="17"/>
              </w:rPr>
              <w:t>Blended CAC $35–65</w:t>
            </w:r>
          </w:p>
        </w:tc>
        <w:tc>
          <w:tcPr>
            <w:tcW w:type="dxa" w:w="2239"/>
            <w:tcMar>
              <w:top w:w="60" w:type="dxa"/>
              <w:bottom w:w="60" w:type="dxa"/>
              <w:left w:w="100" w:type="dxa"/>
              <w:right w:w="100" w:type="dxa"/>
            </w:tcMar>
            <w:vAlign w:val="center"/>
            <w:shd w:val="clear" w:color="auto" w:fill="F2EFEA"/>
          </w:tcPr>
          <w:p>
            <w:r/>
            <w:r>
              <w:rPr>
                <w:color w:val="3A3835"/>
                <w:sz w:val="17"/>
              </w:rPr>
              <w:t>Illustrative — modelled on near-zero-cost organic channel mix (Ch. 14)</w:t>
            </w:r>
          </w:p>
        </w:tc>
        <w:tc>
          <w:tcPr>
            <w:tcW w:type="dxa" w:w="2239"/>
            <w:tcMar>
              <w:top w:w="60" w:type="dxa"/>
              <w:bottom w:w="60" w:type="dxa"/>
              <w:left w:w="100" w:type="dxa"/>
              <w:right w:w="100" w:type="dxa"/>
            </w:tcMar>
            <w:vAlign w:val="center"/>
            <w:shd w:val="clear" w:color="auto" w:fill="F2EFEA"/>
          </w:tcPr>
          <w:p>
            <w:r/>
            <w:r>
              <w:rPr>
                <w:color w:val="3A3835"/>
                <w:sz w:val="17"/>
              </w:rPr>
              <w:t>Ch. 19</w:t>
            </w:r>
          </w:p>
        </w:tc>
      </w:tr>
      <w:tr>
        <w:tc>
          <w:tcPr>
            <w:tcW w:type="dxa" w:w="2239"/>
            <w:tcMar>
              <w:top w:w="60" w:type="dxa"/>
              <w:bottom w:w="60" w:type="dxa"/>
              <w:left w:w="100" w:type="dxa"/>
              <w:right w:w="100" w:type="dxa"/>
            </w:tcMar>
            <w:vAlign w:val="center"/>
          </w:tcPr>
          <w:p>
            <w:r/>
            <w:r>
              <w:rPr>
                <w:color w:val="3A3835"/>
                <w:sz w:val="17"/>
              </w:rPr>
              <w:t>F5</w:t>
            </w:r>
          </w:p>
        </w:tc>
        <w:tc>
          <w:tcPr>
            <w:tcW w:type="dxa" w:w="2239"/>
            <w:tcMar>
              <w:top w:w="60" w:type="dxa"/>
              <w:bottom w:w="60" w:type="dxa"/>
              <w:left w:w="100" w:type="dxa"/>
              <w:right w:w="100" w:type="dxa"/>
            </w:tcMar>
            <w:vAlign w:val="center"/>
          </w:tcPr>
          <w:p>
            <w:r/>
            <w:r>
              <w:rPr>
                <w:color w:val="3A3835"/>
                <w:sz w:val="17"/>
              </w:rPr>
              <w:t>Monthly logo churn 2.4–4.5%</w:t>
            </w:r>
          </w:p>
        </w:tc>
        <w:tc>
          <w:tcPr>
            <w:tcW w:type="dxa" w:w="2239"/>
            <w:tcMar>
              <w:top w:w="60" w:type="dxa"/>
              <w:bottom w:w="60" w:type="dxa"/>
              <w:left w:w="100" w:type="dxa"/>
              <w:right w:w="100" w:type="dxa"/>
            </w:tcMar>
            <w:vAlign w:val="center"/>
          </w:tcPr>
          <w:p>
            <w:r/>
            <w:r>
              <w:rPr>
                <w:color w:val="3A3835"/>
                <w:sz w:val="17"/>
              </w:rPr>
              <w:t>Illustrative — stress-tested range</w:t>
            </w:r>
          </w:p>
        </w:tc>
        <w:tc>
          <w:tcPr>
            <w:tcW w:type="dxa" w:w="2239"/>
            <w:tcMar>
              <w:top w:w="60" w:type="dxa"/>
              <w:bottom w:w="60" w:type="dxa"/>
              <w:left w:w="100" w:type="dxa"/>
              <w:right w:w="100" w:type="dxa"/>
            </w:tcMar>
            <w:vAlign w:val="center"/>
          </w:tcPr>
          <w:p>
            <w:r/>
            <w:r>
              <w:rPr>
                <w:color w:val="3A3835"/>
                <w:sz w:val="17"/>
              </w:rPr>
              <w:t>Ch. 19–20</w:t>
            </w:r>
          </w:p>
        </w:tc>
      </w:tr>
      <w:tr>
        <w:tc>
          <w:tcPr>
            <w:tcW w:type="dxa" w:w="2239"/>
            <w:tcMar>
              <w:top w:w="60" w:type="dxa"/>
              <w:bottom w:w="60" w:type="dxa"/>
              <w:left w:w="100" w:type="dxa"/>
              <w:right w:w="100" w:type="dxa"/>
            </w:tcMar>
            <w:vAlign w:val="center"/>
            <w:shd w:val="clear" w:color="auto" w:fill="F2EFEA"/>
          </w:tcPr>
          <w:p>
            <w:r/>
            <w:r>
              <w:rPr>
                <w:color w:val="3A3835"/>
                <w:sz w:val="17"/>
              </w:rPr>
              <w:t>F6</w:t>
            </w:r>
          </w:p>
        </w:tc>
        <w:tc>
          <w:tcPr>
            <w:tcW w:type="dxa" w:w="2239"/>
            <w:tcMar>
              <w:top w:w="60" w:type="dxa"/>
              <w:bottom w:w="60" w:type="dxa"/>
              <w:left w:w="100" w:type="dxa"/>
              <w:right w:w="100" w:type="dxa"/>
            </w:tcMar>
            <w:vAlign w:val="center"/>
            <w:shd w:val="clear" w:color="auto" w:fill="F2EFEA"/>
          </w:tcPr>
          <w:p>
            <w:r/>
            <w:r>
              <w:rPr>
                <w:color w:val="3A3835"/>
                <w:sz w:val="17"/>
              </w:rPr>
              <w:t>Phase 1–4 subscriber and MRR targets (100 / 500 / 1,500 / 5,000+ subscribers; $2K / $15K / $50K / $200K+ MRR)</w:t>
            </w:r>
          </w:p>
        </w:tc>
        <w:tc>
          <w:tcPr>
            <w:tcW w:type="dxa" w:w="2239"/>
            <w:tcMar>
              <w:top w:w="60" w:type="dxa"/>
              <w:bottom w:w="60" w:type="dxa"/>
              <w:left w:w="100" w:type="dxa"/>
              <w:right w:w="100" w:type="dxa"/>
            </w:tcMar>
            <w:vAlign w:val="center"/>
            <w:shd w:val="clear" w:color="auto" w:fill="F2EFEA"/>
          </w:tcPr>
          <w:p>
            <w:r/>
            <w:r>
              <w:rPr>
                <w:color w:val="3A3835"/>
                <w:sz w:val="17"/>
              </w:rPr>
              <w:t>Sourced directly — BIK's own published targets</w:t>
            </w:r>
          </w:p>
        </w:tc>
        <w:tc>
          <w:tcPr>
            <w:tcW w:type="dxa" w:w="2239"/>
            <w:tcMar>
              <w:top w:w="60" w:type="dxa"/>
              <w:bottom w:w="60" w:type="dxa"/>
              <w:left w:w="100" w:type="dxa"/>
              <w:right w:w="100" w:type="dxa"/>
            </w:tcMar>
            <w:vAlign w:val="center"/>
            <w:shd w:val="clear" w:color="auto" w:fill="F2EFEA"/>
          </w:tcPr>
          <w:p>
            <w:r/>
            <w:r>
              <w:rPr>
                <w:color w:val="3A3835"/>
                <w:sz w:val="17"/>
              </w:rPr>
              <w:t>docs/pricing-strategy.md, docs/product-roadmap.md</w:t>
            </w:r>
          </w:p>
        </w:tc>
      </w:tr>
      <w:tr>
        <w:tc>
          <w:tcPr>
            <w:tcW w:type="dxa" w:w="2239"/>
            <w:tcMar>
              <w:top w:w="60" w:type="dxa"/>
              <w:bottom w:w="60" w:type="dxa"/>
              <w:left w:w="100" w:type="dxa"/>
              <w:right w:w="100" w:type="dxa"/>
            </w:tcMar>
            <w:vAlign w:val="center"/>
          </w:tcPr>
          <w:p>
            <w:r/>
            <w:r>
              <w:rPr>
                <w:color w:val="3A3835"/>
                <w:sz w:val="17"/>
              </w:rPr>
              <w:t>F7</w:t>
            </w:r>
          </w:p>
        </w:tc>
        <w:tc>
          <w:tcPr>
            <w:tcW w:type="dxa" w:w="2239"/>
            <w:tcMar>
              <w:top w:w="60" w:type="dxa"/>
              <w:bottom w:w="60" w:type="dxa"/>
              <w:left w:w="100" w:type="dxa"/>
              <w:right w:w="100" w:type="dxa"/>
            </w:tcMar>
            <w:vAlign w:val="center"/>
          </w:tcPr>
          <w:p>
            <w:r/>
            <w:r>
              <w:rPr>
                <w:color w:val="3A3835"/>
                <w:sz w:val="17"/>
              </w:rPr>
              <w:t>Gross margin ~88–89%</w:t>
            </w:r>
          </w:p>
        </w:tc>
        <w:tc>
          <w:tcPr>
            <w:tcW w:type="dxa" w:w="2239"/>
            <w:tcMar>
              <w:top w:w="60" w:type="dxa"/>
              <w:bottom w:w="60" w:type="dxa"/>
              <w:left w:w="100" w:type="dxa"/>
              <w:right w:w="100" w:type="dxa"/>
            </w:tcMar>
            <w:vAlign w:val="center"/>
          </w:tcPr>
          <w:p>
            <w:r/>
            <w:r>
              <w:rPr>
                <w:color w:val="3A3835"/>
                <w:sz w:val="17"/>
              </w:rPr>
              <w:t>Illustrative — typical vertical SaaS benchmark applied to BIK's cost structure</w:t>
            </w:r>
          </w:p>
        </w:tc>
        <w:tc>
          <w:tcPr>
            <w:tcW w:type="dxa" w:w="2239"/>
            <w:tcMar>
              <w:top w:w="60" w:type="dxa"/>
              <w:bottom w:w="60" w:type="dxa"/>
              <w:left w:w="100" w:type="dxa"/>
              <w:right w:w="100" w:type="dxa"/>
            </w:tcMar>
            <w:vAlign w:val="center"/>
          </w:tcPr>
          <w:p>
            <w:r/>
            <w:r>
              <w:rPr>
                <w:color w:val="3A3835"/>
                <w:sz w:val="17"/>
              </w:rPr>
              <w:t>Ch. 20</w:t>
            </w:r>
          </w:p>
        </w:tc>
      </w:tr>
      <w:tr>
        <w:tc>
          <w:tcPr>
            <w:tcW w:type="dxa" w:w="2239"/>
            <w:tcMar>
              <w:top w:w="60" w:type="dxa"/>
              <w:bottom w:w="60" w:type="dxa"/>
              <w:left w:w="100" w:type="dxa"/>
              <w:right w:w="100" w:type="dxa"/>
            </w:tcMar>
            <w:vAlign w:val="center"/>
            <w:shd w:val="clear" w:color="auto" w:fill="F2EFEA"/>
          </w:tcPr>
          <w:p>
            <w:r/>
            <w:r>
              <w:rPr>
                <w:color w:val="3A3835"/>
                <w:sz w:val="17"/>
              </w:rPr>
              <w:t>F8</w:t>
            </w:r>
          </w:p>
        </w:tc>
        <w:tc>
          <w:tcPr>
            <w:tcW w:type="dxa" w:w="2239"/>
            <w:tcMar>
              <w:top w:w="60" w:type="dxa"/>
              <w:bottom w:w="60" w:type="dxa"/>
              <w:left w:w="100" w:type="dxa"/>
              <w:right w:w="100" w:type="dxa"/>
            </w:tcMar>
            <w:vAlign w:val="center"/>
            <w:shd w:val="clear" w:color="auto" w:fill="F2EFEA"/>
          </w:tcPr>
          <w:p>
            <w:r/>
            <w:r>
              <w:rPr>
                <w:color w:val="3A3835"/>
                <w:sz w:val="17"/>
              </w:rPr>
              <w:t>Year 4–5 MRR extrapolation via decelerating S-curve</w:t>
            </w:r>
          </w:p>
        </w:tc>
        <w:tc>
          <w:tcPr>
            <w:tcW w:type="dxa" w:w="2239"/>
            <w:tcMar>
              <w:top w:w="60" w:type="dxa"/>
              <w:bottom w:w="60" w:type="dxa"/>
              <w:left w:w="100" w:type="dxa"/>
              <w:right w:w="100" w:type="dxa"/>
            </w:tcMar>
            <w:vAlign w:val="center"/>
            <w:shd w:val="clear" w:color="auto" w:fill="F2EFEA"/>
          </w:tcPr>
          <w:p>
            <w:r/>
            <w:r>
              <w:rPr>
                <w:color w:val="3A3835"/>
                <w:sz w:val="17"/>
              </w:rPr>
              <w:t>Illustrative — model extrapolation beyond BIK's own published 36-month targets</w:t>
            </w:r>
          </w:p>
        </w:tc>
        <w:tc>
          <w:tcPr>
            <w:tcW w:type="dxa" w:w="2239"/>
            <w:tcMar>
              <w:top w:w="60" w:type="dxa"/>
              <w:bottom w:w="60" w:type="dxa"/>
              <w:left w:w="100" w:type="dxa"/>
              <w:right w:w="100" w:type="dxa"/>
            </w:tcMar>
            <w:vAlign w:val="center"/>
            <w:shd w:val="clear" w:color="auto" w:fill="F2EFEA"/>
          </w:tcPr>
          <w:p>
            <w:r/>
            <w:r>
              <w:rPr>
                <w:color w:val="3A3835"/>
                <w:sz w:val="17"/>
              </w:rPr>
              <w:t>Ch. 20</w:t>
            </w:r>
          </w:p>
        </w:tc>
      </w:tr>
      <w:tr>
        <w:tc>
          <w:tcPr>
            <w:tcW w:type="dxa" w:w="2239"/>
            <w:tcMar>
              <w:top w:w="60" w:type="dxa"/>
              <w:bottom w:w="60" w:type="dxa"/>
              <w:left w:w="100" w:type="dxa"/>
              <w:right w:w="100" w:type="dxa"/>
            </w:tcMar>
            <w:vAlign w:val="center"/>
          </w:tcPr>
          <w:p>
            <w:r/>
            <w:r>
              <w:rPr>
                <w:color w:val="3A3835"/>
                <w:sz w:val="17"/>
              </w:rPr>
              <w:t>F9</w:t>
            </w:r>
          </w:p>
        </w:tc>
        <w:tc>
          <w:tcPr>
            <w:tcW w:type="dxa" w:w="2239"/>
            <w:tcMar>
              <w:top w:w="60" w:type="dxa"/>
              <w:bottom w:w="60" w:type="dxa"/>
              <w:left w:w="100" w:type="dxa"/>
              <w:right w:w="100" w:type="dxa"/>
            </w:tcMar>
            <w:vAlign w:val="center"/>
          </w:tcPr>
          <w:p>
            <w:r/>
            <w:r>
              <w:rPr>
                <w:color w:val="3A3835"/>
                <w:sz w:val="17"/>
              </w:rPr>
              <w:t>TAM $360B+</w:t>
            </w:r>
          </w:p>
        </w:tc>
        <w:tc>
          <w:tcPr>
            <w:tcW w:type="dxa" w:w="2239"/>
            <w:tcMar>
              <w:top w:w="60" w:type="dxa"/>
              <w:bottom w:w="60" w:type="dxa"/>
              <w:left w:w="100" w:type="dxa"/>
              <w:right w:w="100" w:type="dxa"/>
            </w:tcMar>
            <w:vAlign w:val="center"/>
          </w:tcPr>
          <w:p>
            <w:r/>
            <w:r>
              <w:rPr>
                <w:color w:val="3A3835"/>
                <w:sz w:val="17"/>
              </w:rPr>
              <w:t>Sourced directly — docs/product-vision.md</w:t>
            </w:r>
          </w:p>
        </w:tc>
        <w:tc>
          <w:tcPr>
            <w:tcW w:type="dxa" w:w="2239"/>
            <w:tcMar>
              <w:top w:w="60" w:type="dxa"/>
              <w:bottom w:w="60" w:type="dxa"/>
              <w:left w:w="100" w:type="dxa"/>
              <w:right w:w="100" w:type="dxa"/>
            </w:tcMar>
            <w:vAlign w:val="center"/>
          </w:tcPr>
          <w:p>
            <w:r/>
            <w:r>
              <w:rPr>
                <w:color w:val="3A3835"/>
                <w:sz w:val="17"/>
              </w:rPr>
              <w:t>Ch. 1, 16</w:t>
            </w:r>
          </w:p>
        </w:tc>
      </w:tr>
      <w:tr>
        <w:tc>
          <w:tcPr>
            <w:tcW w:type="dxa" w:w="2239"/>
            <w:tcMar>
              <w:top w:w="60" w:type="dxa"/>
              <w:bottom w:w="60" w:type="dxa"/>
              <w:left w:w="100" w:type="dxa"/>
              <w:right w:w="100" w:type="dxa"/>
            </w:tcMar>
            <w:vAlign w:val="center"/>
            <w:shd w:val="clear" w:color="auto" w:fill="F2EFEA"/>
          </w:tcPr>
          <w:p>
            <w:r/>
            <w:r>
              <w:rPr>
                <w:color w:val="3A3835"/>
                <w:sz w:val="17"/>
              </w:rPr>
              <w:t>F10</w:t>
            </w:r>
          </w:p>
        </w:tc>
        <w:tc>
          <w:tcPr>
            <w:tcW w:type="dxa" w:w="2239"/>
            <w:tcMar>
              <w:top w:w="60" w:type="dxa"/>
              <w:bottom w:w="60" w:type="dxa"/>
              <w:left w:w="100" w:type="dxa"/>
              <w:right w:w="100" w:type="dxa"/>
            </w:tcMar>
            <w:vAlign w:val="center"/>
            <w:shd w:val="clear" w:color="auto" w:fill="F2EFEA"/>
          </w:tcPr>
          <w:p>
            <w:r/>
            <w:r>
              <w:rPr>
                <w:color w:val="3A3835"/>
                <w:sz w:val="17"/>
              </w:rPr>
              <w:t>SAM ~$1.8B, SOM ~$91M</w:t>
            </w:r>
          </w:p>
        </w:tc>
        <w:tc>
          <w:tcPr>
            <w:tcW w:type="dxa" w:w="2239"/>
            <w:tcMar>
              <w:top w:w="60" w:type="dxa"/>
              <w:bottom w:w="60" w:type="dxa"/>
              <w:left w:w="100" w:type="dxa"/>
              <w:right w:w="100" w:type="dxa"/>
            </w:tcMar>
            <w:vAlign w:val="center"/>
            <w:shd w:val="clear" w:color="auto" w:fill="F2EFEA"/>
          </w:tcPr>
          <w:p>
            <w:r/>
            <w:r>
              <w:rPr>
                <w:color w:val="3A3835"/>
                <w:sz w:val="17"/>
              </w:rPr>
              <w:t>Illustrative — modelled sizing, not third-party market research</w:t>
            </w:r>
          </w:p>
        </w:tc>
        <w:tc>
          <w:tcPr>
            <w:tcW w:type="dxa" w:w="2239"/>
            <w:tcMar>
              <w:top w:w="60" w:type="dxa"/>
              <w:bottom w:w="60" w:type="dxa"/>
              <w:left w:w="100" w:type="dxa"/>
              <w:right w:w="100" w:type="dxa"/>
            </w:tcMar>
            <w:vAlign w:val="center"/>
            <w:shd w:val="clear" w:color="auto" w:fill="F2EFEA"/>
          </w:tcPr>
          <w:p>
            <w:r/>
            <w:r>
              <w:rPr>
                <w:color w:val="3A3835"/>
                <w:sz w:val="17"/>
              </w:rPr>
              <w:t>Ch. 16</w:t>
            </w:r>
          </w:p>
        </w:tc>
      </w:tr>
      <w:tr>
        <w:tc>
          <w:tcPr>
            <w:tcW w:type="dxa" w:w="2239"/>
            <w:tcMar>
              <w:top w:w="60" w:type="dxa"/>
              <w:bottom w:w="60" w:type="dxa"/>
              <w:left w:w="100" w:type="dxa"/>
              <w:right w:w="100" w:type="dxa"/>
            </w:tcMar>
            <w:vAlign w:val="center"/>
          </w:tcPr>
          <w:p>
            <w:r/>
            <w:r>
              <w:rPr>
                <w:color w:val="3A3835"/>
                <w:sz w:val="17"/>
              </w:rPr>
              <w:t>F11</w:t>
            </w:r>
          </w:p>
        </w:tc>
        <w:tc>
          <w:tcPr>
            <w:tcW w:type="dxa" w:w="2239"/>
            <w:tcMar>
              <w:top w:w="60" w:type="dxa"/>
              <w:bottom w:w="60" w:type="dxa"/>
              <w:left w:w="100" w:type="dxa"/>
              <w:right w:w="100" w:type="dxa"/>
            </w:tcMar>
            <w:vAlign w:val="center"/>
          </w:tcPr>
          <w:p>
            <w:r/>
            <w:r>
              <w:rPr>
                <w:color w:val="3A3835"/>
                <w:sz w:val="17"/>
              </w:rPr>
              <w:t>Illustrative valuation multiples (4x–12x ARR by milestone)</w:t>
            </w:r>
          </w:p>
        </w:tc>
        <w:tc>
          <w:tcPr>
            <w:tcW w:type="dxa" w:w="2239"/>
            <w:tcMar>
              <w:top w:w="60" w:type="dxa"/>
              <w:bottom w:w="60" w:type="dxa"/>
              <w:left w:w="100" w:type="dxa"/>
              <w:right w:w="100" w:type="dxa"/>
            </w:tcMar>
            <w:vAlign w:val="center"/>
          </w:tcPr>
          <w:p>
            <w:r/>
            <w:r>
              <w:rPr>
                <w:color w:val="3A3835"/>
                <w:sz w:val="17"/>
              </w:rPr>
              <w:t>Illustrative — directional range only, not a valuation or fairness opinion</w:t>
            </w:r>
          </w:p>
        </w:tc>
        <w:tc>
          <w:tcPr>
            <w:tcW w:type="dxa" w:w="2239"/>
            <w:tcMar>
              <w:top w:w="60" w:type="dxa"/>
              <w:bottom w:w="60" w:type="dxa"/>
              <w:left w:w="100" w:type="dxa"/>
              <w:right w:w="100" w:type="dxa"/>
            </w:tcMar>
            <w:vAlign w:val="center"/>
          </w:tcPr>
          <w:p>
            <w:r/>
            <w:r>
              <w:rPr>
                <w:color w:val="3A3835"/>
                <w:sz w:val="17"/>
              </w:rPr>
              <w:t>Ch. 21</w:t>
            </w:r>
          </w:p>
        </w:tc>
      </w:tr>
    </w:tbl>
    <w:p>
      <w:pPr>
        <w:spacing w:after="120"/>
      </w:pP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STANDING DISCLOSURE</w:t>
            </w:r>
          </w:p>
          <w:p>
            <w:r>
              <w:rPr>
                <w:color w:val="FFFFFF"/>
                <w:sz w:val="20"/>
              </w:rPr>
              <w:t>This assumptions register should be read alongside every table in Part F. Where this document says "illustrative," it means exactly that — a scenario built for planning and stress-testing purposes, not a forecast to be relied upon without independent verification.</w:t>
            </w:r>
          </w:p>
        </w:tc>
      </w:tr>
    </w:tbl>
    <w:p>
      <w:pPr>
        <w:spacing w:after="80"/>
      </w:pPr>
    </w:p>
    <w:p>
      <w:pPr>
        <w:pStyle w:val="BIKChapterLabel"/>
      </w:pPr>
      <w:r>
        <w:t>APPENDICES</w:t>
      </w:r>
    </w:p>
    <w:p>
      <w:pPr>
        <w:pStyle w:val="BIKChapterTitle"/>
        <w:pBdr>
          <w:bottom w:val="single" w:sz="18" w:space="8" w:color="D85A30"/>
        </w:pBdr>
      </w:pPr>
      <w:r>
        <w:t>33   Appendix D — Glossary of Terms</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Term</w:t>
            </w:r>
          </w:p>
        </w:tc>
        <w:tc>
          <w:tcPr>
            <w:tcW w:type="dxa" w:w="4479"/>
            <w:shd w:val="clear" w:color="auto" w:fill="252320"/>
            <w:tcMar>
              <w:top w:w="60" w:type="dxa"/>
              <w:bottom w:w="60" w:type="dxa"/>
              <w:left w:w="100" w:type="dxa"/>
              <w:right w:w="100" w:type="dxa"/>
            </w:tcMar>
            <w:vAlign w:val="center"/>
          </w:tcPr>
          <w:p>
            <w:r/>
            <w:r>
              <w:rPr>
                <w:b/>
                <w:color w:val="FFFFFF"/>
                <w:sz w:val="17"/>
              </w:rPr>
              <w:t>Meaning</w:t>
            </w:r>
          </w:p>
        </w:tc>
      </w:tr>
      <w:tr>
        <w:tc>
          <w:tcPr>
            <w:tcW w:type="dxa" w:w="4479"/>
            <w:tcMar>
              <w:top w:w="60" w:type="dxa"/>
              <w:bottom w:w="60" w:type="dxa"/>
              <w:left w:w="100" w:type="dxa"/>
              <w:right w:w="100" w:type="dxa"/>
            </w:tcMar>
            <w:vAlign w:val="center"/>
          </w:tcPr>
          <w:p>
            <w:r/>
            <w:r>
              <w:rPr>
                <w:color w:val="3A3835"/>
                <w:sz w:val="17"/>
              </w:rPr>
              <w:t>ARR / MRR</w:t>
            </w:r>
          </w:p>
        </w:tc>
        <w:tc>
          <w:tcPr>
            <w:tcW w:type="dxa" w:w="4479"/>
            <w:tcMar>
              <w:top w:w="60" w:type="dxa"/>
              <w:bottom w:w="60" w:type="dxa"/>
              <w:left w:w="100" w:type="dxa"/>
              <w:right w:w="100" w:type="dxa"/>
            </w:tcMar>
            <w:vAlign w:val="center"/>
          </w:tcPr>
          <w:p>
            <w:r/>
            <w:r>
              <w:rPr>
                <w:color w:val="3A3835"/>
                <w:sz w:val="17"/>
              </w:rPr>
              <w:t>Annual / Monthly Recurring Revenue</w:t>
            </w:r>
          </w:p>
        </w:tc>
      </w:tr>
      <w:tr>
        <w:tc>
          <w:tcPr>
            <w:tcW w:type="dxa" w:w="4479"/>
            <w:tcMar>
              <w:top w:w="60" w:type="dxa"/>
              <w:bottom w:w="60" w:type="dxa"/>
              <w:left w:w="100" w:type="dxa"/>
              <w:right w:w="100" w:type="dxa"/>
            </w:tcMar>
            <w:vAlign w:val="center"/>
            <w:shd w:val="clear" w:color="auto" w:fill="F2EFEA"/>
          </w:tcPr>
          <w:p>
            <w:r/>
            <w:r>
              <w:rPr>
                <w:color w:val="3A3835"/>
                <w:sz w:val="17"/>
              </w:rPr>
              <w:t>BIF Act</w:t>
            </w:r>
          </w:p>
        </w:tc>
        <w:tc>
          <w:tcPr>
            <w:tcW w:type="dxa" w:w="4479"/>
            <w:tcMar>
              <w:top w:w="60" w:type="dxa"/>
              <w:bottom w:w="60" w:type="dxa"/>
              <w:left w:w="100" w:type="dxa"/>
              <w:right w:w="100" w:type="dxa"/>
            </w:tcMar>
            <w:vAlign w:val="center"/>
            <w:shd w:val="clear" w:color="auto" w:fill="F2EFEA"/>
          </w:tcPr>
          <w:p>
            <w:r/>
            <w:r>
              <w:rPr>
                <w:color w:val="3A3835"/>
                <w:sz w:val="17"/>
              </w:rPr>
              <w:t>Building Industry Fairness (Security of Payment) Act 2017 (Qld)</w:t>
            </w:r>
          </w:p>
        </w:tc>
      </w:tr>
      <w:tr>
        <w:tc>
          <w:tcPr>
            <w:tcW w:type="dxa" w:w="4479"/>
            <w:tcMar>
              <w:top w:w="60" w:type="dxa"/>
              <w:bottom w:w="60" w:type="dxa"/>
              <w:left w:w="100" w:type="dxa"/>
              <w:right w:w="100" w:type="dxa"/>
            </w:tcMar>
            <w:vAlign w:val="center"/>
          </w:tcPr>
          <w:p>
            <w:r/>
            <w:r>
              <w:rPr>
                <w:color w:val="3A3835"/>
                <w:sz w:val="17"/>
              </w:rPr>
              <w:t>CAC</w:t>
            </w:r>
          </w:p>
        </w:tc>
        <w:tc>
          <w:tcPr>
            <w:tcW w:type="dxa" w:w="4479"/>
            <w:tcMar>
              <w:top w:w="60" w:type="dxa"/>
              <w:bottom w:w="60" w:type="dxa"/>
              <w:left w:w="100" w:type="dxa"/>
              <w:right w:w="100" w:type="dxa"/>
            </w:tcMar>
            <w:vAlign w:val="center"/>
          </w:tcPr>
          <w:p>
            <w:r/>
            <w:r>
              <w:rPr>
                <w:color w:val="3A3835"/>
                <w:sz w:val="17"/>
              </w:rPr>
              <w:t>Customer Acquisition Cost</w:t>
            </w:r>
          </w:p>
        </w:tc>
      </w:tr>
      <w:tr>
        <w:tc>
          <w:tcPr>
            <w:tcW w:type="dxa" w:w="4479"/>
            <w:tcMar>
              <w:top w:w="60" w:type="dxa"/>
              <w:bottom w:w="60" w:type="dxa"/>
              <w:left w:w="100" w:type="dxa"/>
              <w:right w:w="100" w:type="dxa"/>
            </w:tcMar>
            <w:vAlign w:val="center"/>
            <w:shd w:val="clear" w:color="auto" w:fill="F2EFEA"/>
          </w:tcPr>
          <w:p>
            <w:r/>
            <w:r>
              <w:rPr>
                <w:color w:val="3A3835"/>
                <w:sz w:val="17"/>
              </w:rPr>
              <w:t>DLP</w:t>
            </w:r>
          </w:p>
        </w:tc>
        <w:tc>
          <w:tcPr>
            <w:tcW w:type="dxa" w:w="4479"/>
            <w:tcMar>
              <w:top w:w="60" w:type="dxa"/>
              <w:bottom w:w="60" w:type="dxa"/>
              <w:left w:w="100" w:type="dxa"/>
              <w:right w:w="100" w:type="dxa"/>
            </w:tcMar>
            <w:vAlign w:val="center"/>
            <w:shd w:val="clear" w:color="auto" w:fill="F2EFEA"/>
          </w:tcPr>
          <w:p>
            <w:r/>
            <w:r>
              <w:rPr>
                <w:color w:val="3A3835"/>
                <w:sz w:val="17"/>
              </w:rPr>
              <w:t>Defects Liability Period</w:t>
            </w:r>
          </w:p>
        </w:tc>
      </w:tr>
      <w:tr>
        <w:tc>
          <w:tcPr>
            <w:tcW w:type="dxa" w:w="4479"/>
            <w:tcMar>
              <w:top w:w="60" w:type="dxa"/>
              <w:bottom w:w="60" w:type="dxa"/>
              <w:left w:w="100" w:type="dxa"/>
              <w:right w:w="100" w:type="dxa"/>
            </w:tcMar>
            <w:vAlign w:val="center"/>
          </w:tcPr>
          <w:p>
            <w:r/>
            <w:r>
              <w:rPr>
                <w:color w:val="3A3835"/>
                <w:sz w:val="17"/>
              </w:rPr>
              <w:t>EOT</w:t>
            </w:r>
          </w:p>
        </w:tc>
        <w:tc>
          <w:tcPr>
            <w:tcW w:type="dxa" w:w="4479"/>
            <w:tcMar>
              <w:top w:w="60" w:type="dxa"/>
              <w:bottom w:w="60" w:type="dxa"/>
              <w:left w:w="100" w:type="dxa"/>
              <w:right w:w="100" w:type="dxa"/>
            </w:tcMar>
            <w:vAlign w:val="center"/>
          </w:tcPr>
          <w:p>
            <w:r/>
            <w:r>
              <w:rPr>
                <w:color w:val="3A3835"/>
                <w:sz w:val="17"/>
              </w:rPr>
              <w:t>Extension of Time (contractual claim)</w:t>
            </w:r>
          </w:p>
        </w:tc>
      </w:tr>
      <w:tr>
        <w:tc>
          <w:tcPr>
            <w:tcW w:type="dxa" w:w="4479"/>
            <w:tcMar>
              <w:top w:w="60" w:type="dxa"/>
              <w:bottom w:w="60" w:type="dxa"/>
              <w:left w:w="100" w:type="dxa"/>
              <w:right w:w="100" w:type="dxa"/>
            </w:tcMar>
            <w:vAlign w:val="center"/>
            <w:shd w:val="clear" w:color="auto" w:fill="F2EFEA"/>
          </w:tcPr>
          <w:p>
            <w:r/>
            <w:r>
              <w:rPr>
                <w:color w:val="3A3835"/>
                <w:sz w:val="17"/>
              </w:rPr>
              <w:t>HRPW</w:t>
            </w:r>
          </w:p>
        </w:tc>
        <w:tc>
          <w:tcPr>
            <w:tcW w:type="dxa" w:w="4479"/>
            <w:tcMar>
              <w:top w:w="60" w:type="dxa"/>
              <w:bottom w:w="60" w:type="dxa"/>
              <w:left w:w="100" w:type="dxa"/>
              <w:right w:w="100" w:type="dxa"/>
            </w:tcMar>
            <w:vAlign w:val="center"/>
            <w:shd w:val="clear" w:color="auto" w:fill="F2EFEA"/>
          </w:tcPr>
          <w:p>
            <w:r/>
            <w:r>
              <w:rPr>
                <w:color w:val="3A3835"/>
                <w:sz w:val="17"/>
              </w:rPr>
              <w:t>High-Risk Construction Work (WHS Regulation, division 6)</w:t>
            </w:r>
          </w:p>
        </w:tc>
      </w:tr>
      <w:tr>
        <w:tc>
          <w:tcPr>
            <w:tcW w:type="dxa" w:w="4479"/>
            <w:tcMar>
              <w:top w:w="60" w:type="dxa"/>
              <w:bottom w:w="60" w:type="dxa"/>
              <w:left w:w="100" w:type="dxa"/>
              <w:right w:w="100" w:type="dxa"/>
            </w:tcMar>
            <w:vAlign w:val="center"/>
          </w:tcPr>
          <w:p>
            <w:r/>
            <w:r>
              <w:rPr>
                <w:color w:val="3A3835"/>
                <w:sz w:val="17"/>
              </w:rPr>
              <w:t>JSA</w:t>
            </w:r>
          </w:p>
        </w:tc>
        <w:tc>
          <w:tcPr>
            <w:tcW w:type="dxa" w:w="4479"/>
            <w:tcMar>
              <w:top w:w="60" w:type="dxa"/>
              <w:bottom w:w="60" w:type="dxa"/>
              <w:left w:w="100" w:type="dxa"/>
              <w:right w:w="100" w:type="dxa"/>
            </w:tcMar>
            <w:vAlign w:val="center"/>
          </w:tcPr>
          <w:p>
            <w:r/>
            <w:r>
              <w:rPr>
                <w:color w:val="3A3835"/>
                <w:sz w:val="17"/>
              </w:rPr>
              <w:t>Job Safety Analysis</w:t>
            </w:r>
          </w:p>
        </w:tc>
      </w:tr>
      <w:tr>
        <w:tc>
          <w:tcPr>
            <w:tcW w:type="dxa" w:w="4479"/>
            <w:tcMar>
              <w:top w:w="60" w:type="dxa"/>
              <w:bottom w:w="60" w:type="dxa"/>
              <w:left w:w="100" w:type="dxa"/>
              <w:right w:w="100" w:type="dxa"/>
            </w:tcMar>
            <w:vAlign w:val="center"/>
            <w:shd w:val="clear" w:color="auto" w:fill="F2EFEA"/>
          </w:tcPr>
          <w:p>
            <w:r/>
            <w:r>
              <w:rPr>
                <w:color w:val="3A3835"/>
                <w:sz w:val="17"/>
              </w:rPr>
              <w:t>LTV</w:t>
            </w:r>
          </w:p>
        </w:tc>
        <w:tc>
          <w:tcPr>
            <w:tcW w:type="dxa" w:w="4479"/>
            <w:tcMar>
              <w:top w:w="60" w:type="dxa"/>
              <w:bottom w:w="60" w:type="dxa"/>
              <w:left w:w="100" w:type="dxa"/>
              <w:right w:w="100" w:type="dxa"/>
            </w:tcMar>
            <w:vAlign w:val="center"/>
            <w:shd w:val="clear" w:color="auto" w:fill="F2EFEA"/>
          </w:tcPr>
          <w:p>
            <w:r/>
            <w:r>
              <w:rPr>
                <w:color w:val="3A3835"/>
                <w:sz w:val="17"/>
              </w:rPr>
              <w:t>Customer Lifetime Value</w:t>
            </w:r>
          </w:p>
        </w:tc>
      </w:tr>
      <w:tr>
        <w:tc>
          <w:tcPr>
            <w:tcW w:type="dxa" w:w="4479"/>
            <w:tcMar>
              <w:top w:w="60" w:type="dxa"/>
              <w:bottom w:w="60" w:type="dxa"/>
              <w:left w:w="100" w:type="dxa"/>
              <w:right w:w="100" w:type="dxa"/>
            </w:tcMar>
            <w:vAlign w:val="center"/>
          </w:tcPr>
          <w:p>
            <w:r/>
            <w:r>
              <w:rPr>
                <w:color w:val="3A3835"/>
                <w:sz w:val="17"/>
              </w:rPr>
              <w:t>NRR</w:t>
            </w:r>
          </w:p>
        </w:tc>
        <w:tc>
          <w:tcPr>
            <w:tcW w:type="dxa" w:w="4479"/>
            <w:tcMar>
              <w:top w:w="60" w:type="dxa"/>
              <w:bottom w:w="60" w:type="dxa"/>
              <w:left w:w="100" w:type="dxa"/>
              <w:right w:w="100" w:type="dxa"/>
            </w:tcMar>
            <w:vAlign w:val="center"/>
          </w:tcPr>
          <w:p>
            <w:r/>
            <w:r>
              <w:rPr>
                <w:color w:val="3A3835"/>
                <w:sz w:val="17"/>
              </w:rPr>
              <w:t>Net Revenue Retention</w:t>
            </w:r>
          </w:p>
        </w:tc>
      </w:tr>
      <w:tr>
        <w:tc>
          <w:tcPr>
            <w:tcW w:type="dxa" w:w="4479"/>
            <w:tcMar>
              <w:top w:w="60" w:type="dxa"/>
              <w:bottom w:w="60" w:type="dxa"/>
              <w:left w:w="100" w:type="dxa"/>
              <w:right w:w="100" w:type="dxa"/>
            </w:tcMar>
            <w:vAlign w:val="center"/>
            <w:shd w:val="clear" w:color="auto" w:fill="F2EFEA"/>
          </w:tcPr>
          <w:p>
            <w:r/>
            <w:r>
              <w:rPr>
                <w:color w:val="3A3835"/>
                <w:sz w:val="17"/>
              </w:rPr>
              <w:t>PCBU</w:t>
            </w:r>
          </w:p>
        </w:tc>
        <w:tc>
          <w:tcPr>
            <w:tcW w:type="dxa" w:w="4479"/>
            <w:tcMar>
              <w:top w:w="60" w:type="dxa"/>
              <w:bottom w:w="60" w:type="dxa"/>
              <w:left w:w="100" w:type="dxa"/>
              <w:right w:w="100" w:type="dxa"/>
            </w:tcMar>
            <w:vAlign w:val="center"/>
            <w:shd w:val="clear" w:color="auto" w:fill="F2EFEA"/>
          </w:tcPr>
          <w:p>
            <w:r/>
            <w:r>
              <w:rPr>
                <w:color w:val="3A3835"/>
                <w:sz w:val="17"/>
              </w:rPr>
              <w:t>Person Conducting a Business or Undertaking (WHS Act)</w:t>
            </w:r>
          </w:p>
        </w:tc>
      </w:tr>
      <w:tr>
        <w:tc>
          <w:tcPr>
            <w:tcW w:type="dxa" w:w="4479"/>
            <w:tcMar>
              <w:top w:w="60" w:type="dxa"/>
              <w:bottom w:w="60" w:type="dxa"/>
              <w:left w:w="100" w:type="dxa"/>
              <w:right w:w="100" w:type="dxa"/>
            </w:tcMar>
            <w:vAlign w:val="center"/>
          </w:tcPr>
          <w:p>
            <w:r/>
            <w:r>
              <w:rPr>
                <w:color w:val="3A3835"/>
                <w:sz w:val="17"/>
              </w:rPr>
              <w:t>PWA</w:t>
            </w:r>
          </w:p>
        </w:tc>
        <w:tc>
          <w:tcPr>
            <w:tcW w:type="dxa" w:w="4479"/>
            <w:tcMar>
              <w:top w:w="60" w:type="dxa"/>
              <w:bottom w:w="60" w:type="dxa"/>
              <w:left w:w="100" w:type="dxa"/>
              <w:right w:w="100" w:type="dxa"/>
            </w:tcMar>
            <w:vAlign w:val="center"/>
          </w:tcPr>
          <w:p>
            <w:r/>
            <w:r>
              <w:rPr>
                <w:color w:val="3A3835"/>
                <w:sz w:val="17"/>
              </w:rPr>
              <w:t>Progressive Web App</w:t>
            </w:r>
          </w:p>
        </w:tc>
      </w:tr>
      <w:tr>
        <w:tc>
          <w:tcPr>
            <w:tcW w:type="dxa" w:w="4479"/>
            <w:tcMar>
              <w:top w:w="60" w:type="dxa"/>
              <w:bottom w:w="60" w:type="dxa"/>
              <w:left w:w="100" w:type="dxa"/>
              <w:right w:w="100" w:type="dxa"/>
            </w:tcMar>
            <w:vAlign w:val="center"/>
            <w:shd w:val="clear" w:color="auto" w:fill="F2EFEA"/>
          </w:tcPr>
          <w:p>
            <w:r/>
            <w:r>
              <w:rPr>
                <w:color w:val="3A3835"/>
                <w:sz w:val="17"/>
              </w:rPr>
              <w:t>QBCC</w:t>
            </w:r>
          </w:p>
        </w:tc>
        <w:tc>
          <w:tcPr>
            <w:tcW w:type="dxa" w:w="4479"/>
            <w:tcMar>
              <w:top w:w="60" w:type="dxa"/>
              <w:bottom w:w="60" w:type="dxa"/>
              <w:left w:w="100" w:type="dxa"/>
              <w:right w:w="100" w:type="dxa"/>
            </w:tcMar>
            <w:vAlign w:val="center"/>
            <w:shd w:val="clear" w:color="auto" w:fill="F2EFEA"/>
          </w:tcPr>
          <w:p>
            <w:r/>
            <w:r>
              <w:rPr>
                <w:color w:val="3A3835"/>
                <w:sz w:val="17"/>
              </w:rPr>
              <w:t>Queensland Building and Construction Commission</w:t>
            </w:r>
          </w:p>
        </w:tc>
      </w:tr>
      <w:tr>
        <w:tc>
          <w:tcPr>
            <w:tcW w:type="dxa" w:w="4479"/>
            <w:tcMar>
              <w:top w:w="60" w:type="dxa"/>
              <w:bottom w:w="60" w:type="dxa"/>
              <w:left w:w="100" w:type="dxa"/>
              <w:right w:w="100" w:type="dxa"/>
            </w:tcMar>
            <w:vAlign w:val="center"/>
          </w:tcPr>
          <w:p>
            <w:r/>
            <w:r>
              <w:rPr>
                <w:color w:val="3A3835"/>
                <w:sz w:val="17"/>
              </w:rPr>
              <w:t>SaaS</w:t>
            </w:r>
          </w:p>
        </w:tc>
        <w:tc>
          <w:tcPr>
            <w:tcW w:type="dxa" w:w="4479"/>
            <w:tcMar>
              <w:top w:w="60" w:type="dxa"/>
              <w:bottom w:w="60" w:type="dxa"/>
              <w:left w:w="100" w:type="dxa"/>
              <w:right w:w="100" w:type="dxa"/>
            </w:tcMar>
            <w:vAlign w:val="center"/>
          </w:tcPr>
          <w:p>
            <w:r/>
            <w:r>
              <w:rPr>
                <w:color w:val="3A3835"/>
                <w:sz w:val="17"/>
              </w:rPr>
              <w:t>Software as a Service</w:t>
            </w:r>
          </w:p>
        </w:tc>
      </w:tr>
      <w:tr>
        <w:tc>
          <w:tcPr>
            <w:tcW w:type="dxa" w:w="4479"/>
            <w:tcMar>
              <w:top w:w="60" w:type="dxa"/>
              <w:bottom w:w="60" w:type="dxa"/>
              <w:left w:w="100" w:type="dxa"/>
              <w:right w:w="100" w:type="dxa"/>
            </w:tcMar>
            <w:vAlign w:val="center"/>
            <w:shd w:val="clear" w:color="auto" w:fill="F2EFEA"/>
          </w:tcPr>
          <w:p>
            <w:r/>
            <w:r>
              <w:rPr>
                <w:color w:val="3A3835"/>
                <w:sz w:val="17"/>
              </w:rPr>
              <w:t>SOM</w:t>
            </w:r>
          </w:p>
        </w:tc>
        <w:tc>
          <w:tcPr>
            <w:tcW w:type="dxa" w:w="4479"/>
            <w:tcMar>
              <w:top w:w="60" w:type="dxa"/>
              <w:bottom w:w="60" w:type="dxa"/>
              <w:left w:w="100" w:type="dxa"/>
              <w:right w:w="100" w:type="dxa"/>
            </w:tcMar>
            <w:vAlign w:val="center"/>
            <w:shd w:val="clear" w:color="auto" w:fill="F2EFEA"/>
          </w:tcPr>
          <w:p>
            <w:r/>
            <w:r>
              <w:rPr>
                <w:color w:val="3A3835"/>
                <w:sz w:val="17"/>
              </w:rPr>
              <w:t>Serviceable Obtainable Market</w:t>
            </w:r>
          </w:p>
        </w:tc>
      </w:tr>
      <w:tr>
        <w:tc>
          <w:tcPr>
            <w:tcW w:type="dxa" w:w="4479"/>
            <w:tcMar>
              <w:top w:w="60" w:type="dxa"/>
              <w:bottom w:w="60" w:type="dxa"/>
              <w:left w:w="100" w:type="dxa"/>
              <w:right w:w="100" w:type="dxa"/>
            </w:tcMar>
            <w:vAlign w:val="center"/>
          </w:tcPr>
          <w:p>
            <w:r/>
            <w:r>
              <w:rPr>
                <w:color w:val="3A3835"/>
                <w:sz w:val="17"/>
              </w:rPr>
              <w:t>SAM</w:t>
            </w:r>
          </w:p>
        </w:tc>
        <w:tc>
          <w:tcPr>
            <w:tcW w:type="dxa" w:w="4479"/>
            <w:tcMar>
              <w:top w:w="60" w:type="dxa"/>
              <w:bottom w:w="60" w:type="dxa"/>
              <w:left w:w="100" w:type="dxa"/>
              <w:right w:w="100" w:type="dxa"/>
            </w:tcMar>
            <w:vAlign w:val="center"/>
          </w:tcPr>
          <w:p>
            <w:r/>
            <w:r>
              <w:rPr>
                <w:color w:val="3A3835"/>
                <w:sz w:val="17"/>
              </w:rPr>
              <w:t>Serviceable Addressable Market</w:t>
            </w:r>
          </w:p>
        </w:tc>
      </w:tr>
      <w:tr>
        <w:tc>
          <w:tcPr>
            <w:tcW w:type="dxa" w:w="4479"/>
            <w:tcMar>
              <w:top w:w="60" w:type="dxa"/>
              <w:bottom w:w="60" w:type="dxa"/>
              <w:left w:w="100" w:type="dxa"/>
              <w:right w:w="100" w:type="dxa"/>
            </w:tcMar>
            <w:vAlign w:val="center"/>
            <w:shd w:val="clear" w:color="auto" w:fill="F2EFEA"/>
          </w:tcPr>
          <w:p>
            <w:r/>
            <w:r>
              <w:rPr>
                <w:color w:val="3A3835"/>
                <w:sz w:val="17"/>
              </w:rPr>
              <w:t>SOP Act</w:t>
            </w:r>
          </w:p>
        </w:tc>
        <w:tc>
          <w:tcPr>
            <w:tcW w:type="dxa" w:w="4479"/>
            <w:tcMar>
              <w:top w:w="60" w:type="dxa"/>
              <w:bottom w:w="60" w:type="dxa"/>
              <w:left w:w="100" w:type="dxa"/>
              <w:right w:w="100" w:type="dxa"/>
            </w:tcMar>
            <w:vAlign w:val="center"/>
            <w:shd w:val="clear" w:color="auto" w:fill="F2EFEA"/>
          </w:tcPr>
          <w:p>
            <w:r/>
            <w:r>
              <w:rPr>
                <w:color w:val="3A3835"/>
                <w:sz w:val="17"/>
              </w:rPr>
              <w:t>Security of Payment Act (varies by state/territory)</w:t>
            </w:r>
          </w:p>
        </w:tc>
      </w:tr>
      <w:tr>
        <w:tc>
          <w:tcPr>
            <w:tcW w:type="dxa" w:w="4479"/>
            <w:tcMar>
              <w:top w:w="60" w:type="dxa"/>
              <w:bottom w:w="60" w:type="dxa"/>
              <w:left w:w="100" w:type="dxa"/>
              <w:right w:w="100" w:type="dxa"/>
            </w:tcMar>
            <w:vAlign w:val="center"/>
          </w:tcPr>
          <w:p>
            <w:r/>
            <w:r>
              <w:rPr>
                <w:color w:val="3A3835"/>
                <w:sz w:val="17"/>
              </w:rPr>
              <w:t>SWMS</w:t>
            </w:r>
          </w:p>
        </w:tc>
        <w:tc>
          <w:tcPr>
            <w:tcW w:type="dxa" w:w="4479"/>
            <w:tcMar>
              <w:top w:w="60" w:type="dxa"/>
              <w:bottom w:w="60" w:type="dxa"/>
              <w:left w:w="100" w:type="dxa"/>
              <w:right w:w="100" w:type="dxa"/>
            </w:tcMar>
            <w:vAlign w:val="center"/>
          </w:tcPr>
          <w:p>
            <w:r/>
            <w:r>
              <w:rPr>
                <w:color w:val="3A3835"/>
                <w:sz w:val="17"/>
              </w:rPr>
              <w:t>Safe Work Method Statement</w:t>
            </w:r>
          </w:p>
        </w:tc>
      </w:tr>
      <w:tr>
        <w:tc>
          <w:tcPr>
            <w:tcW w:type="dxa" w:w="4479"/>
            <w:tcMar>
              <w:top w:w="60" w:type="dxa"/>
              <w:bottom w:w="60" w:type="dxa"/>
              <w:left w:w="100" w:type="dxa"/>
              <w:right w:w="100" w:type="dxa"/>
            </w:tcMar>
            <w:vAlign w:val="center"/>
            <w:shd w:val="clear" w:color="auto" w:fill="F2EFEA"/>
          </w:tcPr>
          <w:p>
            <w:r/>
            <w:r>
              <w:rPr>
                <w:color w:val="3A3835"/>
                <w:sz w:val="17"/>
              </w:rPr>
              <w:t>TAM</w:t>
            </w:r>
          </w:p>
        </w:tc>
        <w:tc>
          <w:tcPr>
            <w:tcW w:type="dxa" w:w="4479"/>
            <w:tcMar>
              <w:top w:w="60" w:type="dxa"/>
              <w:bottom w:w="60" w:type="dxa"/>
              <w:left w:w="100" w:type="dxa"/>
              <w:right w:w="100" w:type="dxa"/>
            </w:tcMar>
            <w:vAlign w:val="center"/>
            <w:shd w:val="clear" w:color="auto" w:fill="F2EFEA"/>
          </w:tcPr>
          <w:p>
            <w:r/>
            <w:r>
              <w:rPr>
                <w:color w:val="3A3835"/>
                <w:sz w:val="17"/>
              </w:rPr>
              <w:t>Total Addressable Market</w:t>
            </w:r>
          </w:p>
        </w:tc>
      </w:tr>
      <w:tr>
        <w:tc>
          <w:tcPr>
            <w:tcW w:type="dxa" w:w="4479"/>
            <w:tcMar>
              <w:top w:w="60" w:type="dxa"/>
              <w:bottom w:w="60" w:type="dxa"/>
              <w:left w:w="100" w:type="dxa"/>
              <w:right w:w="100" w:type="dxa"/>
            </w:tcMar>
            <w:vAlign w:val="center"/>
          </w:tcPr>
          <w:p>
            <w:r/>
            <w:r>
              <w:rPr>
                <w:color w:val="3A3835"/>
                <w:sz w:val="17"/>
              </w:rPr>
              <w:t>WHS</w:t>
            </w:r>
          </w:p>
        </w:tc>
        <w:tc>
          <w:tcPr>
            <w:tcW w:type="dxa" w:w="4479"/>
            <w:tcMar>
              <w:top w:w="60" w:type="dxa"/>
              <w:bottom w:w="60" w:type="dxa"/>
              <w:left w:w="100" w:type="dxa"/>
              <w:right w:w="100" w:type="dxa"/>
            </w:tcMar>
            <w:vAlign w:val="center"/>
          </w:tcPr>
          <w:p>
            <w:r/>
            <w:r>
              <w:rPr>
                <w:color w:val="3A3835"/>
                <w:sz w:val="17"/>
              </w:rPr>
              <w:t>Work Health and Safety</w:t>
            </w:r>
          </w:p>
        </w:tc>
      </w:tr>
    </w:tbl>
    <w:p>
      <w:pPr>
        <w:spacing w:after="120"/>
      </w:pPr>
    </w:p>
    <w:p>
      <w:pPr>
        <w:pStyle w:val="BIKChapterLabel"/>
      </w:pPr>
      <w:r>
        <w:t>APPENDICES</w:t>
      </w:r>
    </w:p>
    <w:p>
      <w:pPr>
        <w:pStyle w:val="BIKChapterTitle"/>
        <w:pBdr>
          <w:bottom w:val="single" w:sz="18" w:space="8" w:color="D85A30"/>
        </w:pBdr>
      </w:pPr>
      <w:r>
        <w:t>34   Appendix E — Document Control &amp; Version History</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8"/>
              </w:rPr>
              <w:t>Version</w:t>
            </w:r>
          </w:p>
        </w:tc>
        <w:tc>
          <w:tcPr>
            <w:tcW w:type="dxa" w:w="2986"/>
            <w:shd w:val="clear" w:color="auto" w:fill="252320"/>
            <w:tcMar>
              <w:top w:w="60" w:type="dxa"/>
              <w:bottom w:w="60" w:type="dxa"/>
              <w:left w:w="100" w:type="dxa"/>
              <w:right w:w="100" w:type="dxa"/>
            </w:tcMar>
            <w:vAlign w:val="center"/>
          </w:tcPr>
          <w:p>
            <w:r/>
            <w:r>
              <w:rPr>
                <w:b/>
                <w:color w:val="FFFFFF"/>
                <w:sz w:val="18"/>
              </w:rPr>
              <w:t>Date</w:t>
            </w:r>
          </w:p>
        </w:tc>
        <w:tc>
          <w:tcPr>
            <w:tcW w:type="dxa" w:w="2986"/>
            <w:shd w:val="clear" w:color="auto" w:fill="252320"/>
            <w:tcMar>
              <w:top w:w="60" w:type="dxa"/>
              <w:bottom w:w="60" w:type="dxa"/>
              <w:left w:w="100" w:type="dxa"/>
              <w:right w:w="100" w:type="dxa"/>
            </w:tcMar>
            <w:vAlign w:val="center"/>
          </w:tcPr>
          <w:p>
            <w:r/>
            <w:r>
              <w:rPr>
                <w:b/>
                <w:color w:val="FFFFFF"/>
                <w:sz w:val="18"/>
              </w:rPr>
              <w:t>Summary of change</w:t>
            </w:r>
          </w:p>
        </w:tc>
      </w:tr>
      <w:tr>
        <w:tc>
          <w:tcPr>
            <w:tcW w:type="dxa" w:w="2986"/>
            <w:tcMar>
              <w:top w:w="60" w:type="dxa"/>
              <w:bottom w:w="60" w:type="dxa"/>
              <w:left w:w="100" w:type="dxa"/>
              <w:right w:w="100" w:type="dxa"/>
            </w:tcMar>
            <w:vAlign w:val="center"/>
          </w:tcPr>
          <w:p>
            <w:r/>
            <w:r>
              <w:rPr>
                <w:color w:val="3A3835"/>
                <w:sz w:val="18"/>
              </w:rPr>
              <w:t>0.1 (internal draft)</w:t>
            </w:r>
          </w:p>
        </w:tc>
        <w:tc>
          <w:tcPr>
            <w:tcW w:type="dxa" w:w="2986"/>
            <w:tcMar>
              <w:top w:w="60" w:type="dxa"/>
              <w:bottom w:w="60" w:type="dxa"/>
              <w:left w:w="100" w:type="dxa"/>
              <w:right w:w="100" w:type="dxa"/>
            </w:tcMar>
            <w:vAlign w:val="center"/>
          </w:tcPr>
          <w:p>
            <w:r/>
            <w:r>
              <w:rPr>
                <w:color w:val="3A3835"/>
                <w:sz w:val="18"/>
              </w:rPr>
              <w:t>15 July 2026</w:t>
            </w:r>
          </w:p>
        </w:tc>
        <w:tc>
          <w:tcPr>
            <w:tcW w:type="dxa" w:w="2986"/>
            <w:tcMar>
              <w:top w:w="60" w:type="dxa"/>
              <w:bottom w:w="60" w:type="dxa"/>
              <w:left w:w="100" w:type="dxa"/>
              <w:right w:w="100" w:type="dxa"/>
            </w:tcMar>
            <w:vAlign w:val="center"/>
          </w:tcPr>
          <w:p>
            <w:r/>
            <w:r>
              <w:rPr>
                <w:color w:val="3A3835"/>
                <w:sz w:val="18"/>
              </w:rPr>
              <w:t>Initial compilation from BIK internal strategy, product and pricing documentation</w:t>
            </w:r>
          </w:p>
        </w:tc>
      </w:tr>
      <w:tr>
        <w:tc>
          <w:tcPr>
            <w:tcW w:type="dxa" w:w="2986"/>
            <w:tcMar>
              <w:top w:w="60" w:type="dxa"/>
              <w:bottom w:w="60" w:type="dxa"/>
              <w:left w:w="100" w:type="dxa"/>
              <w:right w:w="100" w:type="dxa"/>
            </w:tcMar>
            <w:vAlign w:val="center"/>
            <w:shd w:val="clear" w:color="auto" w:fill="F2EFEA"/>
          </w:tcPr>
          <w:p>
            <w:r/>
            <w:r>
              <w:rPr>
                <w:color w:val="3A3835"/>
                <w:sz w:val="18"/>
              </w:rPr>
              <w:t>1.0 (Board draft)</w:t>
            </w:r>
          </w:p>
        </w:tc>
        <w:tc>
          <w:tcPr>
            <w:tcW w:type="dxa" w:w="2986"/>
            <w:tcMar>
              <w:top w:w="60" w:type="dxa"/>
              <w:bottom w:w="60" w:type="dxa"/>
              <w:left w:w="100" w:type="dxa"/>
              <w:right w:w="100" w:type="dxa"/>
            </w:tcMar>
            <w:vAlign w:val="center"/>
            <w:shd w:val="clear" w:color="auto" w:fill="F2EFEA"/>
          </w:tcPr>
          <w:p>
            <w:r/>
            <w:r>
              <w:rPr>
                <w:color w:val="3A3835"/>
                <w:sz w:val="18"/>
              </w:rPr>
              <w:t>16 July 2026</w:t>
            </w:r>
          </w:p>
        </w:tc>
        <w:tc>
          <w:tcPr>
            <w:tcW w:type="dxa" w:w="2986"/>
            <w:tcMar>
              <w:top w:w="60" w:type="dxa"/>
              <w:bottom w:w="60" w:type="dxa"/>
              <w:left w:w="100" w:type="dxa"/>
              <w:right w:w="100" w:type="dxa"/>
            </w:tcMar>
            <w:vAlign w:val="center"/>
            <w:shd w:val="clear" w:color="auto" w:fill="F2EFEA"/>
          </w:tcPr>
          <w:p>
            <w:r/>
            <w:r>
              <w:rPr>
                <w:color w:val="3A3835"/>
                <w:sz w:val="18"/>
              </w:rPr>
              <w:t>First complete integrated Strategic Blueprint &amp; Investment Memorandum, structured for Board, investor, strategic buyer, grant assessor and banking partner audiences</w:t>
            </w:r>
          </w:p>
        </w:tc>
      </w:tr>
    </w:tbl>
    <w:p>
      <w:pPr>
        <w:spacing w:after="120"/>
      </w:pPr>
    </w:p>
    <w:p>
      <w:pPr>
        <w:pStyle w:val="BIKH1"/>
      </w:pPr>
      <w:r>
        <w:t>Source Documents Referenced</w:t>
      </w:r>
    </w:p>
    <w:p>
      <w:pPr>
        <w:pStyle w:val="ListBullet"/>
      </w:pPr>
      <w:r>
        <w:t>docs/PROJECT_CONTEXT.md</w:t>
      </w:r>
    </w:p>
    <w:p>
      <w:pPr>
        <w:pStyle w:val="ListBullet"/>
      </w:pPr>
      <w:r>
        <w:t>docs/business-strategy.md</w:t>
      </w:r>
    </w:p>
    <w:p>
      <w:pPr>
        <w:pStyle w:val="ListBullet"/>
      </w:pPr>
      <w:r>
        <w:t>docs/product-vision.md</w:t>
      </w:r>
    </w:p>
    <w:p>
      <w:pPr>
        <w:pStyle w:val="ListBullet"/>
      </w:pPr>
      <w:r>
        <w:t>docs/pricing-strategy.md</w:t>
      </w:r>
    </w:p>
    <w:p>
      <w:pPr>
        <w:pStyle w:val="ListBullet"/>
      </w:pPr>
      <w:r>
        <w:t>docs/product-roadmap.md</w:t>
      </w:r>
    </w:p>
    <w:p>
      <w:pPr>
        <w:pStyle w:val="ListBullet"/>
      </w:pPr>
      <w:r>
        <w:t>docs/marketing-strategy.md</w:t>
      </w:r>
    </w:p>
    <w:p>
      <w:pPr>
        <w:pStyle w:val="ListBullet"/>
      </w:pPr>
      <w:r>
        <w:t>docs/ai-tool-catalogue.md</w:t>
      </w:r>
    </w:p>
    <w:p>
      <w:pPr>
        <w:pStyle w:val="ListBullet"/>
      </w:pPr>
      <w:r>
        <w:t>docs/technical-architecture.md</w:t>
      </w:r>
    </w:p>
    <w:p>
      <w:pPr>
        <w:pStyle w:val="ListBullet"/>
      </w:pPr>
      <w:r>
        <w:t>docs/integration-architecture.md</w:t>
      </w:r>
    </w:p>
    <w:p>
      <w:pPr>
        <w:pStyle w:val="ListBullet"/>
      </w:pPr>
      <w:r>
        <w:t>docs/beta-readiness-report.md</w:t>
      </w:r>
    </w:p>
    <w:p>
      <w:pPr>
        <w:pStyle w:val="ListBullet"/>
      </w:pPr>
      <w:r>
        <w:t>docs/PRODUCT_DECISIONS.md</w:t>
      </w:r>
    </w:p>
    <w:p>
      <w:pPr>
        <w:pStyle w:val="ListBullet"/>
      </w:pPr>
      <w:r>
        <w:t>docs/branding-guidelines.md</w:t>
      </w:r>
    </w:p>
    <w:p>
      <w:pPr>
        <w:pStyle w:val="ListBullet"/>
      </w:pPr>
      <w:r>
        <w:t>docs/legal-and-safety-tool-register.md</w:t>
      </w:r>
    </w:p>
    <w:p>
      <w:pPr>
        <w:pStyle w:val="ListBullet"/>
      </w:pPr>
      <w:r>
        <w:t>docs/release-plan.md</w:t>
      </w:r>
    </w:p>
    <w:p>
      <w:pPr>
        <w:pStyle w:val="BIKH1"/>
      </w:pPr>
      <w:r>
        <w:t>Next Scheduled Review</w:t>
      </w:r>
    </w:p>
    <w:p>
      <w:pPr>
        <w:pStyle w:val="BIKBody"/>
        <w:jc w:val="both"/>
      </w:pPr>
      <w:r>
        <w:t>This document is scheduled for quarterly review per the governance cadence set out in Chapter 28, and for a full refresh ahead of any institutional capital raise or acquisition process. The next scheduled review is Q4 2026, aligned with the Q3 2026 Phase 1 completion checkpoint (Chapter 29).</w:t>
      </w:r>
    </w:p>
    <w:p>
      <w:pPr>
        <w:pStyle w:val="BIKChapterLabel"/>
      </w:pPr>
      <w:r>
        <w:t>APPENDICES</w:t>
      </w:r>
    </w:p>
    <w:p>
      <w:pPr>
        <w:pStyle w:val="BIKChapterTitle"/>
        <w:pBdr>
          <w:bottom w:val="single" w:sz="18" w:space="8" w:color="D85A30"/>
        </w:pBdr>
      </w:pPr>
      <w:r>
        <w:t>35   Appendix F — Flagship Tool Walkthroughs</w:t>
      </w:r>
    </w:p>
    <w:p>
      <w:pPr>
        <w:pStyle w:val="BIKBody"/>
        <w:jc w:val="both"/>
      </w:pPr>
      <w:r>
        <w:t>To make the product concrete rather than abstract, this appendix walks through what a user actually does in four flagship tools, end to end.</w:t>
      </w:r>
    </w:p>
    <w:p>
      <w:pPr>
        <w:pStyle w:val="BIKH2"/>
      </w:pPr>
      <w:r>
        <w:t>VARIATION NOTICE (PRODUCTION-READY)</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Step</w:t>
            </w:r>
          </w:p>
        </w:tc>
        <w:tc>
          <w:tcPr>
            <w:tcW w:type="dxa" w:w="4479"/>
            <w:shd w:val="clear" w:color="auto" w:fill="252320"/>
            <w:tcMar>
              <w:top w:w="60" w:type="dxa"/>
              <w:bottom w:w="60" w:type="dxa"/>
              <w:left w:w="100" w:type="dxa"/>
              <w:right w:w="100" w:type="dxa"/>
            </w:tcMar>
            <w:vAlign w:val="center"/>
          </w:tcPr>
          <w:p>
            <w:r/>
            <w:r>
              <w:rPr>
                <w:b/>
                <w:color w:val="FFFFFF"/>
                <w:sz w:val="17"/>
              </w:rPr>
              <w:t>What happens</w:t>
            </w:r>
          </w:p>
        </w:tc>
      </w:tr>
      <w:tr>
        <w:tc>
          <w:tcPr>
            <w:tcW w:type="dxa" w:w="4479"/>
            <w:tcMar>
              <w:top w:w="60" w:type="dxa"/>
              <w:bottom w:w="60" w:type="dxa"/>
              <w:left w:w="100" w:type="dxa"/>
              <w:right w:w="100" w:type="dxa"/>
            </w:tcMar>
            <w:vAlign w:val="center"/>
          </w:tcPr>
          <w:p>
            <w:r/>
            <w:r>
              <w:rPr>
                <w:color w:val="3A3835"/>
                <w:sz w:val="17"/>
              </w:rPr>
              <w:t>1. Form</w:t>
            </w:r>
          </w:p>
        </w:tc>
        <w:tc>
          <w:tcPr>
            <w:tcW w:type="dxa" w:w="4479"/>
            <w:tcMar>
              <w:top w:w="60" w:type="dxa"/>
              <w:bottom w:w="60" w:type="dxa"/>
              <w:left w:w="100" w:type="dxa"/>
              <w:right w:w="100" w:type="dxa"/>
            </w:tcMar>
            <w:vAlign w:val="center"/>
          </w:tcPr>
          <w:p>
            <w:r/>
            <w:r>
              <w:rPr>
                <w:color w:val="3A3835"/>
                <w:sz w:val="17"/>
              </w:rPr>
              <w:t>Builder enters project reference, reason for the variation, description of additional works, and cost — auto-filled where possible from their saved builder profile</w:t>
            </w:r>
          </w:p>
        </w:tc>
      </w:tr>
      <w:tr>
        <w:tc>
          <w:tcPr>
            <w:tcW w:type="dxa" w:w="4479"/>
            <w:tcMar>
              <w:top w:w="60" w:type="dxa"/>
              <w:bottom w:w="60" w:type="dxa"/>
              <w:left w:w="100" w:type="dxa"/>
              <w:right w:w="100" w:type="dxa"/>
            </w:tcMar>
            <w:vAlign w:val="center"/>
            <w:shd w:val="clear" w:color="auto" w:fill="F2EFEA"/>
          </w:tcPr>
          <w:p>
            <w:r/>
            <w:r>
              <w:rPr>
                <w:color w:val="3A3835"/>
                <w:sz w:val="17"/>
              </w:rPr>
              <w:t>2. AI assist</w:t>
            </w:r>
          </w:p>
        </w:tc>
        <w:tc>
          <w:tcPr>
            <w:tcW w:type="dxa" w:w="4479"/>
            <w:tcMar>
              <w:top w:w="60" w:type="dxa"/>
              <w:bottom w:w="60" w:type="dxa"/>
              <w:left w:w="100" w:type="dxa"/>
              <w:right w:w="100" w:type="dxa"/>
            </w:tcMar>
            <w:vAlign w:val="center"/>
            <w:shd w:val="clear" w:color="auto" w:fill="F2EFEA"/>
          </w:tcPr>
          <w:p>
            <w:r/>
            <w:r>
              <w:rPr>
                <w:color w:val="3A3835"/>
                <w:sz w:val="17"/>
              </w:rPr>
              <w:t>Builder can invoke "Strengthen for Contract" or "Rewrite Professionally" on the free-text description field; Decision 001 prevents the AI adding any detail not already supplied</w:t>
            </w:r>
          </w:p>
        </w:tc>
      </w:tr>
      <w:tr>
        <w:tc>
          <w:tcPr>
            <w:tcW w:type="dxa" w:w="4479"/>
            <w:tcMar>
              <w:top w:w="60" w:type="dxa"/>
              <w:bottom w:w="60" w:type="dxa"/>
              <w:left w:w="100" w:type="dxa"/>
              <w:right w:w="100" w:type="dxa"/>
            </w:tcMar>
            <w:vAlign w:val="center"/>
          </w:tcPr>
          <w:p>
            <w:r/>
            <w:r>
              <w:rPr>
                <w:color w:val="3A3835"/>
                <w:sz w:val="17"/>
              </w:rPr>
              <w:t>3. Preview</w:t>
            </w:r>
          </w:p>
        </w:tc>
        <w:tc>
          <w:tcPr>
            <w:tcW w:type="dxa" w:w="4479"/>
            <w:tcMar>
              <w:top w:w="60" w:type="dxa"/>
              <w:bottom w:w="60" w:type="dxa"/>
              <w:left w:w="100" w:type="dxa"/>
              <w:right w:w="100" w:type="dxa"/>
            </w:tcMar>
            <w:vAlign w:val="center"/>
          </w:tcPr>
          <w:p>
            <w:r/>
            <w:r>
              <w:rPr>
                <w:color w:val="3A3835"/>
                <w:sz w:val="17"/>
              </w:rPr>
              <w:t>A live, styled document preview renders alongside the form, auto-numbered (VN-00X) and dated</w:t>
            </w:r>
          </w:p>
        </w:tc>
      </w:tr>
      <w:tr>
        <w:tc>
          <w:tcPr>
            <w:tcW w:type="dxa" w:w="4479"/>
            <w:tcMar>
              <w:top w:w="60" w:type="dxa"/>
              <w:bottom w:w="60" w:type="dxa"/>
              <w:left w:w="100" w:type="dxa"/>
              <w:right w:w="100" w:type="dxa"/>
            </w:tcMar>
            <w:vAlign w:val="center"/>
            <w:shd w:val="clear" w:color="auto" w:fill="F2EFEA"/>
          </w:tcPr>
          <w:p>
            <w:r/>
            <w:r>
              <w:rPr>
                <w:color w:val="3A3835"/>
                <w:sz w:val="17"/>
              </w:rPr>
              <w:t>4. Approval flow</w:t>
            </w:r>
          </w:p>
        </w:tc>
        <w:tc>
          <w:tcPr>
            <w:tcW w:type="dxa" w:w="4479"/>
            <w:tcMar>
              <w:top w:w="60" w:type="dxa"/>
              <w:bottom w:w="60" w:type="dxa"/>
              <w:left w:w="100" w:type="dxa"/>
              <w:right w:w="100" w:type="dxa"/>
            </w:tcMar>
            <w:vAlign w:val="center"/>
            <w:shd w:val="clear" w:color="auto" w:fill="F2EFEA"/>
          </w:tcPr>
          <w:p>
            <w:r/>
            <w:r>
              <w:rPr>
                <w:color w:val="3A3835"/>
                <w:sz w:val="17"/>
              </w:rPr>
              <w:t>A client acknowledgement/signature section is included in the generated document itself</w:t>
            </w:r>
          </w:p>
        </w:tc>
      </w:tr>
      <w:tr>
        <w:tc>
          <w:tcPr>
            <w:tcW w:type="dxa" w:w="4479"/>
            <w:tcMar>
              <w:top w:w="60" w:type="dxa"/>
              <w:bottom w:w="60" w:type="dxa"/>
              <w:left w:w="100" w:type="dxa"/>
              <w:right w:w="100" w:type="dxa"/>
            </w:tcMar>
            <w:vAlign w:val="center"/>
          </w:tcPr>
          <w:p>
            <w:r/>
            <w:r>
              <w:rPr>
                <w:color w:val="3A3835"/>
                <w:sz w:val="17"/>
              </w:rPr>
              <w:t>5. Export</w:t>
            </w:r>
          </w:p>
        </w:tc>
        <w:tc>
          <w:tcPr>
            <w:tcW w:type="dxa" w:w="4479"/>
            <w:tcMar>
              <w:top w:w="60" w:type="dxa"/>
              <w:bottom w:w="60" w:type="dxa"/>
              <w:left w:w="100" w:type="dxa"/>
              <w:right w:w="100" w:type="dxa"/>
            </w:tcMar>
            <w:vAlign w:val="center"/>
          </w:tcPr>
          <w:p>
            <w:r/>
            <w:r>
              <w:rPr>
                <w:color w:val="3A3835"/>
                <w:sz w:val="17"/>
              </w:rPr>
              <w:t>Print-to-PDF, clipboard copy, or direct email with a pre-filled professional message</w:t>
            </w:r>
          </w:p>
        </w:tc>
      </w:tr>
      <w:tr>
        <w:tc>
          <w:tcPr>
            <w:tcW w:type="dxa" w:w="4479"/>
            <w:tcMar>
              <w:top w:w="60" w:type="dxa"/>
              <w:bottom w:w="60" w:type="dxa"/>
              <w:left w:w="100" w:type="dxa"/>
              <w:right w:w="100" w:type="dxa"/>
            </w:tcMar>
            <w:vAlign w:val="center"/>
            <w:shd w:val="clear" w:color="auto" w:fill="F2EFEA"/>
          </w:tcPr>
          <w:p>
            <w:r/>
            <w:r>
              <w:rPr>
                <w:color w:val="3A3835"/>
                <w:sz w:val="17"/>
              </w:rPr>
              <w:t>6. History</w:t>
            </w:r>
          </w:p>
        </w:tc>
        <w:tc>
          <w:tcPr>
            <w:tcW w:type="dxa" w:w="4479"/>
            <w:tcMar>
              <w:top w:w="60" w:type="dxa"/>
              <w:bottom w:w="60" w:type="dxa"/>
              <w:left w:w="100" w:type="dxa"/>
              <w:right w:w="100" w:type="dxa"/>
            </w:tcMar>
            <w:vAlign w:val="center"/>
            <w:shd w:val="clear" w:color="auto" w:fill="F2EFEA"/>
          </w:tcPr>
          <w:p>
            <w:r/>
            <w:r>
              <w:rPr>
                <w:color w:val="3A3835"/>
                <w:sz w:val="17"/>
              </w:rPr>
              <w:t>The document is saved to the builder's Document History, retrievable and re-editable at any time</w:t>
            </w:r>
          </w:p>
        </w:tc>
      </w:tr>
    </w:tbl>
    <w:p>
      <w:pPr>
        <w:spacing w:after="120"/>
      </w:pPr>
    </w:p>
    <w:p>
      <w:pPr>
        <w:pStyle w:val="BIKH2"/>
      </w:pPr>
      <w:r>
        <w:t>QUOTE BUILDER</w:t>
      </w:r>
    </w:p>
    <w:p>
      <w:pPr>
        <w:pStyle w:val="BIKBody"/>
        <w:jc w:val="both"/>
      </w:pPr>
      <w:r>
        <w:t>Captures client and job details, then a dynamic line-items editor for labour and materials with live GST and subtotal calculation. Generates a professional, itemised quote with payment terms and a validity period, ready to print, copy or email — the single highest-value tool in the catalogue by time saved per use (Chapter 3).</w:t>
      </w:r>
    </w:p>
    <w:p>
      <w:pPr>
        <w:pStyle w:val="BIKH2"/>
      </w:pPr>
      <w:r>
        <w:t>PROGRESS CLAIM (IN DEVELOPMENT — HIGHEST COMMERCIAL PRIORITY)</w:t>
      </w:r>
    </w:p>
    <w:p>
      <w:pPr>
        <w:pStyle w:val="BIKBody"/>
        <w:jc w:val="both"/>
      </w:pPr>
      <w:r>
        <w:t>Captures contract value, completion percentage per schedule-of-values item, retention terms, and prior claims, and generates a formatted progress claim with a schedule of values and retention calculation. Explicitly does not calculate BIF Act reference dates or assess statutory compliance (Chapter 27) — the in-product copy is direct about this boundary.</w:t>
      </w:r>
    </w:p>
    <w:p>
      <w:pPr>
        <w:pStyle w:val="BIKH2"/>
      </w:pPr>
      <w:r>
        <w:t>SWMS GENERATOR (DRAFTED — LEGAL REVIEW HOLD, NOT YET RELEASED)</w:t>
      </w:r>
    </w:p>
    <w:p>
      <w:pPr>
        <w:pStyle w:val="BIKBody"/>
        <w:jc w:val="both"/>
      </w:pPr>
      <w:r>
        <w:t>Captures the work activity, hazard types from a structured dropdown, control measures, and site-specific detail, intended to produce a Safe Work Australia-aligned Safe Work Method Statement with a sign-off section. Held out of release specifically because the controlMeasures field currently allows AI-assisted drafting that could otherwise be mistaken for a site-adequate, reviewed control measure — precisely the risk Chapter 27 documents in full and requires resolved before this tool reaches any user.</w:t>
      </w:r>
    </w:p>
    <w:p>
      <w:pPr>
        <w:pStyle w:val="BIKChapterLabel"/>
      </w:pPr>
      <w:r>
        <w:t>APPENDICES</w:t>
      </w:r>
    </w:p>
    <w:p>
      <w:pPr>
        <w:pStyle w:val="BIKChapterTitle"/>
        <w:pBdr>
          <w:bottom w:val="single" w:sz="18" w:space="8" w:color="D85A30"/>
        </w:pBdr>
      </w:pPr>
      <w:r>
        <w:t>36   Appendix G — Illustrative Data Room Index</w:t>
      </w:r>
    </w:p>
    <w:p>
      <w:pPr>
        <w:pStyle w:val="BIKBody"/>
        <w:jc w:val="both"/>
      </w:pPr>
      <w:r>
        <w:t>For a prospective investor, strategic partner or banking counterparty proceeding to due diligence, the following is an illustrative index of the materials BIK would compile — reflecting what exists today and what remains to be formalised per the exit-readiness checklist in Chapter 25.</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7"/>
              </w:rPr>
              <w:t>Data room section</w:t>
            </w:r>
          </w:p>
        </w:tc>
        <w:tc>
          <w:tcPr>
            <w:tcW w:type="dxa" w:w="2986"/>
            <w:shd w:val="clear" w:color="auto" w:fill="252320"/>
            <w:tcMar>
              <w:top w:w="60" w:type="dxa"/>
              <w:bottom w:w="60" w:type="dxa"/>
              <w:left w:w="100" w:type="dxa"/>
              <w:right w:w="100" w:type="dxa"/>
            </w:tcMar>
            <w:vAlign w:val="center"/>
          </w:tcPr>
          <w:p>
            <w:r/>
            <w:r>
              <w:rPr>
                <w:b/>
                <w:color w:val="FFFFFF"/>
                <w:sz w:val="17"/>
              </w:rPr>
              <w:t>Illustrative contents</w:t>
            </w:r>
          </w:p>
        </w:tc>
        <w:tc>
          <w:tcPr>
            <w:tcW w:type="dxa" w:w="2986"/>
            <w:shd w:val="clear" w:color="auto" w:fill="252320"/>
            <w:tcMar>
              <w:top w:w="60" w:type="dxa"/>
              <w:bottom w:w="60" w:type="dxa"/>
              <w:left w:w="100" w:type="dxa"/>
              <w:right w:w="100" w:type="dxa"/>
            </w:tcMar>
            <w:vAlign w:val="center"/>
          </w:tcPr>
          <w:p>
            <w:r/>
            <w:r>
              <w:rPr>
                <w:b/>
                <w:color w:val="FFFFFF"/>
                <w:sz w:val="17"/>
              </w:rPr>
              <w:t>Status</w:t>
            </w:r>
          </w:p>
        </w:tc>
      </w:tr>
      <w:tr>
        <w:tc>
          <w:tcPr>
            <w:tcW w:type="dxa" w:w="2986"/>
            <w:tcMar>
              <w:top w:w="60" w:type="dxa"/>
              <w:bottom w:w="60" w:type="dxa"/>
              <w:left w:w="100" w:type="dxa"/>
              <w:right w:w="100" w:type="dxa"/>
            </w:tcMar>
            <w:vAlign w:val="center"/>
          </w:tcPr>
          <w:p>
            <w:r/>
            <w:r>
              <w:rPr>
                <w:color w:val="3A3835"/>
                <w:sz w:val="17"/>
              </w:rPr>
              <w:t>Corporate</w:t>
            </w:r>
          </w:p>
        </w:tc>
        <w:tc>
          <w:tcPr>
            <w:tcW w:type="dxa" w:w="2986"/>
            <w:tcMar>
              <w:top w:w="60" w:type="dxa"/>
              <w:bottom w:w="60" w:type="dxa"/>
              <w:left w:w="100" w:type="dxa"/>
              <w:right w:w="100" w:type="dxa"/>
            </w:tcMar>
            <w:vAlign w:val="center"/>
          </w:tcPr>
          <w:p>
            <w:r/>
            <w:r>
              <w:rPr>
                <w:color w:val="3A3835"/>
                <w:sz w:val="17"/>
              </w:rPr>
              <w:t>Certificate of incorporation, constitution, register of members, org chart</w:t>
            </w:r>
          </w:p>
        </w:tc>
        <w:tc>
          <w:tcPr>
            <w:tcW w:type="dxa" w:w="2986"/>
            <w:tcMar>
              <w:top w:w="60" w:type="dxa"/>
              <w:bottom w:w="60" w:type="dxa"/>
              <w:left w:w="100" w:type="dxa"/>
              <w:right w:w="100" w:type="dxa"/>
            </w:tcMar>
            <w:vAlign w:val="center"/>
          </w:tcPr>
          <w:p>
            <w:r/>
            <w:r>
              <w:rPr>
                <w:color w:val="3A3835"/>
                <w:sz w:val="17"/>
              </w:rPr>
              <w:t>To be formalised</w:t>
            </w:r>
          </w:p>
        </w:tc>
      </w:tr>
      <w:tr>
        <w:tc>
          <w:tcPr>
            <w:tcW w:type="dxa" w:w="2986"/>
            <w:tcMar>
              <w:top w:w="60" w:type="dxa"/>
              <w:bottom w:w="60" w:type="dxa"/>
              <w:left w:w="100" w:type="dxa"/>
              <w:right w:w="100" w:type="dxa"/>
            </w:tcMar>
            <w:vAlign w:val="center"/>
            <w:shd w:val="clear" w:color="auto" w:fill="F2EFEA"/>
          </w:tcPr>
          <w:p>
            <w:r/>
            <w:r>
              <w:rPr>
                <w:color w:val="3A3835"/>
                <w:sz w:val="17"/>
              </w:rPr>
              <w:t>Financial</w:t>
            </w:r>
          </w:p>
        </w:tc>
        <w:tc>
          <w:tcPr>
            <w:tcW w:type="dxa" w:w="2986"/>
            <w:tcMar>
              <w:top w:w="60" w:type="dxa"/>
              <w:bottom w:w="60" w:type="dxa"/>
              <w:left w:w="100" w:type="dxa"/>
              <w:right w:w="100" w:type="dxa"/>
            </w:tcMar>
            <w:vAlign w:val="center"/>
            <w:shd w:val="clear" w:color="auto" w:fill="F2EFEA"/>
          </w:tcPr>
          <w:p>
            <w:r/>
            <w:r>
              <w:rPr>
                <w:color w:val="3A3835"/>
                <w:sz w:val="17"/>
              </w:rPr>
              <w:t>Management accounts, bank statements, this document's financial model and assumptions register (Appendix C)</w:t>
            </w:r>
          </w:p>
        </w:tc>
        <w:tc>
          <w:tcPr>
            <w:tcW w:type="dxa" w:w="2986"/>
            <w:tcMar>
              <w:top w:w="60" w:type="dxa"/>
              <w:bottom w:w="60" w:type="dxa"/>
              <w:left w:w="100" w:type="dxa"/>
              <w:right w:w="100" w:type="dxa"/>
            </w:tcMar>
            <w:vAlign w:val="center"/>
            <w:shd w:val="clear" w:color="auto" w:fill="F2EFEA"/>
          </w:tcPr>
          <w:p>
            <w:r/>
            <w:r>
              <w:rPr>
                <w:color w:val="3A3835"/>
                <w:sz w:val="17"/>
              </w:rPr>
              <w:t>Partial — model complete, historical accounts to be compiled</w:t>
            </w:r>
          </w:p>
        </w:tc>
      </w:tr>
      <w:tr>
        <w:tc>
          <w:tcPr>
            <w:tcW w:type="dxa" w:w="2986"/>
            <w:tcMar>
              <w:top w:w="60" w:type="dxa"/>
              <w:bottom w:w="60" w:type="dxa"/>
              <w:left w:w="100" w:type="dxa"/>
              <w:right w:w="100" w:type="dxa"/>
            </w:tcMar>
            <w:vAlign w:val="center"/>
          </w:tcPr>
          <w:p>
            <w:r/>
            <w:r>
              <w:rPr>
                <w:color w:val="3A3835"/>
                <w:sz w:val="17"/>
              </w:rPr>
              <w:t>Product &amp; IP</w:t>
            </w:r>
          </w:p>
        </w:tc>
        <w:tc>
          <w:tcPr>
            <w:tcW w:type="dxa" w:w="2986"/>
            <w:tcMar>
              <w:top w:w="60" w:type="dxa"/>
              <w:bottom w:w="60" w:type="dxa"/>
              <w:left w:w="100" w:type="dxa"/>
              <w:right w:w="100" w:type="dxa"/>
            </w:tcMar>
            <w:vAlign w:val="center"/>
          </w:tcPr>
          <w:p>
            <w:r/>
            <w:r>
              <w:rPr>
                <w:color w:val="3A3835"/>
                <w:sz w:val="17"/>
              </w:rPr>
              <w:t>Source code repository, this document's technical architecture summary (Appendix B), IP assignment records</w:t>
            </w:r>
          </w:p>
        </w:tc>
        <w:tc>
          <w:tcPr>
            <w:tcW w:type="dxa" w:w="2986"/>
            <w:tcMar>
              <w:top w:w="60" w:type="dxa"/>
              <w:bottom w:w="60" w:type="dxa"/>
              <w:left w:w="100" w:type="dxa"/>
              <w:right w:w="100" w:type="dxa"/>
            </w:tcMar>
            <w:vAlign w:val="center"/>
          </w:tcPr>
          <w:p>
            <w:r/>
            <w:r>
              <w:rPr>
                <w:color w:val="3A3835"/>
                <w:sz w:val="17"/>
              </w:rPr>
              <w:t>Repository live; IP assignment review recommended</w:t>
            </w:r>
          </w:p>
        </w:tc>
      </w:tr>
      <w:tr>
        <w:tc>
          <w:tcPr>
            <w:tcW w:type="dxa" w:w="2986"/>
            <w:tcMar>
              <w:top w:w="60" w:type="dxa"/>
              <w:bottom w:w="60" w:type="dxa"/>
              <w:left w:w="100" w:type="dxa"/>
              <w:right w:w="100" w:type="dxa"/>
            </w:tcMar>
            <w:vAlign w:val="center"/>
            <w:shd w:val="clear" w:color="auto" w:fill="F2EFEA"/>
          </w:tcPr>
          <w:p>
            <w:r/>
            <w:r>
              <w:rPr>
                <w:color w:val="3A3835"/>
                <w:sz w:val="17"/>
              </w:rPr>
              <w:t>Commercial</w:t>
            </w:r>
          </w:p>
        </w:tc>
        <w:tc>
          <w:tcPr>
            <w:tcW w:type="dxa" w:w="2986"/>
            <w:tcMar>
              <w:top w:w="60" w:type="dxa"/>
              <w:bottom w:w="60" w:type="dxa"/>
              <w:left w:w="100" w:type="dxa"/>
              <w:right w:w="100" w:type="dxa"/>
            </w:tcMar>
            <w:vAlign w:val="center"/>
            <w:shd w:val="clear" w:color="auto" w:fill="F2EFEA"/>
          </w:tcPr>
          <w:p>
            <w:r/>
            <w:r>
              <w:rPr>
                <w:color w:val="3A3835"/>
                <w:sz w:val="17"/>
              </w:rPr>
              <w:t>Pricing strategy (Chapter 15), customer/subscriber data once monetisation launches, key vendor/integration agreements</w:t>
            </w:r>
          </w:p>
        </w:tc>
        <w:tc>
          <w:tcPr>
            <w:tcW w:type="dxa" w:w="2986"/>
            <w:tcMar>
              <w:top w:w="60" w:type="dxa"/>
              <w:bottom w:w="60" w:type="dxa"/>
              <w:left w:w="100" w:type="dxa"/>
              <w:right w:w="100" w:type="dxa"/>
            </w:tcMar>
            <w:vAlign w:val="center"/>
            <w:shd w:val="clear" w:color="auto" w:fill="F2EFEA"/>
          </w:tcPr>
          <w:p>
            <w:r/>
            <w:r>
              <w:rPr>
                <w:color w:val="3A3835"/>
                <w:sz w:val="17"/>
              </w:rPr>
              <w:t>Pricing defined; subscriber data pending Phase 2 launch</w:t>
            </w:r>
          </w:p>
        </w:tc>
      </w:tr>
      <w:tr>
        <w:tc>
          <w:tcPr>
            <w:tcW w:type="dxa" w:w="2986"/>
            <w:tcMar>
              <w:top w:w="60" w:type="dxa"/>
              <w:bottom w:w="60" w:type="dxa"/>
              <w:left w:w="100" w:type="dxa"/>
              <w:right w:w="100" w:type="dxa"/>
            </w:tcMar>
            <w:vAlign w:val="center"/>
          </w:tcPr>
          <w:p>
            <w:r/>
            <w:r>
              <w:rPr>
                <w:color w:val="3A3835"/>
                <w:sz w:val="17"/>
              </w:rPr>
              <w:t>Legal &amp; compliance</w:t>
            </w:r>
          </w:p>
        </w:tc>
        <w:tc>
          <w:tcPr>
            <w:tcW w:type="dxa" w:w="2986"/>
            <w:tcMar>
              <w:top w:w="60" w:type="dxa"/>
              <w:bottom w:w="60" w:type="dxa"/>
              <w:left w:w="100" w:type="dxa"/>
              <w:right w:w="100" w:type="dxa"/>
            </w:tcMar>
            <w:vAlign w:val="center"/>
          </w:tcPr>
          <w:p>
            <w:r/>
            <w:r>
              <w:rPr>
                <w:color w:val="3A3835"/>
                <w:sz w:val="17"/>
              </w:rPr>
              <w:t>Legal and Safety Tool Register (Chapter 27), Privacy Policy, Terms of Use, AI Usage Notice</w:t>
            </w:r>
          </w:p>
        </w:tc>
        <w:tc>
          <w:tcPr>
            <w:tcW w:type="dxa" w:w="2986"/>
            <w:tcMar>
              <w:top w:w="60" w:type="dxa"/>
              <w:bottom w:w="60" w:type="dxa"/>
              <w:left w:w="100" w:type="dxa"/>
              <w:right w:w="100" w:type="dxa"/>
            </w:tcMar>
            <w:vAlign w:val="center"/>
          </w:tcPr>
          <w:p>
            <w:r/>
            <w:r>
              <w:rPr>
                <w:color w:val="3A3835"/>
                <w:sz w:val="17"/>
              </w:rPr>
              <w:t>Live and current as at this document's date</w:t>
            </w:r>
          </w:p>
        </w:tc>
      </w:tr>
      <w:tr>
        <w:tc>
          <w:tcPr>
            <w:tcW w:type="dxa" w:w="2986"/>
            <w:tcMar>
              <w:top w:w="60" w:type="dxa"/>
              <w:bottom w:w="60" w:type="dxa"/>
              <w:left w:w="100" w:type="dxa"/>
              <w:right w:w="100" w:type="dxa"/>
            </w:tcMar>
            <w:vAlign w:val="center"/>
            <w:shd w:val="clear" w:color="auto" w:fill="F2EFEA"/>
          </w:tcPr>
          <w:p>
            <w:r/>
            <w:r>
              <w:rPr>
                <w:color w:val="3A3835"/>
                <w:sz w:val="17"/>
              </w:rPr>
              <w:t>HR</w:t>
            </w:r>
          </w:p>
        </w:tc>
        <w:tc>
          <w:tcPr>
            <w:tcW w:type="dxa" w:w="2986"/>
            <w:tcMar>
              <w:top w:w="60" w:type="dxa"/>
              <w:bottom w:w="60" w:type="dxa"/>
              <w:left w:w="100" w:type="dxa"/>
              <w:right w:w="100" w:type="dxa"/>
            </w:tcMar>
            <w:vAlign w:val="center"/>
            <w:shd w:val="clear" w:color="auto" w:fill="F2EFEA"/>
          </w:tcPr>
          <w:p>
            <w:r/>
            <w:r>
              <w:rPr>
                <w:color w:val="3A3835"/>
                <w:sz w:val="17"/>
              </w:rPr>
              <w:t>Employment agreements, contractor agreements, org design plan (Chapter 10)</w:t>
            </w:r>
          </w:p>
        </w:tc>
        <w:tc>
          <w:tcPr>
            <w:tcW w:type="dxa" w:w="2986"/>
            <w:tcMar>
              <w:top w:w="60" w:type="dxa"/>
              <w:bottom w:w="60" w:type="dxa"/>
              <w:left w:w="100" w:type="dxa"/>
              <w:right w:w="100" w:type="dxa"/>
            </w:tcMar>
            <w:vAlign w:val="center"/>
            <w:shd w:val="clear" w:color="auto" w:fill="F2EFEA"/>
          </w:tcPr>
          <w:p>
            <w:r/>
            <w:r>
              <w:rPr>
                <w:color w:val="3A3835"/>
                <w:sz w:val="17"/>
              </w:rPr>
              <w:t>To be formalised as team grows</w:t>
            </w:r>
          </w:p>
        </w:tc>
      </w:tr>
      <w:tr>
        <w:tc>
          <w:tcPr>
            <w:tcW w:type="dxa" w:w="2986"/>
            <w:tcMar>
              <w:top w:w="60" w:type="dxa"/>
              <w:bottom w:w="60" w:type="dxa"/>
              <w:left w:w="100" w:type="dxa"/>
              <w:right w:w="100" w:type="dxa"/>
            </w:tcMar>
            <w:vAlign w:val="center"/>
          </w:tcPr>
          <w:p>
            <w:r/>
            <w:r>
              <w:rPr>
                <w:color w:val="3A3835"/>
                <w:sz w:val="17"/>
              </w:rPr>
              <w:t>Strategy</w:t>
            </w:r>
          </w:p>
        </w:tc>
        <w:tc>
          <w:tcPr>
            <w:tcW w:type="dxa" w:w="2986"/>
            <w:tcMar>
              <w:top w:w="60" w:type="dxa"/>
              <w:bottom w:w="60" w:type="dxa"/>
              <w:left w:w="100" w:type="dxa"/>
              <w:right w:w="100" w:type="dxa"/>
            </w:tcMar>
            <w:vAlign w:val="center"/>
          </w:tcPr>
          <w:p>
            <w:r/>
            <w:r>
              <w:rPr>
                <w:color w:val="3A3835"/>
                <w:sz w:val="17"/>
              </w:rPr>
              <w:t>This document in full</w:t>
            </w:r>
          </w:p>
        </w:tc>
        <w:tc>
          <w:tcPr>
            <w:tcW w:type="dxa" w:w="2986"/>
            <w:tcMar>
              <w:top w:w="60" w:type="dxa"/>
              <w:bottom w:w="60" w:type="dxa"/>
              <w:left w:w="100" w:type="dxa"/>
              <w:right w:w="100" w:type="dxa"/>
            </w:tcMar>
            <w:vAlign w:val="center"/>
          </w:tcPr>
          <w:p>
            <w:r/>
            <w:r>
              <w:rPr>
                <w:color w:val="3A3835"/>
                <w:sz w:val="17"/>
              </w:rPr>
              <w:t>Complete — Version 1.0</w:t>
            </w:r>
          </w:p>
        </w:tc>
      </w:tr>
    </w:tbl>
    <w:p>
      <w:pPr>
        <w:spacing w:after="120"/>
      </w:pPr>
    </w:p>
    <w:p>
      <w:pPr>
        <w:pStyle w:val="BIKChapterLabel"/>
      </w:pPr>
      <w:r>
        <w:t>APPENDICES</w:t>
      </w:r>
    </w:p>
    <w:p>
      <w:pPr>
        <w:pStyle w:val="BIKChapterTitle"/>
        <w:pBdr>
          <w:bottom w:val="single" w:sz="18" w:space="8" w:color="D85A30"/>
        </w:pBdr>
      </w:pPr>
      <w:r>
        <w:t>37   Appendix H — Frequently Asked Questions</w:t>
      </w:r>
    </w:p>
    <w:p>
      <w:pPr>
        <w:pStyle w:val="BIKH2"/>
      </w:pPr>
      <w:r>
        <w:t>ISN'T THIS JUST A CHATGPT WRAPPER?</w:t>
      </w:r>
    </w:p>
    <w:p>
      <w:pPr>
        <w:pStyle w:val="BIKBody"/>
        <w:jc w:val="both"/>
      </w:pPr>
      <w:r>
        <w:t>No — Chapters 5 and 6 set out the distinction in full. The construction-specific schema, the document history and builder-profile infrastructure, the Legal and Safety Tool Register, and Decision 001 are all product and governance layers that sit around a foundation model, not a thin prompt on top of one. A ChatGPT wrapper has none of these and cannot make the trust guarantees BIK makes.</w:t>
      </w:r>
    </w:p>
    <w:p>
      <w:pPr>
        <w:pStyle w:val="BIKH2"/>
      </w:pPr>
      <w:r>
        <w:t>WHY HASN'T BIK RAISED CAPITAL YET?</w:t>
      </w:r>
    </w:p>
    <w:p>
      <w:pPr>
        <w:pStyle w:val="BIKBody"/>
        <w:jc w:val="both"/>
      </w:pPr>
      <w:r>
        <w:t>Because it has not needed to. The Trades Services unit funds Phase 1–2 platform development (Chapter 3, Chapter 19), which preserves founder control and means any future raise happens from a position of proven traction rather than necessity.</w:t>
      </w:r>
    </w:p>
    <w:p>
      <w:pPr>
        <w:pStyle w:val="BIKH2"/>
      </w:pPr>
      <w:r>
        <w:t>WHAT HAPPENS IF A COMPETITOR COPIES THE TOOL LIST?</w:t>
      </w:r>
    </w:p>
    <w:p>
      <w:pPr>
        <w:pStyle w:val="BIKBody"/>
        <w:jc w:val="both"/>
      </w:pPr>
      <w:r>
        <w:t>Copying a tool list is straightforward; copying the trust discipline behind it is not (Chapter 7). The catalogue itself is not the moat — the governance, the domain depth, and the founder-market fit are.</w:t>
      </w:r>
    </w:p>
    <w:p>
      <w:pPr>
        <w:pStyle w:val="BIKH2"/>
      </w:pPr>
      <w:r>
        <w:t>WHY ARE SOME TOOLS HELD BACK FROM RELEASE?</w:t>
      </w:r>
    </w:p>
    <w:p>
      <w:pPr>
        <w:pStyle w:val="BIKBody"/>
        <w:jc w:val="both"/>
      </w:pPr>
      <w:r>
        <w:t>Because BIK's Legal and Safety Tool Register (Chapter 27) treats professional legal and WHS review as a release gate, not a nice-to-have. Four tools remain on HOLD as at this document's date, and this document names them explicitly rather than obscuring the fact.</w:t>
      </w:r>
    </w:p>
    <w:p>
      <w:pPr>
        <w:pStyle w:val="BIKH2"/>
      </w:pPr>
      <w:r>
        <w:t>IS THE FIVE-YEAR FINANCIAL MODEL A FORECAST?</w:t>
      </w:r>
    </w:p>
    <w:p>
      <w:pPr>
        <w:pStyle w:val="BIKBody"/>
        <w:jc w:val="both"/>
      </w:pPr>
      <w:r>
        <w:t>No. Years 1–3 reconcile to BIK's own published milestone targets; Years 4–5 are explicitly labelled model extrapolations (Chapter 20, Appendix C). The document is deliberately conservative in its base case and stress-tests both an optimistic and a pessimistic scenario throughout Part F.</w:t>
      </w:r>
    </w:p>
    <w:p>
      <w:pPr>
        <w:pStyle w:val="BIKH2"/>
      </w:pPr>
      <w:r>
        <w:t>WHAT IS THE SINGLE BIGGEST EXECUTION RISK?</w:t>
      </w:r>
    </w:p>
    <w:p>
      <w:pPr>
        <w:pStyle w:val="BIKBody"/>
        <w:jc w:val="both"/>
      </w:pPr>
      <w:r>
        <w:t>Speed through Phases 2 and 3. BIK's competitive advantage today is a sequencing advantage (Chapter 7, Chapter 17) — it is real, but it erodes the longer infrastructure and integration depth take to ship.</w:t>
      </w:r>
    </w:p>
    <w:p>
      <w:r>
        <w:br w:type="page"/>
      </w:r>
    </w:p>
    <w:p/>
    <w:p/>
    <w:p/>
    <w:p/>
    <w:p/>
    <w:p/>
    <w:p>
      <w:pPr>
        <w:jc w:val="center"/>
      </w:pPr>
      <w:r>
        <w:rPr>
          <w:b/>
          <w:color w:val="D85A30"/>
          <w:sz w:val="26"/>
        </w:rPr>
        <w:t>APPENDICES (CONTINUED)</w:t>
      </w:r>
    </w:p>
    <w:p>
      <w:pPr>
        <w:jc w:val="center"/>
      </w:pPr>
      <w:r>
        <w:rPr>
          <w:b/>
          <w:color w:val="252320"/>
          <w:sz w:val="60"/>
        </w:rPr>
        <w:t>Audience-Specific Supporting Material</w:t>
      </w:r>
    </w:p>
    <w:p>
      <w:pPr>
        <w:jc w:val="center"/>
      </w:pPr>
      <w:r>
        <w:rPr>
          <w:i/>
          <w:color w:val="888780"/>
          <w:sz w:val="23"/>
        </w:rPr>
        <w:t>SaaS metrics primer, sample board reporting, risk analysis, hiring plans, grant and banking considerations</w:t>
      </w:r>
    </w:p>
    <w:p>
      <w:r>
        <w:br w:type="page"/>
      </w:r>
    </w:p>
    <w:p>
      <w:pPr>
        <w:pStyle w:val="BIKChapterLabel"/>
      </w:pPr>
      <w:r>
        <w:t>APPENDICES</w:t>
      </w:r>
    </w:p>
    <w:p>
      <w:pPr>
        <w:pStyle w:val="BIKChapterTitle"/>
        <w:pBdr>
          <w:bottom w:val="single" w:sz="18" w:space="8" w:color="D85A30"/>
        </w:pBdr>
      </w:pPr>
      <w:r>
        <w:t>38   Appendix I — SaaS Metrics Primer</w:t>
      </w:r>
    </w:p>
    <w:p>
      <w:pPr>
        <w:pStyle w:val="BIKBody"/>
        <w:jc w:val="both"/>
      </w:pPr>
      <w:r>
        <w:t>This document uses a number of SaaS-specific metrics throughout Part F. For a government grant assessor, banking partner, or Board member without a SaaS finance background, this appendix explains each term in plain language, worked against BIK's own base-case figures, so that every number in Chapters 19–21 can be sense-checked without external reference material.</w:t>
      </w:r>
    </w:p>
    <w:p>
      <w:pPr>
        <w:pStyle w:val="BIKH2"/>
      </w:pPr>
      <w:r>
        <w:t>MONTHLY AND ANNUAL RECURRING REVENUE (MRR / ARR)</w:t>
      </w:r>
    </w:p>
    <w:p>
      <w:pPr>
        <w:pStyle w:val="BIKBody"/>
        <w:jc w:val="both"/>
      </w:pPr>
      <w:r>
        <w:t>MRR is the predictable subscription revenue a business collects every month, stripped of one-off and irregular income — the number that matters because it is the number that repeats. ARR is simply MRR multiplied by twelve, used as a shorthand for comparing recurring-revenue businesses on an annualised basis. BIK's base-case Year 3 target of $50,000 MRR (Chapter 8) is therefore equivalent to $600,000 ARR, the figure used as the basis for the Chapter 21 valuation bridge.</w:t>
      </w:r>
    </w:p>
    <w:p>
      <w:pPr>
        <w:pStyle w:val="BIKH2"/>
      </w:pPr>
      <w:r>
        <w:t>CHURN (LOGO CHURN VS REVENUE CHURN)</w:t>
      </w:r>
    </w:p>
    <w:p>
      <w:pPr>
        <w:pStyle w:val="BIKBody"/>
        <w:jc w:val="both"/>
      </w:pPr>
      <w:r>
        <w:t>Logo churn is the percentage of paying customers who cancel in a given period, regardless of how much they were paying. Revenue churn weights this by dollar value lost, which can differ materially if larger accounts churn at a different rate to smaller ones. BIK's model (Chapter 19) works primarily in logo churn terms because, in the early phases, the customer base is relatively homogeneous in tier mix.</w:t>
      </w:r>
    </w:p>
    <w:p>
      <w:pPr>
        <w:pStyle w:val="BIKH2"/>
      </w:pPr>
      <w:r>
        <w:t>NET REVENUE RETENTION (NRR)</w:t>
      </w:r>
    </w:p>
    <w:p>
      <w:pPr>
        <w:pStyle w:val="BIKBody"/>
        <w:jc w:val="both"/>
      </w:pPr>
      <w:r>
        <w:t>NRR measures how existing customers' revenue changes over a year, including upgrades, downgrades and cancellations, but excluding revenue from brand-new customers. An NRR above 100% means the existing customer base is growing in value even before a single new customer is added — the single most prized metric in SaaS investing, because it demonstrates the product becomes more valuable to a customer the longer they use it. BIK's base-case assumption of 101% NRR (Chapter 19) reflects modest but positive tier upgrades outweighing downgrades and partial churn; the aggressive scenario's 108% assumes the Chapter 6 lock-in thesis (document history, integrations) plays out as designed.</w:t>
      </w:r>
    </w:p>
    <w:p>
      <w:pPr>
        <w:pStyle w:val="BIKH2"/>
      </w:pPr>
      <w:r>
        <w:t>CUSTOMER ACQUISITION COST (CAC) AND LIFETIME VALUE (LTV)</w:t>
      </w:r>
    </w:p>
    <w:p>
      <w:pPr>
        <w:pStyle w:val="BIKBody"/>
        <w:jc w:val="both"/>
      </w:pPr>
      <w:r>
        <w:t>CAC is the fully-loaded cost of acquiring one new paying customer — marketing and sales spend divided by new customers acquired in the period. LTV is the total revenue expected from an average customer over their entire relationship with the business, typically approximated as average revenue per user divided by the churn rate. The ratio of the two, LTV:CAC, is the standard health check for a subscription business: a ratio above 3x is generally considered healthy, and BIK's modelled ratios (9x–43x across scenarios, Chapter 19) run well above that bar because of its near-zero-cost organic acquisition channel mix (Chapter 14) — a genuine structural advantage, not an error in the model, though one that would compress toward more typical ranges if paid acquisition spend increases.</w:t>
      </w:r>
    </w:p>
    <w:p>
      <w:pPr>
        <w:pStyle w:val="BIKH2"/>
      </w:pPr>
      <w:r>
        <w:t>THE RULE OF 40</w:t>
      </w:r>
    </w:p>
    <w:p>
      <w:pPr>
        <w:pStyle w:val="BIKBody"/>
        <w:jc w:val="both"/>
      </w:pPr>
      <w:r>
        <w:t>A common SaaS health heuristic: growth rate (%) plus profit margin (%) should sum to at least 40 for a business to be considered efficiently balancing growth and profitability. In BIK's Year 3 base case, illustrative annual revenue growth of roughly 150% year-on-year (Chapter 20) plus an EBITDA margin of roughly 26% comfortably clears this bar, though this reflects the mathematics of early-stage growth rates rather than a mature-business comparison, and should be read as illustrative context, not a claim of durable outperformance.</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7"/>
              </w:rPr>
              <w:t>Metric</w:t>
            </w:r>
          </w:p>
        </w:tc>
        <w:tc>
          <w:tcPr>
            <w:tcW w:type="dxa" w:w="2986"/>
            <w:shd w:val="clear" w:color="auto" w:fill="252320"/>
            <w:tcMar>
              <w:top w:w="60" w:type="dxa"/>
              <w:bottom w:w="60" w:type="dxa"/>
              <w:left w:w="100" w:type="dxa"/>
              <w:right w:w="100" w:type="dxa"/>
            </w:tcMar>
            <w:vAlign w:val="center"/>
          </w:tcPr>
          <w:p>
            <w:r/>
            <w:r>
              <w:rPr>
                <w:b/>
                <w:color w:val="FFFFFF"/>
                <w:sz w:val="17"/>
              </w:rPr>
              <w:t>BIK base case (Year 3)</w:t>
            </w:r>
          </w:p>
        </w:tc>
        <w:tc>
          <w:tcPr>
            <w:tcW w:type="dxa" w:w="2986"/>
            <w:shd w:val="clear" w:color="auto" w:fill="252320"/>
            <w:tcMar>
              <w:top w:w="60" w:type="dxa"/>
              <w:bottom w:w="60" w:type="dxa"/>
              <w:left w:w="100" w:type="dxa"/>
              <w:right w:w="100" w:type="dxa"/>
            </w:tcMar>
            <w:vAlign w:val="center"/>
          </w:tcPr>
          <w:p>
            <w:r/>
            <w:r>
              <w:rPr>
                <w:b/>
                <w:color w:val="FFFFFF"/>
                <w:sz w:val="17"/>
              </w:rPr>
              <w:t>What "good" typically looks like</w:t>
            </w:r>
          </w:p>
        </w:tc>
      </w:tr>
      <w:tr>
        <w:tc>
          <w:tcPr>
            <w:tcW w:type="dxa" w:w="2986"/>
            <w:tcMar>
              <w:top w:w="60" w:type="dxa"/>
              <w:bottom w:w="60" w:type="dxa"/>
              <w:left w:w="100" w:type="dxa"/>
              <w:right w:w="100" w:type="dxa"/>
            </w:tcMar>
            <w:vAlign w:val="center"/>
          </w:tcPr>
          <w:p>
            <w:r/>
            <w:r>
              <w:rPr>
                <w:color w:val="3A3835"/>
                <w:sz w:val="17"/>
              </w:rPr>
              <w:t>MRR / ARR</w:t>
            </w:r>
          </w:p>
        </w:tc>
        <w:tc>
          <w:tcPr>
            <w:tcW w:type="dxa" w:w="2986"/>
            <w:tcMar>
              <w:top w:w="60" w:type="dxa"/>
              <w:bottom w:w="60" w:type="dxa"/>
              <w:left w:w="100" w:type="dxa"/>
              <w:right w:w="100" w:type="dxa"/>
            </w:tcMar>
            <w:vAlign w:val="center"/>
          </w:tcPr>
          <w:p>
            <w:r/>
            <w:r>
              <w:rPr>
                <w:color w:val="3A3835"/>
                <w:sz w:val="17"/>
              </w:rPr>
              <w:t>$50,000 / $600,000</w:t>
            </w:r>
          </w:p>
        </w:tc>
        <w:tc>
          <w:tcPr>
            <w:tcW w:type="dxa" w:w="2986"/>
            <w:tcMar>
              <w:top w:w="60" w:type="dxa"/>
              <w:bottom w:w="60" w:type="dxa"/>
              <w:left w:w="100" w:type="dxa"/>
              <w:right w:w="100" w:type="dxa"/>
            </w:tcMar>
            <w:vAlign w:val="center"/>
          </w:tcPr>
          <w:p>
            <w:r/>
            <w:r>
              <w:rPr>
                <w:color w:val="3A3835"/>
                <w:sz w:val="17"/>
              </w:rPr>
              <w:t>N/A — absolute figures, context-dependent</w:t>
            </w:r>
          </w:p>
        </w:tc>
      </w:tr>
      <w:tr>
        <w:tc>
          <w:tcPr>
            <w:tcW w:type="dxa" w:w="2986"/>
            <w:tcMar>
              <w:top w:w="60" w:type="dxa"/>
              <w:bottom w:w="60" w:type="dxa"/>
              <w:left w:w="100" w:type="dxa"/>
              <w:right w:w="100" w:type="dxa"/>
            </w:tcMar>
            <w:vAlign w:val="center"/>
            <w:shd w:val="clear" w:color="auto" w:fill="F2EFEA"/>
          </w:tcPr>
          <w:p>
            <w:r/>
            <w:r>
              <w:rPr>
                <w:color w:val="3A3835"/>
                <w:sz w:val="17"/>
              </w:rPr>
              <w:t>Monthly logo churn</w:t>
            </w:r>
          </w:p>
        </w:tc>
        <w:tc>
          <w:tcPr>
            <w:tcW w:type="dxa" w:w="2986"/>
            <w:tcMar>
              <w:top w:w="60" w:type="dxa"/>
              <w:bottom w:w="60" w:type="dxa"/>
              <w:left w:w="100" w:type="dxa"/>
              <w:right w:w="100" w:type="dxa"/>
            </w:tcMar>
            <w:vAlign w:val="center"/>
            <w:shd w:val="clear" w:color="auto" w:fill="F2EFEA"/>
          </w:tcPr>
          <w:p>
            <w:r/>
            <w:r>
              <w:rPr>
                <w:color w:val="3A3835"/>
                <w:sz w:val="17"/>
              </w:rPr>
              <w:t>3.2%</w:t>
            </w:r>
          </w:p>
        </w:tc>
        <w:tc>
          <w:tcPr>
            <w:tcW w:type="dxa" w:w="2986"/>
            <w:tcMar>
              <w:top w:w="60" w:type="dxa"/>
              <w:bottom w:w="60" w:type="dxa"/>
              <w:left w:w="100" w:type="dxa"/>
              <w:right w:w="100" w:type="dxa"/>
            </w:tcMar>
            <w:vAlign w:val="center"/>
            <w:shd w:val="clear" w:color="auto" w:fill="F2EFEA"/>
          </w:tcPr>
          <w:p>
            <w:r/>
            <w:r>
              <w:rPr>
                <w:color w:val="3A3835"/>
                <w:sz w:val="17"/>
              </w:rPr>
              <w:t>Under 5% is common for SME-focused SaaS</w:t>
            </w:r>
          </w:p>
        </w:tc>
      </w:tr>
      <w:tr>
        <w:tc>
          <w:tcPr>
            <w:tcW w:type="dxa" w:w="2986"/>
            <w:tcMar>
              <w:top w:w="60" w:type="dxa"/>
              <w:bottom w:w="60" w:type="dxa"/>
              <w:left w:w="100" w:type="dxa"/>
              <w:right w:w="100" w:type="dxa"/>
            </w:tcMar>
            <w:vAlign w:val="center"/>
          </w:tcPr>
          <w:p>
            <w:r/>
            <w:r>
              <w:rPr>
                <w:color w:val="3A3835"/>
                <w:sz w:val="17"/>
              </w:rPr>
              <w:t>Net Revenue Retention</w:t>
            </w:r>
          </w:p>
        </w:tc>
        <w:tc>
          <w:tcPr>
            <w:tcW w:type="dxa" w:w="2986"/>
            <w:tcMar>
              <w:top w:w="60" w:type="dxa"/>
              <w:bottom w:w="60" w:type="dxa"/>
              <w:left w:w="100" w:type="dxa"/>
              <w:right w:w="100" w:type="dxa"/>
            </w:tcMar>
            <w:vAlign w:val="center"/>
          </w:tcPr>
          <w:p>
            <w:r/>
            <w:r>
              <w:rPr>
                <w:color w:val="3A3835"/>
                <w:sz w:val="17"/>
              </w:rPr>
              <w:t>101%</w:t>
            </w:r>
          </w:p>
        </w:tc>
        <w:tc>
          <w:tcPr>
            <w:tcW w:type="dxa" w:w="2986"/>
            <w:tcMar>
              <w:top w:w="60" w:type="dxa"/>
              <w:bottom w:w="60" w:type="dxa"/>
              <w:left w:w="100" w:type="dxa"/>
              <w:right w:w="100" w:type="dxa"/>
            </w:tcMar>
            <w:vAlign w:val="center"/>
          </w:tcPr>
          <w:p>
            <w:r/>
            <w:r>
              <w:rPr>
                <w:color w:val="3A3835"/>
                <w:sz w:val="17"/>
              </w:rPr>
              <w:t>100%+ is considered healthy; 110%+ is excellent</w:t>
            </w:r>
          </w:p>
        </w:tc>
      </w:tr>
      <w:tr>
        <w:tc>
          <w:tcPr>
            <w:tcW w:type="dxa" w:w="2986"/>
            <w:tcMar>
              <w:top w:w="60" w:type="dxa"/>
              <w:bottom w:w="60" w:type="dxa"/>
              <w:left w:w="100" w:type="dxa"/>
              <w:right w:w="100" w:type="dxa"/>
            </w:tcMar>
            <w:vAlign w:val="center"/>
            <w:shd w:val="clear" w:color="auto" w:fill="F2EFEA"/>
          </w:tcPr>
          <w:p>
            <w:r/>
            <w:r>
              <w:rPr>
                <w:color w:val="3A3835"/>
                <w:sz w:val="17"/>
              </w:rPr>
              <w:t>LTV : CAC</w:t>
            </w:r>
          </w:p>
        </w:tc>
        <w:tc>
          <w:tcPr>
            <w:tcW w:type="dxa" w:w="2986"/>
            <w:tcMar>
              <w:top w:w="60" w:type="dxa"/>
              <w:bottom w:w="60" w:type="dxa"/>
              <w:left w:w="100" w:type="dxa"/>
              <w:right w:w="100" w:type="dxa"/>
            </w:tcMar>
            <w:vAlign w:val="center"/>
            <w:shd w:val="clear" w:color="auto" w:fill="F2EFEA"/>
          </w:tcPr>
          <w:p>
            <w:r/>
            <w:r>
              <w:rPr>
                <w:color w:val="3A3835"/>
                <w:sz w:val="17"/>
              </w:rPr>
              <w:t>21.4x (base case)</w:t>
            </w:r>
          </w:p>
        </w:tc>
        <w:tc>
          <w:tcPr>
            <w:tcW w:type="dxa" w:w="2986"/>
            <w:tcMar>
              <w:top w:w="60" w:type="dxa"/>
              <w:bottom w:w="60" w:type="dxa"/>
              <w:left w:w="100" w:type="dxa"/>
              <w:right w:w="100" w:type="dxa"/>
            </w:tcMar>
            <w:vAlign w:val="center"/>
            <w:shd w:val="clear" w:color="auto" w:fill="F2EFEA"/>
          </w:tcPr>
          <w:p>
            <w:r/>
            <w:r>
              <w:rPr>
                <w:color w:val="3A3835"/>
                <w:sz w:val="17"/>
              </w:rPr>
              <w:t>Above 3x is considered healthy</w:t>
            </w:r>
          </w:p>
        </w:tc>
      </w:tr>
      <w:tr>
        <w:tc>
          <w:tcPr>
            <w:tcW w:type="dxa" w:w="2986"/>
            <w:tcMar>
              <w:top w:w="60" w:type="dxa"/>
              <w:bottom w:w="60" w:type="dxa"/>
              <w:left w:w="100" w:type="dxa"/>
              <w:right w:w="100" w:type="dxa"/>
            </w:tcMar>
            <w:vAlign w:val="center"/>
          </w:tcPr>
          <w:p>
            <w:r/>
            <w:r>
              <w:rPr>
                <w:color w:val="3A3835"/>
                <w:sz w:val="17"/>
              </w:rPr>
              <w:t>CAC payback period</w:t>
            </w:r>
          </w:p>
        </w:tc>
        <w:tc>
          <w:tcPr>
            <w:tcW w:type="dxa" w:w="2986"/>
            <w:tcMar>
              <w:top w:w="60" w:type="dxa"/>
              <w:bottom w:w="60" w:type="dxa"/>
              <w:left w:w="100" w:type="dxa"/>
              <w:right w:w="100" w:type="dxa"/>
            </w:tcMar>
            <w:vAlign w:val="center"/>
          </w:tcPr>
          <w:p>
            <w:r/>
            <w:r>
              <w:rPr>
                <w:color w:val="3A3835"/>
                <w:sz w:val="17"/>
              </w:rPr>
              <w:t>1.5 months</w:t>
            </w:r>
          </w:p>
        </w:tc>
        <w:tc>
          <w:tcPr>
            <w:tcW w:type="dxa" w:w="2986"/>
            <w:tcMar>
              <w:top w:w="60" w:type="dxa"/>
              <w:bottom w:w="60" w:type="dxa"/>
              <w:left w:w="100" w:type="dxa"/>
              <w:right w:w="100" w:type="dxa"/>
            </w:tcMar>
            <w:vAlign w:val="center"/>
          </w:tcPr>
          <w:p>
            <w:r/>
            <w:r>
              <w:rPr>
                <w:color w:val="3A3835"/>
                <w:sz w:val="17"/>
              </w:rPr>
              <w:t>Under 12 months is considered healthy</w:t>
            </w:r>
          </w:p>
        </w:tc>
      </w:tr>
      <w:tr>
        <w:tc>
          <w:tcPr>
            <w:tcW w:type="dxa" w:w="2986"/>
            <w:tcMar>
              <w:top w:w="60" w:type="dxa"/>
              <w:bottom w:w="60" w:type="dxa"/>
              <w:left w:w="100" w:type="dxa"/>
              <w:right w:w="100" w:type="dxa"/>
            </w:tcMar>
            <w:vAlign w:val="center"/>
            <w:shd w:val="clear" w:color="auto" w:fill="F2EFEA"/>
          </w:tcPr>
          <w:p>
            <w:r/>
            <w:r>
              <w:rPr>
                <w:color w:val="3A3835"/>
                <w:sz w:val="17"/>
              </w:rPr>
              <w:t>Gross margin</w:t>
            </w:r>
          </w:p>
        </w:tc>
        <w:tc>
          <w:tcPr>
            <w:tcW w:type="dxa" w:w="2986"/>
            <w:tcMar>
              <w:top w:w="60" w:type="dxa"/>
              <w:bottom w:w="60" w:type="dxa"/>
              <w:left w:w="100" w:type="dxa"/>
              <w:right w:w="100" w:type="dxa"/>
            </w:tcMar>
            <w:vAlign w:val="center"/>
            <w:shd w:val="clear" w:color="auto" w:fill="F2EFEA"/>
          </w:tcPr>
          <w:p>
            <w:r/>
            <w:r>
              <w:rPr>
                <w:color w:val="3A3835"/>
                <w:sz w:val="17"/>
              </w:rPr>
              <w:t>~89%</w:t>
            </w:r>
          </w:p>
        </w:tc>
        <w:tc>
          <w:tcPr>
            <w:tcW w:type="dxa" w:w="2986"/>
            <w:tcMar>
              <w:top w:w="60" w:type="dxa"/>
              <w:bottom w:w="60" w:type="dxa"/>
              <w:left w:w="100" w:type="dxa"/>
              <w:right w:w="100" w:type="dxa"/>
            </w:tcMar>
            <w:vAlign w:val="center"/>
            <w:shd w:val="clear" w:color="auto" w:fill="F2EFEA"/>
          </w:tcPr>
          <w:p>
            <w:r/>
            <w:r>
              <w:rPr>
                <w:color w:val="3A3835"/>
                <w:sz w:val="17"/>
              </w:rPr>
              <w:t>80%+ is typical for well-run software businesses</w:t>
            </w:r>
          </w:p>
        </w:tc>
      </w:tr>
      <w:tr>
        <w:tc>
          <w:tcPr>
            <w:tcW w:type="dxa" w:w="2986"/>
            <w:tcMar>
              <w:top w:w="60" w:type="dxa"/>
              <w:bottom w:w="60" w:type="dxa"/>
              <w:left w:w="100" w:type="dxa"/>
              <w:right w:w="100" w:type="dxa"/>
            </w:tcMar>
            <w:vAlign w:val="center"/>
          </w:tcPr>
          <w:p>
            <w:r/>
            <w:r>
              <w:rPr>
                <w:color w:val="3A3835"/>
                <w:sz w:val="17"/>
              </w:rPr>
              <w:t>Rule of 40 (growth % + margin %)</w:t>
            </w:r>
          </w:p>
        </w:tc>
        <w:tc>
          <w:tcPr>
            <w:tcW w:type="dxa" w:w="2986"/>
            <w:tcMar>
              <w:top w:w="60" w:type="dxa"/>
              <w:bottom w:w="60" w:type="dxa"/>
              <w:left w:w="100" w:type="dxa"/>
              <w:right w:w="100" w:type="dxa"/>
            </w:tcMar>
            <w:vAlign w:val="center"/>
          </w:tcPr>
          <w:p>
            <w:r/>
            <w:r>
              <w:rPr>
                <w:color w:val="3A3835"/>
                <w:sz w:val="17"/>
              </w:rPr>
              <w:t>~176</w:t>
            </w:r>
          </w:p>
        </w:tc>
        <w:tc>
          <w:tcPr>
            <w:tcW w:type="dxa" w:w="2986"/>
            <w:tcMar>
              <w:top w:w="60" w:type="dxa"/>
              <w:bottom w:w="60" w:type="dxa"/>
              <w:left w:w="100" w:type="dxa"/>
              <w:right w:w="100" w:type="dxa"/>
            </w:tcMar>
            <w:vAlign w:val="center"/>
          </w:tcPr>
          <w:p>
            <w:r/>
            <w:r>
              <w:rPr>
                <w:color w:val="3A3835"/>
                <w:sz w:val="17"/>
              </w:rPr>
              <w:t>40+ is considered healthy</w:t>
            </w:r>
          </w:p>
        </w:tc>
      </w:tr>
    </w:tbl>
    <w:p>
      <w:pPr>
        <w:spacing w:after="120"/>
      </w:pPr>
    </w:p>
    <w:p>
      <w:pPr>
        <w:pStyle w:val="BIKChapterLabel"/>
      </w:pPr>
      <w:r>
        <w:t>APPENDICES</w:t>
      </w:r>
    </w:p>
    <w:p>
      <w:pPr>
        <w:pStyle w:val="BIKChapterTitle"/>
        <w:pBdr>
          <w:bottom w:val="single" w:sz="18" w:space="8" w:color="D85A30"/>
        </w:pBdr>
      </w:pPr>
      <w:r>
        <w:t>39   Appendix J — Illustrative Quarterly Board Report</w:t>
      </w:r>
    </w:p>
    <w:p>
      <w:pPr>
        <w:pStyle w:val="BIKBody"/>
        <w:jc w:val="both"/>
      </w:pPr>
      <w:r>
        <w:t>To make the Chapter 28 reporting cadence concrete, this appendix is a fully worked illustrative example of the quarterly report format the Board would receive — using an illustrative future quarter (Q3 2027, the Phase 2 completion checkpoint) so the format can be reviewed and adopted before it is needed for real.</w:t>
      </w: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ILLUSTRATIVE — Q3 2027 BOARD REPORT (WORKED EXAMPLE, NOT AN ACTUAL RESULT)</w:t>
            </w:r>
          </w:p>
          <w:p>
            <w:r>
              <w:rPr>
                <w:color w:val="FFFFFF"/>
                <w:sz w:val="20"/>
              </w:rPr>
              <w:t>This is a template exercise. No figures on this page describe a result that has actually occurred; they are placeholders showing the format and the level of detail expected.</w:t>
            </w:r>
          </w:p>
        </w:tc>
      </w:tr>
    </w:tbl>
    <w:p>
      <w:pPr>
        <w:spacing w:after="80"/>
      </w:pPr>
    </w:p>
    <w:tbl>
      <w:tblPr>
        <w:tblStyle w:val="TableGrid"/>
        <w:tblW w:type="auto" w:w="0"/>
        <w:tblLayout w:type="fixed"/>
        <w:tblLook w:firstColumn="1" w:firstRow="1" w:lastColumn="0" w:lastRow="0" w:noHBand="0" w:noVBand="1" w:val="04A0"/>
      </w:tblPr>
      <w:tblGrid>
        <w:gridCol w:w="2239"/>
        <w:gridCol w:w="2239"/>
        <w:gridCol w:w="2239"/>
        <w:gridCol w:w="2239"/>
      </w:tblGrid>
      <w:tr>
        <w:tc>
          <w:tcPr>
            <w:tcW w:type="dxa" w:w="2239"/>
            <w:shd w:val="clear" w:color="auto" w:fill="252320"/>
            <w:tcMar>
              <w:top w:w="60" w:type="dxa"/>
              <w:bottom w:w="60" w:type="dxa"/>
              <w:left w:w="100" w:type="dxa"/>
              <w:right w:w="100" w:type="dxa"/>
            </w:tcMar>
            <w:vAlign w:val="center"/>
          </w:tcPr>
          <w:p>
            <w:r/>
            <w:r>
              <w:rPr>
                <w:b/>
                <w:color w:val="FFFFFF"/>
                <w:sz w:val="17"/>
              </w:rPr>
              <w:t>Metric</w:t>
            </w:r>
          </w:p>
        </w:tc>
        <w:tc>
          <w:tcPr>
            <w:tcW w:type="dxa" w:w="2239"/>
            <w:shd w:val="clear" w:color="auto" w:fill="252320"/>
            <w:tcMar>
              <w:top w:w="60" w:type="dxa"/>
              <w:bottom w:w="60" w:type="dxa"/>
              <w:left w:w="100" w:type="dxa"/>
              <w:right w:w="100" w:type="dxa"/>
            </w:tcMar>
            <w:vAlign w:val="center"/>
          </w:tcPr>
          <w:p>
            <w:r/>
            <w:r>
              <w:rPr>
                <w:b/>
                <w:color w:val="FFFFFF"/>
                <w:sz w:val="17"/>
              </w:rPr>
              <w:t>Target (Chapter 8)</w:t>
            </w:r>
          </w:p>
        </w:tc>
        <w:tc>
          <w:tcPr>
            <w:tcW w:type="dxa" w:w="2239"/>
            <w:shd w:val="clear" w:color="auto" w:fill="252320"/>
            <w:tcMar>
              <w:top w:w="60" w:type="dxa"/>
              <w:bottom w:w="60" w:type="dxa"/>
              <w:left w:w="100" w:type="dxa"/>
              <w:right w:w="100" w:type="dxa"/>
            </w:tcMar>
            <w:vAlign w:val="center"/>
          </w:tcPr>
          <w:p>
            <w:r/>
            <w:r>
              <w:rPr>
                <w:b/>
                <w:color w:val="FFFFFF"/>
                <w:sz w:val="17"/>
              </w:rPr>
              <w:t>Illustrative actual</w:t>
            </w:r>
          </w:p>
        </w:tc>
        <w:tc>
          <w:tcPr>
            <w:tcW w:type="dxa" w:w="2239"/>
            <w:shd w:val="clear" w:color="auto" w:fill="252320"/>
            <w:tcMar>
              <w:top w:w="60" w:type="dxa"/>
              <w:bottom w:w="60" w:type="dxa"/>
              <w:left w:w="100" w:type="dxa"/>
              <w:right w:w="100" w:type="dxa"/>
            </w:tcMar>
            <w:vAlign w:val="center"/>
          </w:tcPr>
          <w:p>
            <w:r/>
            <w:r>
              <w:rPr>
                <w:b/>
                <w:color w:val="FFFFFF"/>
                <w:sz w:val="17"/>
              </w:rPr>
              <w:t>Variance commentary</w:t>
            </w:r>
          </w:p>
        </w:tc>
      </w:tr>
      <w:tr>
        <w:tc>
          <w:tcPr>
            <w:tcW w:type="dxa" w:w="2239"/>
            <w:tcMar>
              <w:top w:w="60" w:type="dxa"/>
              <w:bottom w:w="60" w:type="dxa"/>
              <w:left w:w="100" w:type="dxa"/>
              <w:right w:w="100" w:type="dxa"/>
            </w:tcMar>
            <w:vAlign w:val="center"/>
          </w:tcPr>
          <w:p>
            <w:r/>
            <w:r>
              <w:rPr>
                <w:color w:val="3A3835"/>
                <w:sz w:val="17"/>
              </w:rPr>
              <w:t>Paying subscribers</w:t>
            </w:r>
          </w:p>
        </w:tc>
        <w:tc>
          <w:tcPr>
            <w:tcW w:type="dxa" w:w="2239"/>
            <w:tcMar>
              <w:top w:w="60" w:type="dxa"/>
              <w:bottom w:w="60" w:type="dxa"/>
              <w:left w:w="100" w:type="dxa"/>
              <w:right w:w="100" w:type="dxa"/>
            </w:tcMar>
            <w:vAlign w:val="center"/>
          </w:tcPr>
          <w:p>
            <w:r/>
            <w:r>
              <w:rPr>
                <w:color w:val="3A3835"/>
                <w:sz w:val="17"/>
              </w:rPr>
              <w:t>500</w:t>
            </w:r>
          </w:p>
        </w:tc>
        <w:tc>
          <w:tcPr>
            <w:tcW w:type="dxa" w:w="2239"/>
            <w:tcMar>
              <w:top w:w="60" w:type="dxa"/>
              <w:bottom w:w="60" w:type="dxa"/>
              <w:left w:w="100" w:type="dxa"/>
              <w:right w:w="100" w:type="dxa"/>
            </w:tcMar>
            <w:vAlign w:val="center"/>
          </w:tcPr>
          <w:p>
            <w:r/>
            <w:r>
              <w:rPr>
                <w:color w:val="3A3835"/>
                <w:sz w:val="17"/>
              </w:rPr>
              <w:t>[to be completed]</w:t>
            </w:r>
          </w:p>
        </w:tc>
        <w:tc>
          <w:tcPr>
            <w:tcW w:type="dxa" w:w="2239"/>
            <w:tcMar>
              <w:top w:w="60" w:type="dxa"/>
              <w:bottom w:w="60" w:type="dxa"/>
              <w:left w:w="100" w:type="dxa"/>
              <w:right w:w="100" w:type="dxa"/>
            </w:tcMar>
            <w:vAlign w:val="center"/>
          </w:tcPr>
          <w:p>
            <w:r/>
            <w:r>
              <w:rPr>
                <w:color w:val="3A3835"/>
                <w:sz w:val="17"/>
              </w:rPr>
              <w:t>[to be completed]</w:t>
            </w:r>
          </w:p>
        </w:tc>
      </w:tr>
      <w:tr>
        <w:tc>
          <w:tcPr>
            <w:tcW w:type="dxa" w:w="2239"/>
            <w:tcMar>
              <w:top w:w="60" w:type="dxa"/>
              <w:bottom w:w="60" w:type="dxa"/>
              <w:left w:w="100" w:type="dxa"/>
              <w:right w:w="100" w:type="dxa"/>
            </w:tcMar>
            <w:vAlign w:val="center"/>
            <w:shd w:val="clear" w:color="auto" w:fill="F2EFEA"/>
          </w:tcPr>
          <w:p>
            <w:r/>
            <w:r>
              <w:rPr>
                <w:color w:val="3A3835"/>
                <w:sz w:val="17"/>
              </w:rPr>
              <w:t>MRR</w:t>
            </w:r>
          </w:p>
        </w:tc>
        <w:tc>
          <w:tcPr>
            <w:tcW w:type="dxa" w:w="2239"/>
            <w:tcMar>
              <w:top w:w="60" w:type="dxa"/>
              <w:bottom w:w="60" w:type="dxa"/>
              <w:left w:w="100" w:type="dxa"/>
              <w:right w:w="100" w:type="dxa"/>
            </w:tcMar>
            <w:vAlign w:val="center"/>
            <w:shd w:val="clear" w:color="auto" w:fill="F2EFEA"/>
          </w:tcPr>
          <w:p>
            <w:r/>
            <w:r>
              <w:rPr>
                <w:color w:val="3A3835"/>
                <w:sz w:val="17"/>
              </w:rPr>
              <w:t>$15,000</w:t>
            </w:r>
          </w:p>
        </w:tc>
        <w:tc>
          <w:tcPr>
            <w:tcW w:type="dxa" w:w="2239"/>
            <w:tcMar>
              <w:top w:w="60" w:type="dxa"/>
              <w:bottom w:w="60" w:type="dxa"/>
              <w:left w:w="100" w:type="dxa"/>
              <w:right w:w="100" w:type="dxa"/>
            </w:tcMar>
            <w:vAlign w:val="center"/>
            <w:shd w:val="clear" w:color="auto" w:fill="F2EFEA"/>
          </w:tcPr>
          <w:p>
            <w:r/>
            <w:r>
              <w:rPr>
                <w:color w:val="3A3835"/>
                <w:sz w:val="17"/>
              </w:rPr>
              <w:t>[to be completed]</w:t>
            </w:r>
          </w:p>
        </w:tc>
        <w:tc>
          <w:tcPr>
            <w:tcW w:type="dxa" w:w="2239"/>
            <w:tcMar>
              <w:top w:w="60" w:type="dxa"/>
              <w:bottom w:w="60" w:type="dxa"/>
              <w:left w:w="100" w:type="dxa"/>
              <w:right w:w="100" w:type="dxa"/>
            </w:tcMar>
            <w:vAlign w:val="center"/>
            <w:shd w:val="clear" w:color="auto" w:fill="F2EFEA"/>
          </w:tcPr>
          <w:p>
            <w:r/>
            <w:r>
              <w:rPr>
                <w:color w:val="3A3835"/>
                <w:sz w:val="17"/>
              </w:rPr>
              <w:t>[to be completed]</w:t>
            </w:r>
          </w:p>
        </w:tc>
      </w:tr>
      <w:tr>
        <w:tc>
          <w:tcPr>
            <w:tcW w:type="dxa" w:w="2239"/>
            <w:tcMar>
              <w:top w:w="60" w:type="dxa"/>
              <w:bottom w:w="60" w:type="dxa"/>
              <w:left w:w="100" w:type="dxa"/>
              <w:right w:w="100" w:type="dxa"/>
            </w:tcMar>
            <w:vAlign w:val="center"/>
          </w:tcPr>
          <w:p>
            <w:r/>
            <w:r>
              <w:rPr>
                <w:color w:val="3A3835"/>
                <w:sz w:val="17"/>
              </w:rPr>
              <w:t>Tools live</w:t>
            </w:r>
          </w:p>
        </w:tc>
        <w:tc>
          <w:tcPr>
            <w:tcW w:type="dxa" w:w="2239"/>
            <w:tcMar>
              <w:top w:w="60" w:type="dxa"/>
              <w:bottom w:w="60" w:type="dxa"/>
              <w:left w:w="100" w:type="dxa"/>
              <w:right w:w="100" w:type="dxa"/>
            </w:tcMar>
            <w:vAlign w:val="center"/>
          </w:tcPr>
          <w:p>
            <w:r/>
            <w:r>
              <w:rPr>
                <w:color w:val="3A3835"/>
                <w:sz w:val="17"/>
              </w:rPr>
              <w:t>25</w:t>
            </w:r>
          </w:p>
        </w:tc>
        <w:tc>
          <w:tcPr>
            <w:tcW w:type="dxa" w:w="2239"/>
            <w:tcMar>
              <w:top w:w="60" w:type="dxa"/>
              <w:bottom w:w="60" w:type="dxa"/>
              <w:left w:w="100" w:type="dxa"/>
              <w:right w:w="100" w:type="dxa"/>
            </w:tcMar>
            <w:vAlign w:val="center"/>
          </w:tcPr>
          <w:p>
            <w:r/>
            <w:r>
              <w:rPr>
                <w:color w:val="3A3835"/>
                <w:sz w:val="17"/>
              </w:rPr>
              <w:t>[to be completed]</w:t>
            </w:r>
          </w:p>
        </w:tc>
        <w:tc>
          <w:tcPr>
            <w:tcW w:type="dxa" w:w="2239"/>
            <w:tcMar>
              <w:top w:w="60" w:type="dxa"/>
              <w:bottom w:w="60" w:type="dxa"/>
              <w:left w:w="100" w:type="dxa"/>
              <w:right w:w="100" w:type="dxa"/>
            </w:tcMar>
            <w:vAlign w:val="center"/>
          </w:tcPr>
          <w:p>
            <w:r/>
            <w:r>
              <w:rPr>
                <w:color w:val="3A3835"/>
                <w:sz w:val="17"/>
              </w:rPr>
              <w:t>[to be completed]</w:t>
            </w:r>
          </w:p>
        </w:tc>
      </w:tr>
      <w:tr>
        <w:tc>
          <w:tcPr>
            <w:tcW w:type="dxa" w:w="2239"/>
            <w:tcMar>
              <w:top w:w="60" w:type="dxa"/>
              <w:bottom w:w="60" w:type="dxa"/>
              <w:left w:w="100" w:type="dxa"/>
              <w:right w:w="100" w:type="dxa"/>
            </w:tcMar>
            <w:vAlign w:val="center"/>
            <w:shd w:val="clear" w:color="auto" w:fill="F2EFEA"/>
          </w:tcPr>
          <w:p>
            <w:r/>
            <w:r>
              <w:rPr>
                <w:color w:val="3A3835"/>
                <w:sz w:val="17"/>
              </w:rPr>
              <w:t>Net revenue retention</w:t>
            </w:r>
          </w:p>
        </w:tc>
        <w:tc>
          <w:tcPr>
            <w:tcW w:type="dxa" w:w="2239"/>
            <w:tcMar>
              <w:top w:w="60" w:type="dxa"/>
              <w:bottom w:w="60" w:type="dxa"/>
              <w:left w:w="100" w:type="dxa"/>
              <w:right w:w="100" w:type="dxa"/>
            </w:tcMar>
            <w:vAlign w:val="center"/>
            <w:shd w:val="clear" w:color="auto" w:fill="F2EFEA"/>
          </w:tcPr>
          <w:p>
            <w:r/>
            <w:r>
              <w:rPr>
                <w:color w:val="3A3835"/>
                <w:sz w:val="17"/>
              </w:rPr>
              <w:t>~101% (base case)</w:t>
            </w:r>
          </w:p>
        </w:tc>
        <w:tc>
          <w:tcPr>
            <w:tcW w:type="dxa" w:w="2239"/>
            <w:tcMar>
              <w:top w:w="60" w:type="dxa"/>
              <w:bottom w:w="60" w:type="dxa"/>
              <w:left w:w="100" w:type="dxa"/>
              <w:right w:w="100" w:type="dxa"/>
            </w:tcMar>
            <w:vAlign w:val="center"/>
            <w:shd w:val="clear" w:color="auto" w:fill="F2EFEA"/>
          </w:tcPr>
          <w:p>
            <w:r/>
            <w:r>
              <w:rPr>
                <w:color w:val="3A3835"/>
                <w:sz w:val="17"/>
              </w:rPr>
              <w:t>[to be completed]</w:t>
            </w:r>
          </w:p>
        </w:tc>
        <w:tc>
          <w:tcPr>
            <w:tcW w:type="dxa" w:w="2239"/>
            <w:tcMar>
              <w:top w:w="60" w:type="dxa"/>
              <w:bottom w:w="60" w:type="dxa"/>
              <w:left w:w="100" w:type="dxa"/>
              <w:right w:w="100" w:type="dxa"/>
            </w:tcMar>
            <w:vAlign w:val="center"/>
            <w:shd w:val="clear" w:color="auto" w:fill="F2EFEA"/>
          </w:tcPr>
          <w:p>
            <w:r/>
            <w:r>
              <w:rPr>
                <w:color w:val="3A3835"/>
                <w:sz w:val="17"/>
              </w:rPr>
              <w:t>[to be completed]</w:t>
            </w:r>
          </w:p>
        </w:tc>
      </w:tr>
      <w:tr>
        <w:tc>
          <w:tcPr>
            <w:tcW w:type="dxa" w:w="2239"/>
            <w:tcMar>
              <w:top w:w="60" w:type="dxa"/>
              <w:bottom w:w="60" w:type="dxa"/>
              <w:left w:w="100" w:type="dxa"/>
              <w:right w:w="100" w:type="dxa"/>
            </w:tcMar>
            <w:vAlign w:val="center"/>
          </w:tcPr>
          <w:p>
            <w:r/>
            <w:r>
              <w:rPr>
                <w:color w:val="3A3835"/>
                <w:sz w:val="17"/>
              </w:rPr>
              <w:t>Monthly logo churn</w:t>
            </w:r>
          </w:p>
        </w:tc>
        <w:tc>
          <w:tcPr>
            <w:tcW w:type="dxa" w:w="2239"/>
            <w:tcMar>
              <w:top w:w="60" w:type="dxa"/>
              <w:bottom w:w="60" w:type="dxa"/>
              <w:left w:w="100" w:type="dxa"/>
              <w:right w:w="100" w:type="dxa"/>
            </w:tcMar>
            <w:vAlign w:val="center"/>
          </w:tcPr>
          <w:p>
            <w:r/>
            <w:r>
              <w:rPr>
                <w:color w:val="3A3835"/>
                <w:sz w:val="17"/>
              </w:rPr>
              <w:t>~3.2% (base case)</w:t>
            </w:r>
          </w:p>
        </w:tc>
        <w:tc>
          <w:tcPr>
            <w:tcW w:type="dxa" w:w="2239"/>
            <w:tcMar>
              <w:top w:w="60" w:type="dxa"/>
              <w:bottom w:w="60" w:type="dxa"/>
              <w:left w:w="100" w:type="dxa"/>
              <w:right w:w="100" w:type="dxa"/>
            </w:tcMar>
            <w:vAlign w:val="center"/>
          </w:tcPr>
          <w:p>
            <w:r/>
            <w:r>
              <w:rPr>
                <w:color w:val="3A3835"/>
                <w:sz w:val="17"/>
              </w:rPr>
              <w:t>[to be completed]</w:t>
            </w:r>
          </w:p>
        </w:tc>
        <w:tc>
          <w:tcPr>
            <w:tcW w:type="dxa" w:w="2239"/>
            <w:tcMar>
              <w:top w:w="60" w:type="dxa"/>
              <w:bottom w:w="60" w:type="dxa"/>
              <w:left w:w="100" w:type="dxa"/>
              <w:right w:w="100" w:type="dxa"/>
            </w:tcMar>
            <w:vAlign w:val="center"/>
          </w:tcPr>
          <w:p>
            <w:r/>
            <w:r>
              <w:rPr>
                <w:color w:val="3A3835"/>
                <w:sz w:val="17"/>
              </w:rPr>
              <w:t>[to be completed]</w:t>
            </w:r>
          </w:p>
        </w:tc>
      </w:tr>
      <w:tr>
        <w:tc>
          <w:tcPr>
            <w:tcW w:type="dxa" w:w="2239"/>
            <w:tcMar>
              <w:top w:w="60" w:type="dxa"/>
              <w:bottom w:w="60" w:type="dxa"/>
              <w:left w:w="100" w:type="dxa"/>
              <w:right w:w="100" w:type="dxa"/>
            </w:tcMar>
            <w:vAlign w:val="center"/>
            <w:shd w:val="clear" w:color="auto" w:fill="F2EFEA"/>
          </w:tcPr>
          <w:p>
            <w:r/>
            <w:r>
              <w:rPr>
                <w:color w:val="3A3835"/>
                <w:sz w:val="17"/>
              </w:rPr>
              <w:t>Cash position</w:t>
            </w:r>
          </w:p>
        </w:tc>
        <w:tc>
          <w:tcPr>
            <w:tcW w:type="dxa" w:w="2239"/>
            <w:tcMar>
              <w:top w:w="60" w:type="dxa"/>
              <w:bottom w:w="60" w:type="dxa"/>
              <w:left w:w="100" w:type="dxa"/>
              <w:right w:w="100" w:type="dxa"/>
            </w:tcMar>
            <w:vAlign w:val="center"/>
            <w:shd w:val="clear" w:color="auto" w:fill="F2EFEA"/>
          </w:tcPr>
          <w:p>
            <w:r/>
            <w:r>
              <w:rPr>
                <w:color w:val="3A3835"/>
                <w:sz w:val="17"/>
              </w:rPr>
              <w:t>Per Chapter 19 bootstrap path</w:t>
            </w:r>
          </w:p>
        </w:tc>
        <w:tc>
          <w:tcPr>
            <w:tcW w:type="dxa" w:w="2239"/>
            <w:tcMar>
              <w:top w:w="60" w:type="dxa"/>
              <w:bottom w:w="60" w:type="dxa"/>
              <w:left w:w="100" w:type="dxa"/>
              <w:right w:w="100" w:type="dxa"/>
            </w:tcMar>
            <w:vAlign w:val="center"/>
            <w:shd w:val="clear" w:color="auto" w:fill="F2EFEA"/>
          </w:tcPr>
          <w:p>
            <w:r/>
            <w:r>
              <w:rPr>
                <w:color w:val="3A3835"/>
                <w:sz w:val="17"/>
              </w:rPr>
              <w:t>[to be completed]</w:t>
            </w:r>
          </w:p>
        </w:tc>
        <w:tc>
          <w:tcPr>
            <w:tcW w:type="dxa" w:w="2239"/>
            <w:tcMar>
              <w:top w:w="60" w:type="dxa"/>
              <w:bottom w:w="60" w:type="dxa"/>
              <w:left w:w="100" w:type="dxa"/>
              <w:right w:w="100" w:type="dxa"/>
            </w:tcMar>
            <w:vAlign w:val="center"/>
            <w:shd w:val="clear" w:color="auto" w:fill="F2EFEA"/>
          </w:tcPr>
          <w:p>
            <w:r/>
            <w:r>
              <w:rPr>
                <w:color w:val="3A3835"/>
                <w:sz w:val="17"/>
              </w:rPr>
              <w:t>[to be completed]</w:t>
            </w:r>
          </w:p>
        </w:tc>
      </w:tr>
    </w:tbl>
    <w:p>
      <w:pPr>
        <w:spacing w:after="120"/>
      </w:pPr>
    </w:p>
    <w:p>
      <w:pPr>
        <w:pStyle w:val="BIKBody"/>
        <w:jc w:val="both"/>
      </w:pPr>
      <w:r>
        <w:t>The narrative sections below the metrics table are where the report format earns its keep — numbers alone do not tell the Board whether a variance is a one-off timing effect or an early signal of a structural problem worth Chapter 26 risk-register attention.</w:t>
      </w:r>
    </w:p>
    <w:p>
      <w:pPr>
        <w:pStyle w:val="ListBullet"/>
      </w:pPr>
      <w:r>
        <w:t>Highlights this quarter — the two or three most important developments, positive or negative</w:t>
      </w:r>
    </w:p>
    <w:p>
      <w:pPr>
        <w:pStyle w:val="ListBullet"/>
      </w:pPr>
      <w:r>
        <w:t>Risk register movements — any risk that changed score since the last meeting, and why (Chapter 26)</w:t>
      </w:r>
    </w:p>
    <w:p>
      <w:pPr>
        <w:pStyle w:val="ListBullet"/>
      </w:pPr>
      <w:r>
        <w:t>Legal and Safety Tool Register changes — any tool promoted, held, or newly flagged (Chapter 27)</w:t>
      </w:r>
    </w:p>
    <w:p>
      <w:pPr>
        <w:pStyle w:val="ListBullet"/>
      </w:pPr>
      <w:r>
        <w:t>Competitive developments — any material move by a named competitor (Chapter 17)</w:t>
      </w:r>
    </w:p>
    <w:p>
      <w:pPr>
        <w:pStyle w:val="ListBullet"/>
      </w:pPr>
      <w:r>
        <w:t>Decisions requested of the Board this meeting, if any</w:t>
      </w:r>
    </w:p>
    <w:p>
      <w:pPr>
        <w:pStyle w:val="BIKChapterLabel"/>
      </w:pPr>
      <w:r>
        <w:t>APPENDICES</w:t>
      </w:r>
    </w:p>
    <w:p>
      <w:pPr>
        <w:pStyle w:val="BIKChapterTitle"/>
        <w:pBdr>
          <w:bottom w:val="single" w:sz="18" w:space="8" w:color="D85A30"/>
        </w:pBdr>
      </w:pPr>
      <w:r>
        <w:t>40   Appendix K — Bowtie Risk Analysis: Top Three Risks</w:t>
      </w:r>
    </w:p>
    <w:p>
      <w:pPr>
        <w:pStyle w:val="BIKBody"/>
        <w:jc w:val="both"/>
      </w:pPr>
      <w:r>
        <w:t>A bowtie diagram, presented here in table form, separates a risk's causes from its consequences and maps a control to each side — preventive controls that reduce the likelihood of the event, and mitigating controls that reduce the impact if it happens anyway. This appendix applies the technique to the three highest-scoring risks from Chapter 26.</w:t>
      </w:r>
    </w:p>
    <w:p>
      <w:pPr>
        <w:pStyle w:val="BIKH2"/>
      </w:pPr>
      <w:r>
        <w:t>RISK 1 — SLOW TRADE-SECTOR SOFTWARE ADOPTION</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Element</w:t>
            </w:r>
          </w:p>
        </w:tc>
        <w:tc>
          <w:tcPr>
            <w:tcW w:type="dxa" w:w="4479"/>
            <w:shd w:val="clear" w:color="auto" w:fill="252320"/>
            <w:tcMar>
              <w:top w:w="60" w:type="dxa"/>
              <w:bottom w:w="60" w:type="dxa"/>
              <w:left w:w="100" w:type="dxa"/>
              <w:right w:w="100" w:type="dxa"/>
            </w:tcMar>
            <w:vAlign w:val="center"/>
          </w:tcPr>
          <w:p>
            <w:r/>
            <w:r>
              <w:rPr>
                <w:b/>
                <w:color w:val="FFFFFF"/>
                <w:sz w:val="17"/>
              </w:rPr>
              <w:t>Detail</w:t>
            </w:r>
          </w:p>
        </w:tc>
      </w:tr>
      <w:tr>
        <w:tc>
          <w:tcPr>
            <w:tcW w:type="dxa" w:w="4479"/>
            <w:tcMar>
              <w:top w:w="60" w:type="dxa"/>
              <w:bottom w:w="60" w:type="dxa"/>
              <w:left w:w="100" w:type="dxa"/>
              <w:right w:w="100" w:type="dxa"/>
            </w:tcMar>
            <w:vAlign w:val="center"/>
          </w:tcPr>
          <w:p>
            <w:r/>
            <w:r>
              <w:rPr>
                <w:color w:val="3A3835"/>
                <w:sz w:val="17"/>
              </w:rPr>
              <w:t>Causes</w:t>
            </w:r>
          </w:p>
        </w:tc>
        <w:tc>
          <w:tcPr>
            <w:tcW w:type="dxa" w:w="4479"/>
            <w:tcMar>
              <w:top w:w="60" w:type="dxa"/>
              <w:bottom w:w="60" w:type="dxa"/>
              <w:left w:w="100" w:type="dxa"/>
              <w:right w:w="100" w:type="dxa"/>
            </w:tcMar>
            <w:vAlign w:val="center"/>
          </w:tcPr>
          <w:p>
            <w:r/>
            <w:r>
              <w:rPr>
                <w:color w:val="3A3835"/>
                <w:sz w:val="17"/>
              </w:rPr>
              <w:t>Category-level scepticism of software claims; low digital literacy in parts of the target market; prior bad experience with overpriced or overcomplicated tools</w:t>
            </w:r>
          </w:p>
        </w:tc>
      </w:tr>
      <w:tr>
        <w:tc>
          <w:tcPr>
            <w:tcW w:type="dxa" w:w="4479"/>
            <w:tcMar>
              <w:top w:w="60" w:type="dxa"/>
              <w:bottom w:w="60" w:type="dxa"/>
              <w:left w:w="100" w:type="dxa"/>
              <w:right w:w="100" w:type="dxa"/>
            </w:tcMar>
            <w:vAlign w:val="center"/>
            <w:shd w:val="clear" w:color="auto" w:fill="F2EFEA"/>
          </w:tcPr>
          <w:p>
            <w:r/>
            <w:r>
              <w:rPr>
                <w:color w:val="3A3835"/>
                <w:sz w:val="17"/>
              </w:rPr>
              <w:t>Central event</w:t>
            </w:r>
          </w:p>
        </w:tc>
        <w:tc>
          <w:tcPr>
            <w:tcW w:type="dxa" w:w="4479"/>
            <w:tcMar>
              <w:top w:w="60" w:type="dxa"/>
              <w:bottom w:w="60" w:type="dxa"/>
              <w:left w:w="100" w:type="dxa"/>
              <w:right w:w="100" w:type="dxa"/>
            </w:tcMar>
            <w:vAlign w:val="center"/>
            <w:shd w:val="clear" w:color="auto" w:fill="F2EFEA"/>
          </w:tcPr>
          <w:p>
            <w:r/>
            <w:r>
              <w:rPr>
                <w:color w:val="3A3835"/>
                <w:sz w:val="17"/>
              </w:rPr>
              <w:t>A meaningful share of the target market never tries BIK at all, or churns immediately after a first attempt</w:t>
            </w:r>
          </w:p>
        </w:tc>
      </w:tr>
      <w:tr>
        <w:tc>
          <w:tcPr>
            <w:tcW w:type="dxa" w:w="4479"/>
            <w:tcMar>
              <w:top w:w="60" w:type="dxa"/>
              <w:bottom w:w="60" w:type="dxa"/>
              <w:left w:w="100" w:type="dxa"/>
              <w:right w:w="100" w:type="dxa"/>
            </w:tcMar>
            <w:vAlign w:val="center"/>
          </w:tcPr>
          <w:p>
            <w:r/>
            <w:r>
              <w:rPr>
                <w:color w:val="3A3835"/>
                <w:sz w:val="17"/>
              </w:rPr>
              <w:t>Consequences</w:t>
            </w:r>
          </w:p>
        </w:tc>
        <w:tc>
          <w:tcPr>
            <w:tcW w:type="dxa" w:w="4479"/>
            <w:tcMar>
              <w:top w:w="60" w:type="dxa"/>
              <w:bottom w:w="60" w:type="dxa"/>
              <w:left w:w="100" w:type="dxa"/>
              <w:right w:w="100" w:type="dxa"/>
            </w:tcMar>
            <w:vAlign w:val="center"/>
          </w:tcPr>
          <w:p>
            <w:r/>
            <w:r>
              <w:rPr>
                <w:color w:val="3A3835"/>
                <w:sz w:val="17"/>
              </w:rPr>
              <w:t>Slower-than-modelled subscriber growth (Chapter 20 pessimistic scenario); extended runway requirement</w:t>
            </w:r>
          </w:p>
        </w:tc>
      </w:tr>
      <w:tr>
        <w:tc>
          <w:tcPr>
            <w:tcW w:type="dxa" w:w="4479"/>
            <w:tcMar>
              <w:top w:w="60" w:type="dxa"/>
              <w:bottom w:w="60" w:type="dxa"/>
              <w:left w:w="100" w:type="dxa"/>
              <w:right w:w="100" w:type="dxa"/>
            </w:tcMar>
            <w:vAlign w:val="center"/>
            <w:shd w:val="clear" w:color="auto" w:fill="F2EFEA"/>
          </w:tcPr>
          <w:p>
            <w:r/>
            <w:r>
              <w:rPr>
                <w:color w:val="3A3835"/>
                <w:sz w:val="17"/>
              </w:rPr>
              <w:t>Preventive controls</w:t>
            </w:r>
          </w:p>
        </w:tc>
        <w:tc>
          <w:tcPr>
            <w:tcW w:type="dxa" w:w="4479"/>
            <w:tcMar>
              <w:top w:w="60" w:type="dxa"/>
              <w:bottom w:w="60" w:type="dxa"/>
              <w:left w:w="100" w:type="dxa"/>
              <w:right w:w="100" w:type="dxa"/>
            </w:tcMar>
            <w:vAlign w:val="center"/>
            <w:shd w:val="clear" w:color="auto" w:fill="F2EFEA"/>
          </w:tcPr>
          <w:p>
            <w:r/>
            <w:r>
              <w:rPr>
                <w:color w:val="3A3835"/>
                <w:sz w:val="17"/>
              </w:rPr>
              <w:t>Free tier with no credit card required; radical simplicity (Chapter 9 UX principles); founder-credible trust signals (Chapter 7)</w:t>
            </w:r>
          </w:p>
        </w:tc>
      </w:tr>
      <w:tr>
        <w:tc>
          <w:tcPr>
            <w:tcW w:type="dxa" w:w="4479"/>
            <w:tcMar>
              <w:top w:w="60" w:type="dxa"/>
              <w:bottom w:w="60" w:type="dxa"/>
              <w:left w:w="100" w:type="dxa"/>
              <w:right w:w="100" w:type="dxa"/>
            </w:tcMar>
            <w:vAlign w:val="center"/>
          </w:tcPr>
          <w:p>
            <w:r/>
            <w:r>
              <w:rPr>
                <w:color w:val="3A3835"/>
                <w:sz w:val="17"/>
              </w:rPr>
              <w:t>Mitigating controls</w:t>
            </w:r>
          </w:p>
        </w:tc>
        <w:tc>
          <w:tcPr>
            <w:tcW w:type="dxa" w:w="4479"/>
            <w:tcMar>
              <w:top w:w="60" w:type="dxa"/>
              <w:bottom w:w="60" w:type="dxa"/>
              <w:left w:w="100" w:type="dxa"/>
              <w:right w:w="100" w:type="dxa"/>
            </w:tcMar>
            <w:vAlign w:val="center"/>
          </w:tcPr>
          <w:p>
            <w:r/>
            <w:r>
              <w:rPr>
                <w:color w:val="3A3835"/>
                <w:sz w:val="17"/>
              </w:rPr>
              <w:t>Bootstrap funding path removes time pressure to convert quickly (Chapter 19); services-unit cross-subsidy buys patience</w:t>
            </w:r>
          </w:p>
        </w:tc>
      </w:tr>
    </w:tbl>
    <w:p>
      <w:pPr>
        <w:spacing w:after="120"/>
      </w:pPr>
    </w:p>
    <w:p>
      <w:pPr>
        <w:pStyle w:val="BIKH2"/>
      </w:pPr>
      <w:r>
        <w:t>RISK 2 — AI OUTPUT QUALITY / FABRICATION</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Element</w:t>
            </w:r>
          </w:p>
        </w:tc>
        <w:tc>
          <w:tcPr>
            <w:tcW w:type="dxa" w:w="4479"/>
            <w:shd w:val="clear" w:color="auto" w:fill="252320"/>
            <w:tcMar>
              <w:top w:w="60" w:type="dxa"/>
              <w:bottom w:w="60" w:type="dxa"/>
              <w:left w:w="100" w:type="dxa"/>
              <w:right w:w="100" w:type="dxa"/>
            </w:tcMar>
            <w:vAlign w:val="center"/>
          </w:tcPr>
          <w:p>
            <w:r/>
            <w:r>
              <w:rPr>
                <w:b/>
                <w:color w:val="FFFFFF"/>
                <w:sz w:val="17"/>
              </w:rPr>
              <w:t>Detail</w:t>
            </w:r>
          </w:p>
        </w:tc>
      </w:tr>
      <w:tr>
        <w:tc>
          <w:tcPr>
            <w:tcW w:type="dxa" w:w="4479"/>
            <w:tcMar>
              <w:top w:w="60" w:type="dxa"/>
              <w:bottom w:w="60" w:type="dxa"/>
              <w:left w:w="100" w:type="dxa"/>
              <w:right w:w="100" w:type="dxa"/>
            </w:tcMar>
            <w:vAlign w:val="center"/>
          </w:tcPr>
          <w:p>
            <w:r/>
            <w:r>
              <w:rPr>
                <w:color w:val="3A3835"/>
                <w:sz w:val="17"/>
              </w:rPr>
              <w:t>Causes</w:t>
            </w:r>
          </w:p>
        </w:tc>
        <w:tc>
          <w:tcPr>
            <w:tcW w:type="dxa" w:w="4479"/>
            <w:tcMar>
              <w:top w:w="60" w:type="dxa"/>
              <w:bottom w:w="60" w:type="dxa"/>
              <w:left w:w="100" w:type="dxa"/>
              <w:right w:w="100" w:type="dxa"/>
            </w:tcMar>
            <w:vAlign w:val="center"/>
          </w:tcPr>
          <w:p>
            <w:r/>
            <w:r>
              <w:rPr>
                <w:color w:val="3A3835"/>
                <w:sz w:val="17"/>
              </w:rPr>
              <w:t>Foundation model hallucination tendencies; insufficiently constrained system prompts; user over-reliance on AI output without review</w:t>
            </w:r>
          </w:p>
        </w:tc>
      </w:tr>
      <w:tr>
        <w:tc>
          <w:tcPr>
            <w:tcW w:type="dxa" w:w="4479"/>
            <w:tcMar>
              <w:top w:w="60" w:type="dxa"/>
              <w:bottom w:w="60" w:type="dxa"/>
              <w:left w:w="100" w:type="dxa"/>
              <w:right w:w="100" w:type="dxa"/>
            </w:tcMar>
            <w:vAlign w:val="center"/>
            <w:shd w:val="clear" w:color="auto" w:fill="F2EFEA"/>
          </w:tcPr>
          <w:p>
            <w:r/>
            <w:r>
              <w:rPr>
                <w:color w:val="3A3835"/>
                <w:sz w:val="17"/>
              </w:rPr>
              <w:t>Central event</w:t>
            </w:r>
          </w:p>
        </w:tc>
        <w:tc>
          <w:tcPr>
            <w:tcW w:type="dxa" w:w="4479"/>
            <w:tcMar>
              <w:top w:w="60" w:type="dxa"/>
              <w:bottom w:w="60" w:type="dxa"/>
              <w:left w:w="100" w:type="dxa"/>
              <w:right w:w="100" w:type="dxa"/>
            </w:tcMar>
            <w:vAlign w:val="center"/>
            <w:shd w:val="clear" w:color="auto" w:fill="F2EFEA"/>
          </w:tcPr>
          <w:p>
            <w:r/>
            <w:r>
              <w:rPr>
                <w:color w:val="3A3835"/>
                <w:sz w:val="17"/>
              </w:rPr>
              <w:t>An AI-generated document contains a fabricated fact, figure or claim that a user sends to a client or head contractor without noticing</w:t>
            </w:r>
          </w:p>
        </w:tc>
      </w:tr>
      <w:tr>
        <w:tc>
          <w:tcPr>
            <w:tcW w:type="dxa" w:w="4479"/>
            <w:tcMar>
              <w:top w:w="60" w:type="dxa"/>
              <w:bottom w:w="60" w:type="dxa"/>
              <w:left w:w="100" w:type="dxa"/>
              <w:right w:w="100" w:type="dxa"/>
            </w:tcMar>
            <w:vAlign w:val="center"/>
          </w:tcPr>
          <w:p>
            <w:r/>
            <w:r>
              <w:rPr>
                <w:color w:val="3A3835"/>
                <w:sz w:val="17"/>
              </w:rPr>
              <w:t>Consequences</w:t>
            </w:r>
          </w:p>
        </w:tc>
        <w:tc>
          <w:tcPr>
            <w:tcW w:type="dxa" w:w="4479"/>
            <w:tcMar>
              <w:top w:w="60" w:type="dxa"/>
              <w:bottom w:w="60" w:type="dxa"/>
              <w:left w:w="100" w:type="dxa"/>
              <w:right w:w="100" w:type="dxa"/>
            </w:tcMar>
            <w:vAlign w:val="center"/>
          </w:tcPr>
          <w:p>
            <w:r/>
            <w:r>
              <w:rPr>
                <w:color w:val="3A3835"/>
                <w:sz w:val="17"/>
              </w:rPr>
              <w:t>Professional or legal damage to the user; reputational damage to BIK; potential loss of trust across the user base if publicised</w:t>
            </w:r>
          </w:p>
        </w:tc>
      </w:tr>
      <w:tr>
        <w:tc>
          <w:tcPr>
            <w:tcW w:type="dxa" w:w="4479"/>
            <w:tcMar>
              <w:top w:w="60" w:type="dxa"/>
              <w:bottom w:w="60" w:type="dxa"/>
              <w:left w:w="100" w:type="dxa"/>
              <w:right w:w="100" w:type="dxa"/>
            </w:tcMar>
            <w:vAlign w:val="center"/>
            <w:shd w:val="clear" w:color="auto" w:fill="F2EFEA"/>
          </w:tcPr>
          <w:p>
            <w:r/>
            <w:r>
              <w:rPr>
                <w:color w:val="3A3835"/>
                <w:sz w:val="17"/>
              </w:rPr>
              <w:t>Preventive controls</w:t>
            </w:r>
          </w:p>
        </w:tc>
        <w:tc>
          <w:tcPr>
            <w:tcW w:type="dxa" w:w="4479"/>
            <w:tcMar>
              <w:top w:w="60" w:type="dxa"/>
              <w:bottom w:w="60" w:type="dxa"/>
              <w:left w:w="100" w:type="dxa"/>
              <w:right w:w="100" w:type="dxa"/>
            </w:tcMar>
            <w:vAlign w:val="center"/>
            <w:shd w:val="clear" w:color="auto" w:fill="F2EFEA"/>
          </w:tcPr>
          <w:p>
            <w:r/>
            <w:r>
              <w:rPr>
                <w:color w:val="3A3835"/>
                <w:sz w:val="17"/>
              </w:rPr>
              <w:t>Decision 001 enforced in every system prompt (Chapter 11); document types held on HOLD until legal/WHS review clears them (Chapter 27)</w:t>
            </w:r>
          </w:p>
        </w:tc>
      </w:tr>
      <w:tr>
        <w:tc>
          <w:tcPr>
            <w:tcW w:type="dxa" w:w="4479"/>
            <w:tcMar>
              <w:top w:w="60" w:type="dxa"/>
              <w:bottom w:w="60" w:type="dxa"/>
              <w:left w:w="100" w:type="dxa"/>
              <w:right w:w="100" w:type="dxa"/>
            </w:tcMar>
            <w:vAlign w:val="center"/>
          </w:tcPr>
          <w:p>
            <w:r/>
            <w:r>
              <w:rPr>
                <w:color w:val="3A3835"/>
                <w:sz w:val="17"/>
              </w:rPr>
              <w:t>Mitigating controls</w:t>
            </w:r>
          </w:p>
        </w:tc>
        <w:tc>
          <w:tcPr>
            <w:tcW w:type="dxa" w:w="4479"/>
            <w:tcMar>
              <w:top w:w="60" w:type="dxa"/>
              <w:bottom w:w="60" w:type="dxa"/>
              <w:left w:w="100" w:type="dxa"/>
              <w:right w:w="100" w:type="dxa"/>
            </w:tcMar>
            <w:vAlign w:val="center"/>
          </w:tcPr>
          <w:p>
            <w:r/>
            <w:r>
              <w:rPr>
                <w:color w:val="3A3835"/>
                <w:sz w:val="17"/>
              </w:rPr>
              <w:t>Mandatory human review step built into every document flow; AI edits shown in the same field the user wrote in, so changes are visible before sending</w:t>
            </w:r>
          </w:p>
        </w:tc>
      </w:tr>
    </w:tbl>
    <w:p>
      <w:pPr>
        <w:spacing w:after="120"/>
      </w:pPr>
    </w:p>
    <w:p>
      <w:pPr>
        <w:pStyle w:val="BIKH2"/>
      </w:pPr>
      <w:r>
        <w:t>RISK 5 — INCUMBENT ADDS AI FEATURES FIRST</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Element</w:t>
            </w:r>
          </w:p>
        </w:tc>
        <w:tc>
          <w:tcPr>
            <w:tcW w:type="dxa" w:w="4479"/>
            <w:shd w:val="clear" w:color="auto" w:fill="252320"/>
            <w:tcMar>
              <w:top w:w="60" w:type="dxa"/>
              <w:bottom w:w="60" w:type="dxa"/>
              <w:left w:w="100" w:type="dxa"/>
              <w:right w:w="100" w:type="dxa"/>
            </w:tcMar>
            <w:vAlign w:val="center"/>
          </w:tcPr>
          <w:p>
            <w:r/>
            <w:r>
              <w:rPr>
                <w:b/>
                <w:color w:val="FFFFFF"/>
                <w:sz w:val="17"/>
              </w:rPr>
              <w:t>Detail</w:t>
            </w:r>
          </w:p>
        </w:tc>
      </w:tr>
      <w:tr>
        <w:tc>
          <w:tcPr>
            <w:tcW w:type="dxa" w:w="4479"/>
            <w:tcMar>
              <w:top w:w="60" w:type="dxa"/>
              <w:bottom w:w="60" w:type="dxa"/>
              <w:left w:w="100" w:type="dxa"/>
              <w:right w:w="100" w:type="dxa"/>
            </w:tcMar>
            <w:vAlign w:val="center"/>
          </w:tcPr>
          <w:p>
            <w:r/>
            <w:r>
              <w:rPr>
                <w:color w:val="3A3835"/>
                <w:sz w:val="17"/>
              </w:rPr>
              <w:t>Causes</w:t>
            </w:r>
          </w:p>
        </w:tc>
        <w:tc>
          <w:tcPr>
            <w:tcW w:type="dxa" w:w="4479"/>
            <w:tcMar>
              <w:top w:w="60" w:type="dxa"/>
              <w:bottom w:w="60" w:type="dxa"/>
              <w:left w:w="100" w:type="dxa"/>
              <w:right w:w="100" w:type="dxa"/>
            </w:tcMar>
            <w:vAlign w:val="center"/>
          </w:tcPr>
          <w:p>
            <w:r/>
            <w:r>
              <w:rPr>
                <w:color w:val="3A3835"/>
                <w:sz w:val="17"/>
              </w:rPr>
              <w:t>Buildxact, ServiceM8 or Tradify (Chapter 17) recognise the same AI-native opportunity and move quickly given their existing distribution</w:t>
            </w:r>
          </w:p>
        </w:tc>
      </w:tr>
      <w:tr>
        <w:tc>
          <w:tcPr>
            <w:tcW w:type="dxa" w:w="4479"/>
            <w:tcMar>
              <w:top w:w="60" w:type="dxa"/>
              <w:bottom w:w="60" w:type="dxa"/>
              <w:left w:w="100" w:type="dxa"/>
              <w:right w:w="100" w:type="dxa"/>
            </w:tcMar>
            <w:vAlign w:val="center"/>
            <w:shd w:val="clear" w:color="auto" w:fill="F2EFEA"/>
          </w:tcPr>
          <w:p>
            <w:r/>
            <w:r>
              <w:rPr>
                <w:color w:val="3A3835"/>
                <w:sz w:val="17"/>
              </w:rPr>
              <w:t>Central event</w:t>
            </w:r>
          </w:p>
        </w:tc>
        <w:tc>
          <w:tcPr>
            <w:tcW w:type="dxa" w:w="4479"/>
            <w:tcMar>
              <w:top w:w="60" w:type="dxa"/>
              <w:bottom w:w="60" w:type="dxa"/>
              <w:left w:w="100" w:type="dxa"/>
              <w:right w:w="100" w:type="dxa"/>
            </w:tcMar>
            <w:vAlign w:val="center"/>
            <w:shd w:val="clear" w:color="auto" w:fill="F2EFEA"/>
          </w:tcPr>
          <w:p>
            <w:r/>
            <w:r>
              <w:rPr>
                <w:color w:val="3A3835"/>
                <w:sz w:val="17"/>
              </w:rPr>
              <w:t>An incumbent ships a credible AI document feature before BIK reaches Phase 3 integration depth</w:t>
            </w:r>
          </w:p>
        </w:tc>
      </w:tr>
      <w:tr>
        <w:tc>
          <w:tcPr>
            <w:tcW w:type="dxa" w:w="4479"/>
            <w:tcMar>
              <w:top w:w="60" w:type="dxa"/>
              <w:bottom w:w="60" w:type="dxa"/>
              <w:left w:w="100" w:type="dxa"/>
              <w:right w:w="100" w:type="dxa"/>
            </w:tcMar>
            <w:vAlign w:val="center"/>
          </w:tcPr>
          <w:p>
            <w:r/>
            <w:r>
              <w:rPr>
                <w:color w:val="3A3835"/>
                <w:sz w:val="17"/>
              </w:rPr>
              <w:t>Consequences</w:t>
            </w:r>
          </w:p>
        </w:tc>
        <w:tc>
          <w:tcPr>
            <w:tcW w:type="dxa" w:w="4479"/>
            <w:tcMar>
              <w:top w:w="60" w:type="dxa"/>
              <w:bottom w:w="60" w:type="dxa"/>
              <w:left w:w="100" w:type="dxa"/>
              <w:right w:w="100" w:type="dxa"/>
            </w:tcMar>
            <w:vAlign w:val="center"/>
          </w:tcPr>
          <w:p>
            <w:r/>
            <w:r>
              <w:rPr>
                <w:color w:val="3A3835"/>
                <w:sz w:val="17"/>
              </w:rPr>
              <w:t>Erosion of BIK's sequencing advantage (Chapter 7); harder, more expensive customer acquisition</w:t>
            </w:r>
          </w:p>
        </w:tc>
      </w:tr>
      <w:tr>
        <w:tc>
          <w:tcPr>
            <w:tcW w:type="dxa" w:w="4479"/>
            <w:tcMar>
              <w:top w:w="60" w:type="dxa"/>
              <w:bottom w:w="60" w:type="dxa"/>
              <w:left w:w="100" w:type="dxa"/>
              <w:right w:w="100" w:type="dxa"/>
            </w:tcMar>
            <w:vAlign w:val="center"/>
            <w:shd w:val="clear" w:color="auto" w:fill="F2EFEA"/>
          </w:tcPr>
          <w:p>
            <w:r/>
            <w:r>
              <w:rPr>
                <w:color w:val="3A3835"/>
                <w:sz w:val="17"/>
              </w:rPr>
              <w:t>Preventive controls</w:t>
            </w:r>
          </w:p>
        </w:tc>
        <w:tc>
          <w:tcPr>
            <w:tcW w:type="dxa" w:w="4479"/>
            <w:tcMar>
              <w:top w:w="60" w:type="dxa"/>
              <w:bottom w:w="60" w:type="dxa"/>
              <w:left w:w="100" w:type="dxa"/>
              <w:right w:w="100" w:type="dxa"/>
            </w:tcMar>
            <w:vAlign w:val="center"/>
            <w:shd w:val="clear" w:color="auto" w:fill="F2EFEA"/>
          </w:tcPr>
          <w:p>
            <w:r/>
            <w:r>
              <w:rPr>
                <w:color w:val="3A3835"/>
                <w:sz w:val="17"/>
              </w:rPr>
              <w:t>Move with urgency through Phases 2–3 (Chapter 8 strategic priorities); build integration depth before enterprise ambition</w:t>
            </w:r>
          </w:p>
        </w:tc>
      </w:tr>
      <w:tr>
        <w:tc>
          <w:tcPr>
            <w:tcW w:type="dxa" w:w="4479"/>
            <w:tcMar>
              <w:top w:w="60" w:type="dxa"/>
              <w:bottom w:w="60" w:type="dxa"/>
              <w:left w:w="100" w:type="dxa"/>
              <w:right w:w="100" w:type="dxa"/>
            </w:tcMar>
            <w:vAlign w:val="center"/>
          </w:tcPr>
          <w:p>
            <w:r/>
            <w:r>
              <w:rPr>
                <w:color w:val="3A3835"/>
                <w:sz w:val="17"/>
              </w:rPr>
              <w:t>Mitigating controls</w:t>
            </w:r>
          </w:p>
        </w:tc>
        <w:tc>
          <w:tcPr>
            <w:tcW w:type="dxa" w:w="4479"/>
            <w:tcMar>
              <w:top w:w="60" w:type="dxa"/>
              <w:bottom w:w="60" w:type="dxa"/>
              <w:left w:w="100" w:type="dxa"/>
              <w:right w:w="100" w:type="dxa"/>
            </w:tcMar>
            <w:vAlign w:val="center"/>
          </w:tcPr>
          <w:p>
            <w:r/>
            <w:r>
              <w:rPr>
                <w:color w:val="3A3835"/>
                <w:sz w:val="17"/>
              </w:rPr>
              <w:t>Trust and governance depth (Decision 001, Legal and Safety Tool Register) are harder to retrofit onto an existing platform than a feature is to ship — BIK's differentiation does not evaporate the moment a competitor ships an AI button</w:t>
            </w:r>
          </w:p>
        </w:tc>
      </w:tr>
    </w:tbl>
    <w:p>
      <w:pPr>
        <w:spacing w:after="120"/>
      </w:pPr>
    </w:p>
    <w:p>
      <w:pPr>
        <w:pStyle w:val="BIKChapterLabel"/>
      </w:pPr>
      <w:r>
        <w:t>APPENDICES</w:t>
      </w:r>
    </w:p>
    <w:p>
      <w:pPr>
        <w:pStyle w:val="BIKChapterTitle"/>
        <w:pBdr>
          <w:bottom w:val="single" w:sz="18" w:space="8" w:color="D85A30"/>
        </w:pBdr>
      </w:pPr>
      <w:r>
        <w:t>41   Appendix L — Phase 2 Key Hire Role Scorecards</w:t>
      </w:r>
    </w:p>
    <w:p>
      <w:pPr>
        <w:pStyle w:val="BIKBody"/>
        <w:jc w:val="both"/>
      </w:pPr>
      <w:r>
        <w:t>Chapter 10 sets out the organisational design through the four phases at a summary level. This appendix gives role-scorecard-level detail for the first three hires planned for Phase 2, so that hiring can begin against a clear brief rather than a vague headcount line.</w:t>
      </w:r>
    </w:p>
    <w:p>
      <w:pPr>
        <w:pStyle w:val="BIKH2"/>
      </w:pPr>
      <w:r>
        <w:t>FOUNDING PRODUCT/ENGINEERING HIRE</w:t>
      </w:r>
    </w:p>
    <w:p>
      <w:pPr>
        <w:pStyle w:val="BIKBody"/>
        <w:jc w:val="both"/>
      </w:pPr>
      <w:r>
        <w:t>Mandate: own the Phase 2 build (Supabase auth, document history, Stripe billing) end to end, working directly from the existing static architecture rather than a rewrite. Success in the first two quarters looks like: user accounts and billing live in production with zero critical security findings, and the shared-engine architecture (Chapter 12) extended, not forked, to support the 15 new Phase 2 tools. This is the single highest-leverage hire in the plan, because it directly gates the Phase 2 milestone in Chapter 8.</w:t>
      </w:r>
    </w:p>
    <w:p>
      <w:pPr>
        <w:pStyle w:val="BIKH2"/>
      </w:pPr>
      <w:r>
        <w:t>CUSTOMER SUCCESS / SUPPORT LEAD</w:t>
      </w:r>
    </w:p>
    <w:p>
      <w:pPr>
        <w:pStyle w:val="BIKBody"/>
        <w:jc w:val="both"/>
      </w:pPr>
      <w:r>
        <w:t>Mandate: own the beta feedback loop (Chapter 3) and turn it into a repeatable support and onboarding function as paid subscribers scale past a founder's ability to personally respond to every support request. Success looks like a documented support playbook (Appendix M), a maintained NPS measurement process, and direct input into the product prioritisation framework (Chapter 12) from real user friction, not assumption.</w:t>
      </w:r>
    </w:p>
    <w:p>
      <w:pPr>
        <w:pStyle w:val="BIKH2"/>
      </w:pPr>
      <w:r>
        <w:t>COMPLIANCE &amp; LEGAL REVIEW COORDINATOR</w:t>
      </w:r>
    </w:p>
    <w:p>
      <w:pPr>
        <w:pStyle w:val="BIKBody"/>
        <w:jc w:val="both"/>
      </w:pPr>
      <w:r>
        <w:t>Mandate: own the Legal and Safety Tool Register (Chapter 27) as a living operational function rather than an ad hoc founder task — coordinating external construction-lawyer and WHS-professional review of the four HOLD tools, and maintaining the register's currency as new tools are added and regulations change. This role is explicitly named because Chapter 26 identifies legal/compliance exposure as a top-tier risk, and a dedicated owner is the single most direct mitigation available.</w:t>
      </w:r>
    </w:p>
    <w:p>
      <w:pPr>
        <w:pStyle w:val="BIKChapterLabel"/>
      </w:pPr>
      <w:r>
        <w:t>APPENDICES</w:t>
      </w:r>
    </w:p>
    <w:p>
      <w:pPr>
        <w:pStyle w:val="BIKChapterTitle"/>
        <w:pBdr>
          <w:bottom w:val="single" w:sz="18" w:space="8" w:color="D85A30"/>
        </w:pBdr>
      </w:pPr>
      <w:r>
        <w:t>42   Appendix M — Illustrative Customer Support Playbook</w:t>
      </w:r>
    </w:p>
    <w:p>
      <w:pPr>
        <w:pStyle w:val="BIKBody"/>
        <w:jc w:val="both"/>
      </w:pPr>
      <w:r>
        <w:t>A lightweight but real support discipline, designed to scale from founder-led support today to a dedicated function in Phase 2 (Appendix L) without a discontinuity in customer experience.</w:t>
      </w:r>
    </w:p>
    <w:tbl>
      <w:tblPr>
        <w:tblStyle w:val="TableGrid"/>
        <w:tblW w:type="auto" w:w="0"/>
        <w:tblLayout w:type="fixed"/>
        <w:tblLook w:firstColumn="1" w:firstRow="1" w:lastColumn="0" w:lastRow="0" w:noHBand="0" w:noVBand="1" w:val="04A0"/>
      </w:tblPr>
      <w:tblGrid>
        <w:gridCol w:w="2986"/>
        <w:gridCol w:w="2986"/>
        <w:gridCol w:w="2986"/>
      </w:tblGrid>
      <w:tr>
        <w:tc>
          <w:tcPr>
            <w:tcW w:type="dxa" w:w="2986"/>
            <w:shd w:val="clear" w:color="auto" w:fill="252320"/>
            <w:tcMar>
              <w:top w:w="60" w:type="dxa"/>
              <w:bottom w:w="60" w:type="dxa"/>
              <w:left w:w="100" w:type="dxa"/>
              <w:right w:w="100" w:type="dxa"/>
            </w:tcMar>
            <w:vAlign w:val="center"/>
          </w:tcPr>
          <w:p>
            <w:r/>
            <w:r>
              <w:rPr>
                <w:b/>
                <w:color w:val="FFFFFF"/>
                <w:sz w:val="17"/>
              </w:rPr>
              <w:t>Channel</w:t>
            </w:r>
          </w:p>
        </w:tc>
        <w:tc>
          <w:tcPr>
            <w:tcW w:type="dxa" w:w="2986"/>
            <w:shd w:val="clear" w:color="auto" w:fill="252320"/>
            <w:tcMar>
              <w:top w:w="60" w:type="dxa"/>
              <w:bottom w:w="60" w:type="dxa"/>
              <w:left w:w="100" w:type="dxa"/>
              <w:right w:w="100" w:type="dxa"/>
            </w:tcMar>
            <w:vAlign w:val="center"/>
          </w:tcPr>
          <w:p>
            <w:r/>
            <w:r>
              <w:rPr>
                <w:b/>
                <w:color w:val="FFFFFF"/>
                <w:sz w:val="17"/>
              </w:rPr>
              <w:t>Target response time</w:t>
            </w:r>
          </w:p>
        </w:tc>
        <w:tc>
          <w:tcPr>
            <w:tcW w:type="dxa" w:w="2986"/>
            <w:shd w:val="clear" w:color="auto" w:fill="252320"/>
            <w:tcMar>
              <w:top w:w="60" w:type="dxa"/>
              <w:bottom w:w="60" w:type="dxa"/>
              <w:left w:w="100" w:type="dxa"/>
              <w:right w:w="100" w:type="dxa"/>
            </w:tcMar>
            <w:vAlign w:val="center"/>
          </w:tcPr>
          <w:p>
            <w:r/>
            <w:r>
              <w:rPr>
                <w:b/>
                <w:color w:val="FFFFFF"/>
                <w:sz w:val="17"/>
              </w:rPr>
              <w:t>Escalation path</w:t>
            </w:r>
          </w:p>
        </w:tc>
      </w:tr>
      <w:tr>
        <w:tc>
          <w:tcPr>
            <w:tcW w:type="dxa" w:w="2986"/>
            <w:tcMar>
              <w:top w:w="60" w:type="dxa"/>
              <w:bottom w:w="60" w:type="dxa"/>
              <w:left w:w="100" w:type="dxa"/>
              <w:right w:w="100" w:type="dxa"/>
            </w:tcMar>
            <w:vAlign w:val="center"/>
          </w:tcPr>
          <w:p>
            <w:r/>
            <w:r>
              <w:rPr>
                <w:color w:val="3A3835"/>
                <w:sz w:val="17"/>
              </w:rPr>
              <w:t>Email support (Starter/Pro)</w:t>
            </w:r>
          </w:p>
        </w:tc>
        <w:tc>
          <w:tcPr>
            <w:tcW w:type="dxa" w:w="2986"/>
            <w:tcMar>
              <w:top w:w="60" w:type="dxa"/>
              <w:bottom w:w="60" w:type="dxa"/>
              <w:left w:w="100" w:type="dxa"/>
              <w:right w:w="100" w:type="dxa"/>
            </w:tcMar>
            <w:vAlign w:val="center"/>
          </w:tcPr>
          <w:p>
            <w:r/>
            <w:r>
              <w:rPr>
                <w:color w:val="3A3835"/>
                <w:sz w:val="17"/>
              </w:rPr>
              <w:t>Within 1 business day</w:t>
            </w:r>
          </w:p>
        </w:tc>
        <w:tc>
          <w:tcPr>
            <w:tcW w:type="dxa" w:w="2986"/>
            <w:tcMar>
              <w:top w:w="60" w:type="dxa"/>
              <w:bottom w:w="60" w:type="dxa"/>
              <w:left w:w="100" w:type="dxa"/>
              <w:right w:w="100" w:type="dxa"/>
            </w:tcMar>
            <w:vAlign w:val="center"/>
          </w:tcPr>
          <w:p>
            <w:r/>
            <w:r>
              <w:rPr>
                <w:color w:val="3A3835"/>
                <w:sz w:val="17"/>
              </w:rPr>
              <w:t>Founder / Customer Success Lead</w:t>
            </w:r>
          </w:p>
        </w:tc>
      </w:tr>
      <w:tr>
        <w:tc>
          <w:tcPr>
            <w:tcW w:type="dxa" w:w="2986"/>
            <w:tcMar>
              <w:top w:w="60" w:type="dxa"/>
              <w:bottom w:w="60" w:type="dxa"/>
              <w:left w:w="100" w:type="dxa"/>
              <w:right w:w="100" w:type="dxa"/>
            </w:tcMar>
            <w:vAlign w:val="center"/>
            <w:shd w:val="clear" w:color="auto" w:fill="F2EFEA"/>
          </w:tcPr>
          <w:p>
            <w:r/>
            <w:r>
              <w:rPr>
                <w:color w:val="3A3835"/>
                <w:sz w:val="17"/>
              </w:rPr>
              <w:t>Priority email (Pro)</w:t>
            </w:r>
          </w:p>
        </w:tc>
        <w:tc>
          <w:tcPr>
            <w:tcW w:type="dxa" w:w="2986"/>
            <w:tcMar>
              <w:top w:w="60" w:type="dxa"/>
              <w:bottom w:w="60" w:type="dxa"/>
              <w:left w:w="100" w:type="dxa"/>
              <w:right w:w="100" w:type="dxa"/>
            </w:tcMar>
            <w:vAlign w:val="center"/>
            <w:shd w:val="clear" w:color="auto" w:fill="F2EFEA"/>
          </w:tcPr>
          <w:p>
            <w:r/>
            <w:r>
              <w:rPr>
                <w:color w:val="3A3835"/>
                <w:sz w:val="17"/>
              </w:rPr>
              <w:t>Within 4 business hours</w:t>
            </w:r>
          </w:p>
        </w:tc>
        <w:tc>
          <w:tcPr>
            <w:tcW w:type="dxa" w:w="2986"/>
            <w:tcMar>
              <w:top w:w="60" w:type="dxa"/>
              <w:bottom w:w="60" w:type="dxa"/>
              <w:left w:w="100" w:type="dxa"/>
              <w:right w:w="100" w:type="dxa"/>
            </w:tcMar>
            <w:vAlign w:val="center"/>
            <w:shd w:val="clear" w:color="auto" w:fill="F2EFEA"/>
          </w:tcPr>
          <w:p>
            <w:r/>
            <w:r>
              <w:rPr>
                <w:color w:val="3A3835"/>
                <w:sz w:val="17"/>
              </w:rPr>
              <w:t>Customer Success Lead</w:t>
            </w:r>
          </w:p>
        </w:tc>
      </w:tr>
      <w:tr>
        <w:tc>
          <w:tcPr>
            <w:tcW w:type="dxa" w:w="2986"/>
            <w:tcMar>
              <w:top w:w="60" w:type="dxa"/>
              <w:bottom w:w="60" w:type="dxa"/>
              <w:left w:w="100" w:type="dxa"/>
              <w:right w:w="100" w:type="dxa"/>
            </w:tcMar>
            <w:vAlign w:val="center"/>
          </w:tcPr>
          <w:p>
            <w:r/>
            <w:r>
              <w:rPr>
                <w:color w:val="3A3835"/>
                <w:sz w:val="17"/>
              </w:rPr>
              <w:t>Phone support, AU hours (Business tier)</w:t>
            </w:r>
          </w:p>
        </w:tc>
        <w:tc>
          <w:tcPr>
            <w:tcW w:type="dxa" w:w="2986"/>
            <w:tcMar>
              <w:top w:w="60" w:type="dxa"/>
              <w:bottom w:w="60" w:type="dxa"/>
              <w:left w:w="100" w:type="dxa"/>
              <w:right w:w="100" w:type="dxa"/>
            </w:tcMar>
            <w:vAlign w:val="center"/>
          </w:tcPr>
          <w:p>
            <w:r/>
            <w:r>
              <w:rPr>
                <w:color w:val="3A3835"/>
                <w:sz w:val="17"/>
              </w:rPr>
              <w:t>Same business day callback</w:t>
            </w:r>
          </w:p>
        </w:tc>
        <w:tc>
          <w:tcPr>
            <w:tcW w:type="dxa" w:w="2986"/>
            <w:tcMar>
              <w:top w:w="60" w:type="dxa"/>
              <w:bottom w:w="60" w:type="dxa"/>
              <w:left w:w="100" w:type="dxa"/>
              <w:right w:w="100" w:type="dxa"/>
            </w:tcMar>
            <w:vAlign w:val="center"/>
          </w:tcPr>
          <w:p>
            <w:r/>
            <w:r>
              <w:rPr>
                <w:color w:val="3A3835"/>
                <w:sz w:val="17"/>
              </w:rPr>
              <w:t>Customer Success Lead → Founder for unresolved issues</w:t>
            </w:r>
          </w:p>
        </w:tc>
      </w:tr>
      <w:tr>
        <w:tc>
          <w:tcPr>
            <w:tcW w:type="dxa" w:w="2986"/>
            <w:tcMar>
              <w:top w:w="60" w:type="dxa"/>
              <w:bottom w:w="60" w:type="dxa"/>
              <w:left w:w="100" w:type="dxa"/>
              <w:right w:w="100" w:type="dxa"/>
            </w:tcMar>
            <w:vAlign w:val="center"/>
            <w:shd w:val="clear" w:color="auto" w:fill="F2EFEA"/>
          </w:tcPr>
          <w:p>
            <w:r/>
            <w:r>
              <w:rPr>
                <w:color w:val="3A3835"/>
                <w:sz w:val="17"/>
              </w:rPr>
              <w:t>In-app beta feedback widget</w:t>
            </w:r>
          </w:p>
        </w:tc>
        <w:tc>
          <w:tcPr>
            <w:tcW w:type="dxa" w:w="2986"/>
            <w:tcMar>
              <w:top w:w="60" w:type="dxa"/>
              <w:bottom w:w="60" w:type="dxa"/>
              <w:left w:w="100" w:type="dxa"/>
              <w:right w:w="100" w:type="dxa"/>
            </w:tcMar>
            <w:vAlign w:val="center"/>
            <w:shd w:val="clear" w:color="auto" w:fill="F2EFEA"/>
          </w:tcPr>
          <w:p>
            <w:r/>
            <w:r>
              <w:rPr>
                <w:color w:val="3A3835"/>
                <w:sz w:val="17"/>
              </w:rPr>
              <w:t>Reviewed weekly; critical bugs triaged same day</w:t>
            </w:r>
          </w:p>
        </w:tc>
        <w:tc>
          <w:tcPr>
            <w:tcW w:type="dxa" w:w="2986"/>
            <w:tcMar>
              <w:top w:w="60" w:type="dxa"/>
              <w:bottom w:w="60" w:type="dxa"/>
              <w:left w:w="100" w:type="dxa"/>
              <w:right w:w="100" w:type="dxa"/>
            </w:tcMar>
            <w:vAlign w:val="center"/>
            <w:shd w:val="clear" w:color="auto" w:fill="F2EFEA"/>
          </w:tcPr>
          <w:p>
            <w:r/>
            <w:r>
              <w:rPr>
                <w:color w:val="3A3835"/>
                <w:sz w:val="17"/>
              </w:rPr>
              <w:t>Product/Engineering</w:t>
            </w:r>
          </w:p>
        </w:tc>
      </w:tr>
      <w:tr>
        <w:tc>
          <w:tcPr>
            <w:tcW w:type="dxa" w:w="2986"/>
            <w:tcMar>
              <w:top w:w="60" w:type="dxa"/>
              <w:bottom w:w="60" w:type="dxa"/>
              <w:left w:w="100" w:type="dxa"/>
              <w:right w:w="100" w:type="dxa"/>
            </w:tcMar>
            <w:vAlign w:val="center"/>
          </w:tcPr>
          <w:p>
            <w:r/>
            <w:r>
              <w:rPr>
                <w:color w:val="3A3835"/>
                <w:sz w:val="17"/>
              </w:rPr>
              <w:t>Legal/compliance question about a specific tool</w:t>
            </w:r>
          </w:p>
        </w:tc>
        <w:tc>
          <w:tcPr>
            <w:tcW w:type="dxa" w:w="2986"/>
            <w:tcMar>
              <w:top w:w="60" w:type="dxa"/>
              <w:bottom w:w="60" w:type="dxa"/>
              <w:left w:w="100" w:type="dxa"/>
              <w:right w:w="100" w:type="dxa"/>
            </w:tcMar>
            <w:vAlign w:val="center"/>
          </w:tcPr>
          <w:p>
            <w:r/>
            <w:r>
              <w:rPr>
                <w:color w:val="3A3835"/>
                <w:sz w:val="17"/>
              </w:rPr>
              <w:t>Escalated, not answered directly by support</w:t>
            </w:r>
          </w:p>
        </w:tc>
        <w:tc>
          <w:tcPr>
            <w:tcW w:type="dxa" w:w="2986"/>
            <w:tcMar>
              <w:top w:w="60" w:type="dxa"/>
              <w:bottom w:w="60" w:type="dxa"/>
              <w:left w:w="100" w:type="dxa"/>
              <w:right w:w="100" w:type="dxa"/>
            </w:tcMar>
            <w:vAlign w:val="center"/>
          </w:tcPr>
          <w:p>
            <w:r/>
            <w:r>
              <w:rPr>
                <w:color w:val="3A3835"/>
                <w:sz w:val="17"/>
              </w:rPr>
              <w:t>Compliance &amp; Legal Review Coordinator (Appendix L)</w:t>
            </w:r>
          </w:p>
        </w:tc>
      </w:tr>
    </w:tbl>
    <w:p>
      <w:pPr>
        <w:spacing w:after="120"/>
      </w:pPr>
    </w:p>
    <w:p>
      <w:pPr>
        <w:pStyle w:val="BIKBody"/>
        <w:jc w:val="both"/>
      </w:pPr>
      <w:r>
        <w:t>The explicit rule for the last row is deliberate: support staff are trained to escalate any question that amounts to "is this document legally sufficient for my situation" rather than answer it directly, consistent with the boundary the Legal and Safety Tool Register draws throughout Chapter 27 between what BIK provides and what requires independent professional advice.</w:t>
      </w:r>
    </w:p>
    <w:p>
      <w:pPr>
        <w:pStyle w:val="BIKChapterLabel"/>
      </w:pPr>
      <w:r>
        <w:t>APPENDICES</w:t>
      </w:r>
    </w:p>
    <w:p>
      <w:pPr>
        <w:pStyle w:val="BIKChapterTitle"/>
        <w:pBdr>
          <w:bottom w:val="single" w:sz="18" w:space="8" w:color="D85A30"/>
        </w:pBdr>
      </w:pPr>
      <w:r>
        <w:t>43   Appendix N — Named Competitor Mini-SWOT</w:t>
      </w:r>
    </w:p>
    <w:p>
      <w:pPr>
        <w:pStyle w:val="BIKBody"/>
        <w:jc w:val="both"/>
      </w:pPr>
      <w:r>
        <w:t>Chapter 17 profiles thirteen competitors at a category level. This appendix drills into the three named as most likely to add competing AI features first (Chapter 26, Risk 5), from BIK's strategic vantage point specifically.</w:t>
      </w:r>
    </w:p>
    <w:p>
      <w:pPr>
        <w:pStyle w:val="BIKH2"/>
      </w:pPr>
      <w:r>
        <w:t>BUILDXACT</w:t>
      </w:r>
    </w:p>
    <w:p>
      <w:pPr>
        <w:pStyle w:val="ListBullet"/>
      </w:pPr>
      <w:r>
        <w:rPr>
          <w:b/>
          <w:color w:val="252320"/>
        </w:rPr>
        <w:t xml:space="preserve">Strength. </w:t>
      </w:r>
      <w:r>
        <w:t>Best-in-class estimating and takeoff accuracy; strong existing AU builder customer base to cross-sell an AI feature into.</w:t>
      </w:r>
    </w:p>
    <w:p>
      <w:pPr>
        <w:pStyle w:val="ListBullet"/>
      </w:pPr>
      <w:r>
        <w:rPr>
          <w:b/>
          <w:color w:val="252320"/>
        </w:rPr>
        <w:t xml:space="preserve">Weakness. </w:t>
      </w:r>
      <w:r>
        <w:t>Narrow document scope historically; retrofitting a governance-first AI approach (Chapter 11) onto an existing platform is a cultural change, not just a feature build.</w:t>
      </w:r>
    </w:p>
    <w:p>
      <w:pPr>
        <w:pStyle w:val="ListBullet"/>
      </w:pPr>
      <w:r>
        <w:rPr>
          <w:b/>
          <w:color w:val="252320"/>
        </w:rPr>
        <w:t xml:space="preserve">BIK's counter. </w:t>
      </w:r>
      <w:r>
        <w:t>Win on document-catalogue breadth (Chapter 12) and on trust — a fast-follow AI feature without an equivalent to Decision 001 is a real differentiation opportunity to make explicit in messaging (Chapter 14).</w:t>
      </w:r>
    </w:p>
    <w:p>
      <w:pPr>
        <w:pStyle w:val="BIKH2"/>
      </w:pPr>
      <w:r>
        <w:t>SERVICEM8</w:t>
      </w:r>
    </w:p>
    <w:p>
      <w:pPr>
        <w:pStyle w:val="ListBullet"/>
      </w:pPr>
      <w:r>
        <w:rPr>
          <w:b/>
          <w:color w:val="252320"/>
        </w:rPr>
        <w:t xml:space="preserve">Strength. </w:t>
      </w:r>
      <w:r>
        <w:t>Excellent field-service distribution and daily-habit product for solo trades — a large, engaged existing user base.</w:t>
      </w:r>
    </w:p>
    <w:p>
      <w:pPr>
        <w:pStyle w:val="ListBullet"/>
      </w:pPr>
      <w:r>
        <w:rPr>
          <w:b/>
          <w:color w:val="252320"/>
        </w:rPr>
        <w:t xml:space="preserve">Weakness. </w:t>
      </w:r>
      <w:r>
        <w:t>Product identity is scheduling and dispatch, not document quality; an AI document bolt-on risks feeling like a tacked-on feature rather than a core strength.</w:t>
      </w:r>
    </w:p>
    <w:p>
      <w:pPr>
        <w:pStyle w:val="ListBullet"/>
      </w:pPr>
      <w:r>
        <w:rPr>
          <w:b/>
          <w:color w:val="252320"/>
        </w:rPr>
        <w:t xml:space="preserve">BIK's counter. </w:t>
      </w:r>
      <w:r>
        <w:t>Position integration, not competition, as the likely long-run relationship (Chapter 22) while continuing to win users who choose BIK first for document quality.</w:t>
      </w:r>
    </w:p>
    <w:p>
      <w:pPr>
        <w:pStyle w:val="BIKH2"/>
      </w:pPr>
      <w:r>
        <w:t>TRADIFY</w:t>
      </w:r>
    </w:p>
    <w:p>
      <w:pPr>
        <w:pStyle w:val="ListBullet"/>
      </w:pPr>
      <w:r>
        <w:rPr>
          <w:b/>
          <w:color w:val="252320"/>
        </w:rPr>
        <w:t xml:space="preserve">Strength. </w:t>
      </w:r>
      <w:r>
        <w:t>Closest existing product to BIK's own target customer size and simplicity ethos.</w:t>
      </w:r>
    </w:p>
    <w:p>
      <w:pPr>
        <w:pStyle w:val="ListBullet"/>
      </w:pPr>
      <w:r>
        <w:rPr>
          <w:b/>
          <w:color w:val="252320"/>
        </w:rPr>
        <w:t xml:space="preserve">Weakness. </w:t>
      </w:r>
      <w:r>
        <w:t>No public evidence of construction-specific generative AI investment as at mid-2026.</w:t>
      </w:r>
    </w:p>
    <w:p>
      <w:pPr>
        <w:pStyle w:val="ListBullet"/>
      </w:pPr>
      <w:r>
        <w:rPr>
          <w:b/>
          <w:color w:val="252320"/>
        </w:rPr>
        <w:t xml:space="preserve">BIK's counter. </w:t>
      </w:r>
      <w:r>
        <w:t>Move fastest here precisely because the customer overlap is highest — this is the comparison most likely to be made directly by a prospective BIK customer evaluating alternatives.</w:t>
      </w:r>
    </w:p>
    <w:p>
      <w:pPr>
        <w:pStyle w:val="BIKChapterLabel"/>
      </w:pPr>
      <w:r>
        <w:t>APPENDICES</w:t>
      </w:r>
    </w:p>
    <w:p>
      <w:pPr>
        <w:pStyle w:val="BIKChapterTitle"/>
        <w:pBdr>
          <w:bottom w:val="single" w:sz="18" w:space="8" w:color="D85A30"/>
        </w:pBdr>
      </w:pPr>
      <w:r>
        <w:t>44   Appendix O — Seed Round Term Sheet Considerations</w:t>
      </w:r>
    </w:p>
    <w:p>
      <w:pPr>
        <w:pStyle w:val="BIKBody"/>
        <w:jc w:val="both"/>
      </w:pPr>
      <w:r>
        <w:t>Prepared for a prospective venture investor audience. BIK does not require capital to reach Phase 2 (Chapter 19), so this appendix is provided as educational context should the Board elect to pursue an institutional raise, not as an indication that terms are currently being negotiated.</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Term sheet element</w:t>
            </w:r>
          </w:p>
        </w:tc>
        <w:tc>
          <w:tcPr>
            <w:tcW w:type="dxa" w:w="4479"/>
            <w:shd w:val="clear" w:color="auto" w:fill="252320"/>
            <w:tcMar>
              <w:top w:w="60" w:type="dxa"/>
              <w:bottom w:w="60" w:type="dxa"/>
              <w:left w:w="100" w:type="dxa"/>
              <w:right w:w="100" w:type="dxa"/>
            </w:tcMar>
            <w:vAlign w:val="center"/>
          </w:tcPr>
          <w:p>
            <w:r/>
            <w:r>
              <w:rPr>
                <w:b/>
                <w:color w:val="FFFFFF"/>
                <w:sz w:val="17"/>
              </w:rPr>
              <w:t>Consideration for BIK specifically</w:t>
            </w:r>
          </w:p>
        </w:tc>
      </w:tr>
      <w:tr>
        <w:tc>
          <w:tcPr>
            <w:tcW w:type="dxa" w:w="4479"/>
            <w:tcMar>
              <w:top w:w="60" w:type="dxa"/>
              <w:bottom w:w="60" w:type="dxa"/>
              <w:left w:w="100" w:type="dxa"/>
              <w:right w:w="100" w:type="dxa"/>
            </w:tcMar>
            <w:vAlign w:val="center"/>
          </w:tcPr>
          <w:p>
            <w:r/>
            <w:r>
              <w:rPr>
                <w:color w:val="3A3835"/>
                <w:sz w:val="17"/>
              </w:rPr>
              <w:t>Valuation / instrument</w:t>
            </w:r>
          </w:p>
        </w:tc>
        <w:tc>
          <w:tcPr>
            <w:tcW w:type="dxa" w:w="4479"/>
            <w:tcMar>
              <w:top w:w="60" w:type="dxa"/>
              <w:bottom w:w="60" w:type="dxa"/>
              <w:left w:w="100" w:type="dxa"/>
              <w:right w:w="100" w:type="dxa"/>
            </w:tcMar>
            <w:vAlign w:val="center"/>
          </w:tcPr>
          <w:p>
            <w:r/>
            <w:r>
              <w:rPr>
                <w:color w:val="3A3835"/>
                <w:sz w:val="17"/>
              </w:rPr>
              <w:t>At Phase 1–2 stage, a priced seed round or a SAFE/convertible note are both plausible; the Chapter 21 valuation framework is most directly usable once Phase 2 subscriber and retention data exists</w:t>
            </w:r>
          </w:p>
        </w:tc>
      </w:tr>
      <w:tr>
        <w:tc>
          <w:tcPr>
            <w:tcW w:type="dxa" w:w="4479"/>
            <w:tcMar>
              <w:top w:w="60" w:type="dxa"/>
              <w:bottom w:w="60" w:type="dxa"/>
              <w:left w:w="100" w:type="dxa"/>
              <w:right w:w="100" w:type="dxa"/>
            </w:tcMar>
            <w:vAlign w:val="center"/>
            <w:shd w:val="clear" w:color="auto" w:fill="F2EFEA"/>
          </w:tcPr>
          <w:p>
            <w:r/>
            <w:r>
              <w:rPr>
                <w:color w:val="3A3835"/>
                <w:sz w:val="17"/>
              </w:rPr>
              <w:t>Use of funds</w:t>
            </w:r>
          </w:p>
        </w:tc>
        <w:tc>
          <w:tcPr>
            <w:tcW w:type="dxa" w:w="4479"/>
            <w:tcMar>
              <w:top w:w="60" w:type="dxa"/>
              <w:bottom w:w="60" w:type="dxa"/>
              <w:left w:w="100" w:type="dxa"/>
              <w:right w:w="100" w:type="dxa"/>
            </w:tcMar>
            <w:vAlign w:val="center"/>
            <w:shd w:val="clear" w:color="auto" w:fill="F2EFEA"/>
          </w:tcPr>
          <w:p>
            <w:r/>
            <w:r>
              <w:rPr>
                <w:color w:val="3A3835"/>
                <w:sz w:val="17"/>
              </w:rPr>
              <w:t>See Chapter 1's illustrative use-of-funds table — weighted toward engineering and compliance review acceleration, not disproportionate sales spend</w:t>
            </w:r>
          </w:p>
        </w:tc>
      </w:tr>
      <w:tr>
        <w:tc>
          <w:tcPr>
            <w:tcW w:type="dxa" w:w="4479"/>
            <w:tcMar>
              <w:top w:w="60" w:type="dxa"/>
              <w:bottom w:w="60" w:type="dxa"/>
              <w:left w:w="100" w:type="dxa"/>
              <w:right w:w="100" w:type="dxa"/>
            </w:tcMar>
            <w:vAlign w:val="center"/>
          </w:tcPr>
          <w:p>
            <w:r/>
            <w:r>
              <w:rPr>
                <w:color w:val="3A3835"/>
                <w:sz w:val="17"/>
              </w:rPr>
              <w:t>Board composition</w:t>
            </w:r>
          </w:p>
        </w:tc>
        <w:tc>
          <w:tcPr>
            <w:tcW w:type="dxa" w:w="4479"/>
            <w:tcMar>
              <w:top w:w="60" w:type="dxa"/>
              <w:bottom w:w="60" w:type="dxa"/>
              <w:left w:w="100" w:type="dxa"/>
              <w:right w:w="100" w:type="dxa"/>
            </w:tcMar>
            <w:vAlign w:val="center"/>
          </w:tcPr>
          <w:p>
            <w:r/>
            <w:r>
              <w:rPr>
                <w:color w:val="3A3835"/>
                <w:sz w:val="17"/>
              </w:rPr>
              <w:t>Founder control preservation is a stated priority (Chapter 8); any investor board seat should be evaluated against the governance cadence already set out in Chapter 28</w:t>
            </w:r>
          </w:p>
        </w:tc>
      </w:tr>
      <w:tr>
        <w:tc>
          <w:tcPr>
            <w:tcW w:type="dxa" w:w="4479"/>
            <w:tcMar>
              <w:top w:w="60" w:type="dxa"/>
              <w:bottom w:w="60" w:type="dxa"/>
              <w:left w:w="100" w:type="dxa"/>
              <w:right w:w="100" w:type="dxa"/>
            </w:tcMar>
            <w:vAlign w:val="center"/>
            <w:shd w:val="clear" w:color="auto" w:fill="F2EFEA"/>
          </w:tcPr>
          <w:p>
            <w:r/>
            <w:r>
              <w:rPr>
                <w:color w:val="3A3835"/>
                <w:sz w:val="17"/>
              </w:rPr>
              <w:t>Liquidation preference</w:t>
            </w:r>
          </w:p>
        </w:tc>
        <w:tc>
          <w:tcPr>
            <w:tcW w:type="dxa" w:w="4479"/>
            <w:tcMar>
              <w:top w:w="60" w:type="dxa"/>
              <w:bottom w:w="60" w:type="dxa"/>
              <w:left w:w="100" w:type="dxa"/>
              <w:right w:w="100" w:type="dxa"/>
            </w:tcMar>
            <w:vAlign w:val="center"/>
            <w:shd w:val="clear" w:color="auto" w:fill="F2EFEA"/>
          </w:tcPr>
          <w:p>
            <w:r/>
            <w:r>
              <w:rPr>
                <w:color w:val="3A3835"/>
                <w:sz w:val="17"/>
              </w:rPr>
              <w:t>Standard 1x non-participating preferred is the least dilutive-in-substance structure for a founder-led company at this stage; anything beyond 1x non-participating warrants Board-level legal review</w:t>
            </w:r>
          </w:p>
        </w:tc>
      </w:tr>
      <w:tr>
        <w:tc>
          <w:tcPr>
            <w:tcW w:type="dxa" w:w="4479"/>
            <w:tcMar>
              <w:top w:w="60" w:type="dxa"/>
              <w:bottom w:w="60" w:type="dxa"/>
              <w:left w:w="100" w:type="dxa"/>
              <w:right w:w="100" w:type="dxa"/>
            </w:tcMar>
            <w:vAlign w:val="center"/>
          </w:tcPr>
          <w:p>
            <w:r/>
            <w:r>
              <w:rPr>
                <w:color w:val="3A3835"/>
                <w:sz w:val="17"/>
              </w:rPr>
              <w:t>Option pool</w:t>
            </w:r>
          </w:p>
        </w:tc>
        <w:tc>
          <w:tcPr>
            <w:tcW w:type="dxa" w:w="4479"/>
            <w:tcMar>
              <w:top w:w="60" w:type="dxa"/>
              <w:bottom w:w="60" w:type="dxa"/>
              <w:left w:w="100" w:type="dxa"/>
              <w:right w:w="100" w:type="dxa"/>
            </w:tcMar>
            <w:vAlign w:val="center"/>
          </w:tcPr>
          <w:p>
            <w:r/>
            <w:r>
              <w:rPr>
                <w:color w:val="3A3835"/>
                <w:sz w:val="17"/>
              </w:rPr>
              <w:t>Should be sized against the Chapter 10 hiring plan, not an arbitrary market-standard percentage, to avoid unnecessary founder dilution</w:t>
            </w:r>
          </w:p>
        </w:tc>
      </w:tr>
      <w:tr>
        <w:tc>
          <w:tcPr>
            <w:tcW w:type="dxa" w:w="4479"/>
            <w:tcMar>
              <w:top w:w="60" w:type="dxa"/>
              <w:bottom w:w="60" w:type="dxa"/>
              <w:left w:w="100" w:type="dxa"/>
              <w:right w:w="100" w:type="dxa"/>
            </w:tcMar>
            <w:vAlign w:val="center"/>
            <w:shd w:val="clear" w:color="auto" w:fill="F2EFEA"/>
          </w:tcPr>
          <w:p>
            <w:r/>
            <w:r>
              <w:rPr>
                <w:color w:val="3A3835"/>
                <w:sz w:val="17"/>
              </w:rPr>
              <w:t>Information rights</w:t>
            </w:r>
          </w:p>
        </w:tc>
        <w:tc>
          <w:tcPr>
            <w:tcW w:type="dxa" w:w="4479"/>
            <w:tcMar>
              <w:top w:w="60" w:type="dxa"/>
              <w:bottom w:w="60" w:type="dxa"/>
              <w:left w:w="100" w:type="dxa"/>
              <w:right w:w="100" w:type="dxa"/>
            </w:tcMar>
            <w:vAlign w:val="center"/>
            <w:shd w:val="clear" w:color="auto" w:fill="F2EFEA"/>
          </w:tcPr>
          <w:p>
            <w:r/>
            <w:r>
              <w:rPr>
                <w:color w:val="3A3835"/>
                <w:sz w:val="17"/>
              </w:rPr>
              <w:t>Naturally satisfied by the Chapter 28 quarterly reporting cadence, which BIK would be maintaining regardless of whether a raise occurs</w:t>
            </w:r>
          </w:p>
        </w:tc>
      </w:tr>
    </w:tbl>
    <w:p>
      <w:pPr>
        <w:spacing w:after="120"/>
      </w:pPr>
    </w:p>
    <w:tbl>
      <w:tblPr>
        <w:tblW w:type="auto" w:w="0"/>
        <w:tblLayout w:type="autofit"/>
        <w:tblLook w:firstColumn="1" w:firstRow="1" w:lastColumn="0" w:lastRow="0" w:noHBand="0" w:noVBand="1" w:val="04A0"/>
      </w:tblPr>
      <w:tblGrid>
        <w:gridCol w:w="8958"/>
      </w:tblGrid>
      <w:tr>
        <w:tc>
          <w:tcPr>
            <w:tcW w:type="dxa" w:w="8958"/>
            <w:shd w:val="clear" w:color="auto" w:fill="D85A30"/>
            <w:tcMar>
              <w:top w:w="160" w:type="dxa"/>
              <w:bottom w:w="160" w:type="dxa"/>
              <w:left w:w="220" w:type="dxa"/>
              <w:right w:w="220" w:type="dxa"/>
            </w:tcMar>
          </w:tcPr>
          <w:p>
            <w:r/>
            <w:r>
              <w:rPr>
                <w:b/>
                <w:color w:val="FFFFFF"/>
                <w:sz w:val="20"/>
              </w:rPr>
              <w:t>STANDING CAUTION</w:t>
            </w:r>
          </w:p>
          <w:p>
            <w:r>
              <w:rPr>
                <w:color w:val="FFFFFF"/>
                <w:sz w:val="20"/>
              </w:rPr>
              <w:t>This appendix is educational context, not legal or financial advice, and not an indication of current fundraising activity or specific terms on offer. Any actual raise should be conducted with qualified legal counsel engaged directly.</w:t>
            </w:r>
          </w:p>
        </w:tc>
      </w:tr>
    </w:tbl>
    <w:p>
      <w:pPr>
        <w:spacing w:after="80"/>
      </w:pPr>
    </w:p>
    <w:p>
      <w:pPr>
        <w:pStyle w:val="BIKChapterLabel"/>
      </w:pPr>
      <w:r>
        <w:t>APPENDICES</w:t>
      </w:r>
    </w:p>
    <w:p>
      <w:pPr>
        <w:pStyle w:val="BIKChapterTitle"/>
        <w:pBdr>
          <w:bottom w:val="single" w:sz="18" w:space="8" w:color="D85A30"/>
        </w:pBdr>
      </w:pPr>
      <w:r>
        <w:t>45   Appendix P — Government Grant Eligibility Self-Assessment</w:t>
      </w:r>
    </w:p>
    <w:p>
      <w:pPr>
        <w:pStyle w:val="BIKBody"/>
        <w:jc w:val="both"/>
      </w:pPr>
      <w:r>
        <w:t>Prepared for a government grant assessor audience. This appendix maps BIK's own activities against the kinds of criteria commonly used in Australian innovation, digitisation and productivity grant and incentive programmes, to assist an assessor's initial review. It is a self-assessment against publicly known criteria categories, not a claim of eligibility for any specific, named programme, and should be verified against the current rules of whichever specific programme is under consideration.</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Common criterion category</w:t>
            </w:r>
          </w:p>
        </w:tc>
        <w:tc>
          <w:tcPr>
            <w:tcW w:type="dxa" w:w="4479"/>
            <w:shd w:val="clear" w:color="auto" w:fill="252320"/>
            <w:tcMar>
              <w:top w:w="60" w:type="dxa"/>
              <w:bottom w:w="60" w:type="dxa"/>
              <w:left w:w="100" w:type="dxa"/>
              <w:right w:w="100" w:type="dxa"/>
            </w:tcMar>
            <w:vAlign w:val="center"/>
          </w:tcPr>
          <w:p>
            <w:r/>
            <w:r>
              <w:rPr>
                <w:b/>
                <w:color w:val="FFFFFF"/>
                <w:sz w:val="17"/>
              </w:rPr>
              <w:t>How BIK's activity maps</w:t>
            </w:r>
          </w:p>
        </w:tc>
      </w:tr>
      <w:tr>
        <w:tc>
          <w:tcPr>
            <w:tcW w:type="dxa" w:w="4479"/>
            <w:tcMar>
              <w:top w:w="60" w:type="dxa"/>
              <w:bottom w:w="60" w:type="dxa"/>
              <w:left w:w="100" w:type="dxa"/>
              <w:right w:w="100" w:type="dxa"/>
            </w:tcMar>
            <w:vAlign w:val="center"/>
          </w:tcPr>
          <w:p>
            <w:r/>
            <w:r>
              <w:rPr>
                <w:color w:val="3A3835"/>
                <w:sz w:val="17"/>
              </w:rPr>
              <w:t>Genuine R&amp;D / technical novelty</w:t>
            </w:r>
          </w:p>
        </w:tc>
        <w:tc>
          <w:tcPr>
            <w:tcW w:type="dxa" w:w="4479"/>
            <w:tcMar>
              <w:top w:w="60" w:type="dxa"/>
              <w:bottom w:w="60" w:type="dxa"/>
              <w:left w:w="100" w:type="dxa"/>
              <w:right w:w="100" w:type="dxa"/>
            </w:tcMar>
            <w:vAlign w:val="center"/>
          </w:tcPr>
          <w:p>
            <w:r/>
            <w:r>
              <w:rPr>
                <w:color w:val="3A3835"/>
                <w:sz w:val="17"/>
              </w:rPr>
              <w:t>The AI document engine, the construction-domain schema, and the governance framework (Decision 001) represent applied R&amp;D in natural-language generation constrained to a compliance-sensitive domain — distinct from simply calling a third-party API</w:t>
            </w:r>
          </w:p>
        </w:tc>
      </w:tr>
      <w:tr>
        <w:tc>
          <w:tcPr>
            <w:tcW w:type="dxa" w:w="4479"/>
            <w:tcMar>
              <w:top w:w="60" w:type="dxa"/>
              <w:bottom w:w="60" w:type="dxa"/>
              <w:left w:w="100" w:type="dxa"/>
              <w:right w:w="100" w:type="dxa"/>
            </w:tcMar>
            <w:vAlign w:val="center"/>
            <w:shd w:val="clear" w:color="auto" w:fill="F2EFEA"/>
          </w:tcPr>
          <w:p>
            <w:r/>
            <w:r>
              <w:rPr>
                <w:color w:val="3A3835"/>
                <w:sz w:val="17"/>
              </w:rPr>
              <w:t>Sector productivity impact</w:t>
            </w:r>
          </w:p>
        </w:tc>
        <w:tc>
          <w:tcPr>
            <w:tcW w:type="dxa" w:w="4479"/>
            <w:tcMar>
              <w:top w:w="60" w:type="dxa"/>
              <w:bottom w:w="60" w:type="dxa"/>
              <w:left w:w="100" w:type="dxa"/>
              <w:right w:w="100" w:type="dxa"/>
            </w:tcMar>
            <w:vAlign w:val="center"/>
            <w:shd w:val="clear" w:color="auto" w:fill="F2EFEA"/>
          </w:tcPr>
          <w:p>
            <w:r/>
            <w:r>
              <w:rPr>
                <w:color w:val="3A3835"/>
                <w:sz w:val="17"/>
              </w:rPr>
              <w:t>Direct, quantified time-savings claims per tool (Chapter 3, Appendix A) in a sector (construction) explicitly identified as under-digitised relative to its economic contribution (Chapter 1)</w:t>
            </w:r>
          </w:p>
        </w:tc>
      </w:tr>
      <w:tr>
        <w:tc>
          <w:tcPr>
            <w:tcW w:type="dxa" w:w="4479"/>
            <w:tcMar>
              <w:top w:w="60" w:type="dxa"/>
              <w:bottom w:w="60" w:type="dxa"/>
              <w:left w:w="100" w:type="dxa"/>
              <w:right w:w="100" w:type="dxa"/>
            </w:tcMar>
            <w:vAlign w:val="center"/>
          </w:tcPr>
          <w:p>
            <w:r/>
            <w:r>
              <w:rPr>
                <w:color w:val="3A3835"/>
                <w:sz w:val="17"/>
              </w:rPr>
              <w:t>SME focus</w:t>
            </w:r>
          </w:p>
        </w:tc>
        <w:tc>
          <w:tcPr>
            <w:tcW w:type="dxa" w:w="4479"/>
            <w:tcMar>
              <w:top w:w="60" w:type="dxa"/>
              <w:bottom w:w="60" w:type="dxa"/>
              <w:left w:w="100" w:type="dxa"/>
              <w:right w:w="100" w:type="dxa"/>
            </w:tcMar>
            <w:vAlign w:val="center"/>
          </w:tcPr>
          <w:p>
            <w:r/>
            <w:r>
              <w:rPr>
                <w:color w:val="3A3835"/>
                <w:sz w:val="17"/>
              </w:rPr>
              <w:t>BIK's entire target market (Chapter 8) is the 1–50 person business — squarely within the SME focus of most Australian productivity and digitisation grant programmes</w:t>
            </w:r>
          </w:p>
        </w:tc>
      </w:tr>
      <w:tr>
        <w:tc>
          <w:tcPr>
            <w:tcW w:type="dxa" w:w="4479"/>
            <w:tcMar>
              <w:top w:w="60" w:type="dxa"/>
              <w:bottom w:w="60" w:type="dxa"/>
              <w:left w:w="100" w:type="dxa"/>
              <w:right w:w="100" w:type="dxa"/>
            </w:tcMar>
            <w:vAlign w:val="center"/>
            <w:shd w:val="clear" w:color="auto" w:fill="F2EFEA"/>
          </w:tcPr>
          <w:p>
            <w:r/>
            <w:r>
              <w:rPr>
                <w:color w:val="3A3835"/>
                <w:sz w:val="17"/>
              </w:rPr>
              <w:t>Job creation / economic contribution</w:t>
            </w:r>
          </w:p>
        </w:tc>
        <w:tc>
          <w:tcPr>
            <w:tcW w:type="dxa" w:w="4479"/>
            <w:tcMar>
              <w:top w:w="60" w:type="dxa"/>
              <w:bottom w:w="60" w:type="dxa"/>
              <w:left w:w="100" w:type="dxa"/>
              <w:right w:w="100" w:type="dxa"/>
            </w:tcMar>
            <w:vAlign w:val="center"/>
            <w:shd w:val="clear" w:color="auto" w:fill="F2EFEA"/>
          </w:tcPr>
          <w:p>
            <w:r/>
            <w:r>
              <w:rPr>
                <w:color w:val="3A3835"/>
                <w:sz w:val="17"/>
              </w:rPr>
              <w:t>Chapter 10's phased hiring plan is directly tied to revenue milestones, providing a concrete, disclosed job-creation trajectory rather than a speculative one</w:t>
            </w:r>
          </w:p>
        </w:tc>
      </w:tr>
      <w:tr>
        <w:tc>
          <w:tcPr>
            <w:tcW w:type="dxa" w:w="4479"/>
            <w:tcMar>
              <w:top w:w="60" w:type="dxa"/>
              <w:bottom w:w="60" w:type="dxa"/>
              <w:left w:w="100" w:type="dxa"/>
              <w:right w:w="100" w:type="dxa"/>
            </w:tcMar>
            <w:vAlign w:val="center"/>
          </w:tcPr>
          <w:p>
            <w:r/>
            <w:r>
              <w:rPr>
                <w:color w:val="3A3835"/>
                <w:sz w:val="17"/>
              </w:rPr>
              <w:t>Responsible / safe AI practice</w:t>
            </w:r>
          </w:p>
        </w:tc>
        <w:tc>
          <w:tcPr>
            <w:tcW w:type="dxa" w:w="4479"/>
            <w:tcMar>
              <w:top w:w="60" w:type="dxa"/>
              <w:bottom w:w="60" w:type="dxa"/>
              <w:left w:w="100" w:type="dxa"/>
              <w:right w:w="100" w:type="dxa"/>
            </w:tcMar>
            <w:vAlign w:val="center"/>
          </w:tcPr>
          <w:p>
            <w:r/>
            <w:r>
              <w:rPr>
                <w:color w:val="3A3835"/>
                <w:sz w:val="17"/>
              </w:rPr>
              <w:t>Chapter 11's AI Governance Framework and Chapter 27's Legal and Safety Tool Register are directly relevant to any programme criteria assessing responsible AI deployment</w:t>
            </w:r>
          </w:p>
        </w:tc>
      </w:tr>
      <w:tr>
        <w:tc>
          <w:tcPr>
            <w:tcW w:type="dxa" w:w="4479"/>
            <w:tcMar>
              <w:top w:w="60" w:type="dxa"/>
              <w:bottom w:w="60" w:type="dxa"/>
              <w:left w:w="100" w:type="dxa"/>
              <w:right w:w="100" w:type="dxa"/>
            </w:tcMar>
            <w:vAlign w:val="center"/>
            <w:shd w:val="clear" w:color="auto" w:fill="F2EFEA"/>
          </w:tcPr>
          <w:p>
            <w:r/>
            <w:r>
              <w:rPr>
                <w:color w:val="3A3835"/>
                <w:sz w:val="17"/>
              </w:rPr>
              <w:t>Export potential</w:t>
            </w:r>
          </w:p>
        </w:tc>
        <w:tc>
          <w:tcPr>
            <w:tcW w:type="dxa" w:w="4479"/>
            <w:tcMar>
              <w:top w:w="60" w:type="dxa"/>
              <w:bottom w:w="60" w:type="dxa"/>
              <w:left w:w="100" w:type="dxa"/>
              <w:right w:w="100" w:type="dxa"/>
            </w:tcMar>
            <w:vAlign w:val="center"/>
            <w:shd w:val="clear" w:color="auto" w:fill="F2EFEA"/>
          </w:tcPr>
          <w:p>
            <w:r/>
            <w:r>
              <w:rPr>
                <w:color w:val="3A3835"/>
                <w:sz w:val="17"/>
              </w:rPr>
              <w:t>Chapter 23's New Zealand expansion pathway provides a concrete, near-term export/market-expansion narrative beyond the domestic AU market</w:t>
            </w:r>
          </w:p>
        </w:tc>
      </w:tr>
    </w:tbl>
    <w:p>
      <w:pPr>
        <w:spacing w:after="120"/>
      </w:pPr>
    </w:p>
    <w:p>
      <w:pPr>
        <w:pStyle w:val="BIKBody"/>
        <w:jc w:val="both"/>
      </w:pPr>
      <w:r>
        <w:t>A grant assessor reviewing this document is encouraged to request the underlying source materials referenced throughout (Appendix E) directly from BIK Solutions Pty Ltd to verify any specific claim relevant to a live application.</w:t>
      </w:r>
    </w:p>
    <w:p>
      <w:pPr>
        <w:pStyle w:val="BIKChapterLabel"/>
      </w:pPr>
      <w:r>
        <w:t>APPENDICES</w:t>
      </w:r>
    </w:p>
    <w:p>
      <w:pPr>
        <w:pStyle w:val="BIKChapterTitle"/>
        <w:pBdr>
          <w:bottom w:val="single" w:sz="18" w:space="8" w:color="D85A30"/>
        </w:pBdr>
      </w:pPr>
      <w:r>
        <w:t>46   Appendix Q — Banking &amp; Finance Partner Considerations</w:t>
      </w:r>
    </w:p>
    <w:p>
      <w:pPr>
        <w:pStyle w:val="BIKBody"/>
        <w:jc w:val="both"/>
      </w:pPr>
      <w:r>
        <w:t>Prepared for a banking or finance partner audience assessing BIK as a credit or facility counterparty. The relevant lens for a banking partner is different from a venture investor's — cash flow discipline and downside protection matter more than growth-rate upside.</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Banking consideration</w:t>
            </w:r>
          </w:p>
        </w:tc>
        <w:tc>
          <w:tcPr>
            <w:tcW w:type="dxa" w:w="4479"/>
            <w:shd w:val="clear" w:color="auto" w:fill="252320"/>
            <w:tcMar>
              <w:top w:w="60" w:type="dxa"/>
              <w:bottom w:w="60" w:type="dxa"/>
              <w:left w:w="100" w:type="dxa"/>
              <w:right w:w="100" w:type="dxa"/>
            </w:tcMar>
            <w:vAlign w:val="center"/>
          </w:tcPr>
          <w:p>
            <w:r/>
            <w:r>
              <w:rPr>
                <w:b/>
                <w:color w:val="FFFFFF"/>
                <w:sz w:val="17"/>
              </w:rPr>
              <w:t>BIK's position</w:t>
            </w:r>
          </w:p>
        </w:tc>
      </w:tr>
      <w:tr>
        <w:tc>
          <w:tcPr>
            <w:tcW w:type="dxa" w:w="4479"/>
            <w:tcMar>
              <w:top w:w="60" w:type="dxa"/>
              <w:bottom w:w="60" w:type="dxa"/>
              <w:left w:w="100" w:type="dxa"/>
              <w:right w:w="100" w:type="dxa"/>
            </w:tcMar>
            <w:vAlign w:val="center"/>
          </w:tcPr>
          <w:p>
            <w:r/>
            <w:r>
              <w:rPr>
                <w:color w:val="3A3835"/>
                <w:sz w:val="17"/>
              </w:rPr>
              <w:t>Revenue diversification</w:t>
            </w:r>
          </w:p>
        </w:tc>
        <w:tc>
          <w:tcPr>
            <w:tcW w:type="dxa" w:w="4479"/>
            <w:tcMar>
              <w:top w:w="60" w:type="dxa"/>
              <w:bottom w:w="60" w:type="dxa"/>
              <w:left w:w="100" w:type="dxa"/>
              <w:right w:w="100" w:type="dxa"/>
            </w:tcMar>
            <w:vAlign w:val="center"/>
          </w:tcPr>
          <w:p>
            <w:r/>
            <w:r>
              <w:rPr>
                <w:color w:val="3A3835"/>
                <w:sz w:val="17"/>
              </w:rPr>
              <w:t>Two distinct units — cash-generative Trades Services and the SaaS Platform — reduce single-point-of-failure revenue risk relative to a pure pre-revenue SaaS start-up (Chapter 3)</w:t>
            </w:r>
          </w:p>
        </w:tc>
      </w:tr>
      <w:tr>
        <w:tc>
          <w:tcPr>
            <w:tcW w:type="dxa" w:w="4479"/>
            <w:tcMar>
              <w:top w:w="60" w:type="dxa"/>
              <w:bottom w:w="60" w:type="dxa"/>
              <w:left w:w="100" w:type="dxa"/>
              <w:right w:w="100" w:type="dxa"/>
            </w:tcMar>
            <w:vAlign w:val="center"/>
            <w:shd w:val="clear" w:color="auto" w:fill="F2EFEA"/>
          </w:tcPr>
          <w:p>
            <w:r/>
            <w:r>
              <w:rPr>
                <w:color w:val="3A3835"/>
                <w:sz w:val="17"/>
              </w:rPr>
              <w:t>Cash flow discipline</w:t>
            </w:r>
          </w:p>
        </w:tc>
        <w:tc>
          <w:tcPr>
            <w:tcW w:type="dxa" w:w="4479"/>
            <w:tcMar>
              <w:top w:w="60" w:type="dxa"/>
              <w:bottom w:w="60" w:type="dxa"/>
              <w:left w:w="100" w:type="dxa"/>
              <w:right w:w="100" w:type="dxa"/>
            </w:tcMar>
            <w:vAlign w:val="center"/>
            <w:shd w:val="clear" w:color="auto" w:fill="F2EFEA"/>
          </w:tcPr>
          <w:p>
            <w:r/>
            <w:r>
              <w:rPr>
                <w:color w:val="3A3835"/>
                <w:sz w:val="17"/>
              </w:rPr>
              <w:t>The bootstrap-path model (Chapter 19, Figure 19.1) demonstrates a viable, non-dilutive path to Phase 2, evidencing financial discipline rather than growth-at-all-costs behaviour</w:t>
            </w:r>
          </w:p>
        </w:tc>
      </w:tr>
      <w:tr>
        <w:tc>
          <w:tcPr>
            <w:tcW w:type="dxa" w:w="4479"/>
            <w:tcMar>
              <w:top w:w="60" w:type="dxa"/>
              <w:bottom w:w="60" w:type="dxa"/>
              <w:left w:w="100" w:type="dxa"/>
              <w:right w:w="100" w:type="dxa"/>
            </w:tcMar>
            <w:vAlign w:val="center"/>
          </w:tcPr>
          <w:p>
            <w:r/>
            <w:r>
              <w:rPr>
                <w:color w:val="3A3835"/>
                <w:sz w:val="17"/>
              </w:rPr>
              <w:t>Facility requirements</w:t>
            </w:r>
          </w:p>
        </w:tc>
        <w:tc>
          <w:tcPr>
            <w:tcW w:type="dxa" w:w="4479"/>
            <w:tcMar>
              <w:top w:w="60" w:type="dxa"/>
              <w:bottom w:w="60" w:type="dxa"/>
              <w:left w:w="100" w:type="dxa"/>
              <w:right w:w="100" w:type="dxa"/>
            </w:tcMar>
            <w:vAlign w:val="center"/>
          </w:tcPr>
          <w:p>
            <w:r/>
            <w:r>
              <w:rPr>
                <w:color w:val="3A3835"/>
                <w:sz w:val="17"/>
              </w:rPr>
              <w:t>Any facility need is most likely working-capital in nature — bridging the gap between services-unit cash generation and platform investment timing — rather than large capital-equipment financing</w:t>
            </w:r>
          </w:p>
        </w:tc>
      </w:tr>
      <w:tr>
        <w:tc>
          <w:tcPr>
            <w:tcW w:type="dxa" w:w="4479"/>
            <w:tcMar>
              <w:top w:w="60" w:type="dxa"/>
              <w:bottom w:w="60" w:type="dxa"/>
              <w:left w:w="100" w:type="dxa"/>
              <w:right w:w="100" w:type="dxa"/>
            </w:tcMar>
            <w:vAlign w:val="center"/>
            <w:shd w:val="clear" w:color="auto" w:fill="F2EFEA"/>
          </w:tcPr>
          <w:p>
            <w:r/>
            <w:r>
              <w:rPr>
                <w:color w:val="3A3835"/>
                <w:sz w:val="17"/>
              </w:rPr>
              <w:t>Downside scenario</w:t>
            </w:r>
          </w:p>
        </w:tc>
        <w:tc>
          <w:tcPr>
            <w:tcW w:type="dxa" w:w="4479"/>
            <w:tcMar>
              <w:top w:w="60" w:type="dxa"/>
              <w:bottom w:w="60" w:type="dxa"/>
              <w:left w:w="100" w:type="dxa"/>
              <w:right w:w="100" w:type="dxa"/>
            </w:tcMar>
            <w:vAlign w:val="center"/>
            <w:shd w:val="clear" w:color="auto" w:fill="F2EFEA"/>
          </w:tcPr>
          <w:p>
            <w:r/>
            <w:r>
              <w:rPr>
                <w:color w:val="3A3835"/>
                <w:sz w:val="17"/>
              </w:rPr>
              <w:t>The Chapter 20 pessimistic churn scenario and Chapter 26 risk register are provided precisely so a finance partner can assess the business under stress, not only under the base case</w:t>
            </w:r>
          </w:p>
        </w:tc>
      </w:tr>
      <w:tr>
        <w:tc>
          <w:tcPr>
            <w:tcW w:type="dxa" w:w="4479"/>
            <w:tcMar>
              <w:top w:w="60" w:type="dxa"/>
              <w:bottom w:w="60" w:type="dxa"/>
              <w:left w:w="100" w:type="dxa"/>
              <w:right w:w="100" w:type="dxa"/>
            </w:tcMar>
            <w:vAlign w:val="center"/>
          </w:tcPr>
          <w:p>
            <w:r/>
            <w:r>
              <w:rPr>
                <w:color w:val="3A3835"/>
                <w:sz w:val="17"/>
              </w:rPr>
              <w:t>Security / collateral</w:t>
            </w:r>
          </w:p>
        </w:tc>
        <w:tc>
          <w:tcPr>
            <w:tcW w:type="dxa" w:w="4479"/>
            <w:tcMar>
              <w:top w:w="60" w:type="dxa"/>
              <w:bottom w:w="60" w:type="dxa"/>
              <w:left w:w="100" w:type="dxa"/>
              <w:right w:w="100" w:type="dxa"/>
            </w:tcMar>
            <w:vAlign w:val="center"/>
          </w:tcPr>
          <w:p>
            <w:r/>
            <w:r>
              <w:rPr>
                <w:color w:val="3A3835"/>
                <w:sz w:val="17"/>
              </w:rPr>
              <w:t>As a services-and-software business, BIK's asset base is primarily people, brand, and intangible IP rather than hard assets — a standard consideration for any technology-sector facility discussion</w:t>
            </w:r>
          </w:p>
        </w:tc>
      </w:tr>
    </w:tbl>
    <w:p>
      <w:pPr>
        <w:spacing w:after="120"/>
      </w:pPr>
    </w:p>
    <w:p>
      <w:pPr>
        <w:pStyle w:val="BIKBody"/>
        <w:jc w:val="both"/>
      </w:pPr>
      <w:r>
        <w:t>This document does not constitute, and should not be relied upon as, a credit application or a formal request for finance. Any facility discussion would be conducted separately, supported by audited or reviewed financial statements once available (Chapter 25, exit-readiness checklist).</w:t>
      </w:r>
    </w:p>
    <w:p>
      <w:pPr>
        <w:pStyle w:val="BIKChapterLabel"/>
      </w:pPr>
      <w:r>
        <w:t>APPENDICES</w:t>
      </w:r>
    </w:p>
    <w:p>
      <w:pPr>
        <w:pStyle w:val="BIKChapterTitle"/>
        <w:pBdr>
          <w:bottom w:val="single" w:sz="18" w:space="8" w:color="D85A30"/>
        </w:pBdr>
      </w:pPr>
      <w:r>
        <w:t>47   Appendix R — Illustrative Generated Document: Variation Notice</w:t>
      </w:r>
    </w:p>
    <w:p>
      <w:pPr>
        <w:pStyle w:val="BIKBody"/>
        <w:jc w:val="both"/>
      </w:pPr>
      <w:r>
        <w:t>To make Chapter 3's product description fully concrete, this appendix reproduces the structure of an illustrative Variation Notice as BIK's Variation Notice tool (production-ready, Chapter 3) would generate it — with placeholder data standing in for a real project, so the document's structure and professional register can be assessed directly rather than taken on description alone.</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Document section</w:t>
            </w:r>
          </w:p>
        </w:tc>
        <w:tc>
          <w:tcPr>
            <w:tcW w:type="dxa" w:w="4479"/>
            <w:shd w:val="clear" w:color="auto" w:fill="252320"/>
            <w:tcMar>
              <w:top w:w="60" w:type="dxa"/>
              <w:bottom w:w="60" w:type="dxa"/>
              <w:left w:w="100" w:type="dxa"/>
              <w:right w:w="100" w:type="dxa"/>
            </w:tcMar>
            <w:vAlign w:val="center"/>
          </w:tcPr>
          <w:p>
            <w:r/>
            <w:r>
              <w:rPr>
                <w:b/>
                <w:color w:val="FFFFFF"/>
                <w:sz w:val="17"/>
              </w:rPr>
              <w:t>Illustrative content</w:t>
            </w:r>
          </w:p>
        </w:tc>
      </w:tr>
      <w:tr>
        <w:tc>
          <w:tcPr>
            <w:tcW w:type="dxa" w:w="4479"/>
            <w:tcMar>
              <w:top w:w="60" w:type="dxa"/>
              <w:bottom w:w="60" w:type="dxa"/>
              <w:left w:w="100" w:type="dxa"/>
              <w:right w:w="100" w:type="dxa"/>
            </w:tcMar>
            <w:vAlign w:val="center"/>
          </w:tcPr>
          <w:p>
            <w:r/>
            <w:r>
              <w:rPr>
                <w:color w:val="3A3835"/>
                <w:sz w:val="17"/>
              </w:rPr>
              <w:t>Header</w:t>
            </w:r>
          </w:p>
        </w:tc>
        <w:tc>
          <w:tcPr>
            <w:tcW w:type="dxa" w:w="4479"/>
            <w:tcMar>
              <w:top w:w="60" w:type="dxa"/>
              <w:bottom w:w="60" w:type="dxa"/>
              <w:left w:w="100" w:type="dxa"/>
              <w:right w:w="100" w:type="dxa"/>
            </w:tcMar>
            <w:vAlign w:val="center"/>
          </w:tcPr>
          <w:p>
            <w:r/>
            <w:r>
              <w:rPr>
                <w:color w:val="3A3835"/>
                <w:sz w:val="17"/>
              </w:rPr>
              <w:t>BIK-style document brand block; title "Variation Notice"; reference VN-014</w:t>
            </w:r>
          </w:p>
        </w:tc>
      </w:tr>
      <w:tr>
        <w:tc>
          <w:tcPr>
            <w:tcW w:type="dxa" w:w="4479"/>
            <w:tcMar>
              <w:top w:w="60" w:type="dxa"/>
              <w:bottom w:w="60" w:type="dxa"/>
              <w:left w:w="100" w:type="dxa"/>
              <w:right w:w="100" w:type="dxa"/>
            </w:tcMar>
            <w:vAlign w:val="center"/>
            <w:shd w:val="clear" w:color="auto" w:fill="F2EFEA"/>
          </w:tcPr>
          <w:p>
            <w:r/>
            <w:r>
              <w:rPr>
                <w:color w:val="3A3835"/>
                <w:sz w:val="17"/>
              </w:rPr>
              <w:t>Meta grid</w:t>
            </w:r>
          </w:p>
        </w:tc>
        <w:tc>
          <w:tcPr>
            <w:tcW w:type="dxa" w:w="4479"/>
            <w:tcMar>
              <w:top w:w="60" w:type="dxa"/>
              <w:bottom w:w="60" w:type="dxa"/>
              <w:left w:w="100" w:type="dxa"/>
              <w:right w:w="100" w:type="dxa"/>
            </w:tcMar>
            <w:vAlign w:val="center"/>
            <w:shd w:val="clear" w:color="auto" w:fill="F2EFEA"/>
          </w:tcPr>
          <w:p>
            <w:r/>
            <w:r>
              <w:rPr>
                <w:color w:val="3A3835"/>
                <w:sz w:val="17"/>
              </w:rPr>
              <w:t>Prepared by: [Builder business name, ABN, licence number] · Prepared for: [Client name, project address] · Reference table: date issued, project reference, original contract reference</w:t>
            </w:r>
          </w:p>
        </w:tc>
      </w:tr>
      <w:tr>
        <w:tc>
          <w:tcPr>
            <w:tcW w:type="dxa" w:w="4479"/>
            <w:tcMar>
              <w:top w:w="60" w:type="dxa"/>
              <w:bottom w:w="60" w:type="dxa"/>
              <w:left w:w="100" w:type="dxa"/>
              <w:right w:w="100" w:type="dxa"/>
            </w:tcMar>
            <w:vAlign w:val="center"/>
          </w:tcPr>
          <w:p>
            <w:r/>
            <w:r>
              <w:rPr>
                <w:color w:val="3A3835"/>
                <w:sz w:val="17"/>
              </w:rPr>
              <w:t>Section 1 — Reason for variation</w:t>
            </w:r>
          </w:p>
        </w:tc>
        <w:tc>
          <w:tcPr>
            <w:tcW w:type="dxa" w:w="4479"/>
            <w:tcMar>
              <w:top w:w="60" w:type="dxa"/>
              <w:bottom w:w="60" w:type="dxa"/>
              <w:left w:w="100" w:type="dxa"/>
              <w:right w:w="100" w:type="dxa"/>
            </w:tcMar>
            <w:vAlign w:val="center"/>
          </w:tcPr>
          <w:p>
            <w:r/>
            <w:r>
              <w:rPr>
                <w:color w:val="3A3835"/>
                <w:sz w:val="17"/>
              </w:rPr>
              <w:t>Plain-language description of why the variation is required (e.g. unforeseen site condition, client-requested change), written by the builder and optionally polished by the AI Writer in "Rewrite Professionally" or "Strengthen for Contract" mode</w:t>
            </w:r>
          </w:p>
        </w:tc>
      </w:tr>
      <w:tr>
        <w:tc>
          <w:tcPr>
            <w:tcW w:type="dxa" w:w="4479"/>
            <w:tcMar>
              <w:top w:w="60" w:type="dxa"/>
              <w:bottom w:w="60" w:type="dxa"/>
              <w:left w:w="100" w:type="dxa"/>
              <w:right w:w="100" w:type="dxa"/>
            </w:tcMar>
            <w:vAlign w:val="center"/>
            <w:shd w:val="clear" w:color="auto" w:fill="F2EFEA"/>
          </w:tcPr>
          <w:p>
            <w:r/>
            <w:r>
              <w:rPr>
                <w:color w:val="3A3835"/>
                <w:sz w:val="17"/>
              </w:rPr>
              <w:t>Section 2 — Description of additional works</w:t>
            </w:r>
          </w:p>
        </w:tc>
        <w:tc>
          <w:tcPr>
            <w:tcW w:type="dxa" w:w="4479"/>
            <w:tcMar>
              <w:top w:w="60" w:type="dxa"/>
              <w:bottom w:w="60" w:type="dxa"/>
              <w:left w:w="100" w:type="dxa"/>
              <w:right w:w="100" w:type="dxa"/>
            </w:tcMar>
            <w:vAlign w:val="center"/>
            <w:shd w:val="clear" w:color="auto" w:fill="F2EFEA"/>
          </w:tcPr>
          <w:p>
            <w:r/>
            <w:r>
              <w:rPr>
                <w:color w:val="3A3835"/>
                <w:sz w:val="17"/>
              </w:rPr>
              <w:t>Itemised description of the work the variation covers, in the builder's own words, structurally organised by the tool's template</w:t>
            </w:r>
          </w:p>
        </w:tc>
      </w:tr>
      <w:tr>
        <w:tc>
          <w:tcPr>
            <w:tcW w:type="dxa" w:w="4479"/>
            <w:tcMar>
              <w:top w:w="60" w:type="dxa"/>
              <w:bottom w:w="60" w:type="dxa"/>
              <w:left w:w="100" w:type="dxa"/>
              <w:right w:w="100" w:type="dxa"/>
            </w:tcMar>
            <w:vAlign w:val="center"/>
          </w:tcPr>
          <w:p>
            <w:r/>
            <w:r>
              <w:rPr>
                <w:color w:val="3A3835"/>
                <w:sz w:val="17"/>
              </w:rPr>
              <w:t>Section 3 — Cost impact</w:t>
            </w:r>
          </w:p>
        </w:tc>
        <w:tc>
          <w:tcPr>
            <w:tcW w:type="dxa" w:w="4479"/>
            <w:tcMar>
              <w:top w:w="60" w:type="dxa"/>
              <w:bottom w:w="60" w:type="dxa"/>
              <w:left w:w="100" w:type="dxa"/>
              <w:right w:w="100" w:type="dxa"/>
            </w:tcMar>
            <w:vAlign w:val="center"/>
          </w:tcPr>
          <w:p>
            <w:r/>
            <w:r>
              <w:rPr>
                <w:color w:val="3A3835"/>
                <w:sz w:val="17"/>
              </w:rPr>
              <w:t>Itemised cost of the variation, GST calculated automatically, and any impact on the contract programme (time extension, if applicable)</w:t>
            </w:r>
          </w:p>
        </w:tc>
      </w:tr>
      <w:tr>
        <w:tc>
          <w:tcPr>
            <w:tcW w:type="dxa" w:w="4479"/>
            <w:tcMar>
              <w:top w:w="60" w:type="dxa"/>
              <w:bottom w:w="60" w:type="dxa"/>
              <w:left w:w="100" w:type="dxa"/>
              <w:right w:w="100" w:type="dxa"/>
            </w:tcMar>
            <w:vAlign w:val="center"/>
            <w:shd w:val="clear" w:color="auto" w:fill="F2EFEA"/>
          </w:tcPr>
          <w:p>
            <w:r/>
            <w:r>
              <w:rPr>
                <w:color w:val="3A3835"/>
                <w:sz w:val="17"/>
              </w:rPr>
              <w:t>Section 4 — Client acknowledgement</w:t>
            </w:r>
          </w:p>
        </w:tc>
        <w:tc>
          <w:tcPr>
            <w:tcW w:type="dxa" w:w="4479"/>
            <w:tcMar>
              <w:top w:w="60" w:type="dxa"/>
              <w:bottom w:w="60" w:type="dxa"/>
              <w:left w:w="100" w:type="dxa"/>
              <w:right w:w="100" w:type="dxa"/>
            </w:tcMar>
            <w:vAlign w:val="center"/>
            <w:shd w:val="clear" w:color="auto" w:fill="F2EFEA"/>
          </w:tcPr>
          <w:p>
            <w:r/>
            <w:r>
              <w:rPr>
                <w:color w:val="3A3835"/>
                <w:sz w:val="17"/>
              </w:rPr>
              <w:t>A signature block for the client to accept the variation and its cost/time impact, dated</w:t>
            </w:r>
          </w:p>
        </w:tc>
      </w:tr>
      <w:tr>
        <w:tc>
          <w:tcPr>
            <w:tcW w:type="dxa" w:w="4479"/>
            <w:tcMar>
              <w:top w:w="60" w:type="dxa"/>
              <w:bottom w:w="60" w:type="dxa"/>
              <w:left w:w="100" w:type="dxa"/>
              <w:right w:w="100" w:type="dxa"/>
            </w:tcMar>
            <w:vAlign w:val="center"/>
          </w:tcPr>
          <w:p>
            <w:r/>
            <w:r>
              <w:rPr>
                <w:color w:val="3A3835"/>
                <w:sz w:val="17"/>
              </w:rPr>
              <w:t>Footer</w:t>
            </w:r>
          </w:p>
        </w:tc>
        <w:tc>
          <w:tcPr>
            <w:tcW w:type="dxa" w:w="4479"/>
            <w:tcMar>
              <w:top w:w="60" w:type="dxa"/>
              <w:bottom w:w="60" w:type="dxa"/>
              <w:left w:w="100" w:type="dxa"/>
              <w:right w:w="100" w:type="dxa"/>
            </w:tcMar>
            <w:vAlign w:val="center"/>
          </w:tcPr>
          <w:p>
            <w:r/>
            <w:r>
              <w:rPr>
                <w:color w:val="3A3835"/>
                <w:sz w:val="17"/>
              </w:rPr>
              <w:t>"Generated with BIK Business Toolkit" attribution line, consistent with the word-of-mouth channel strategy in Chapter 14</w:t>
            </w:r>
          </w:p>
        </w:tc>
      </w:tr>
    </w:tbl>
    <w:p>
      <w:pPr>
        <w:spacing w:after="120"/>
      </w:pPr>
    </w:p>
    <w:p>
      <w:pPr>
        <w:pStyle w:val="BIKBody"/>
        <w:jc w:val="both"/>
      </w:pPr>
      <w:r>
        <w:t>Every field above is populated only from what the builder actually enters — consistent with Decision 001 (Chapter 11) — and the AI Writer's role is limited to improving the clarity and professional register of Sections 1 and 2, never adding a cost figure, date, or claim of its own. This is what "the AI edits, never authors" (Chapter 9) looks like in a real, shipped document rather than as an abstract principle.</w:t>
      </w:r>
    </w:p>
    <w:p>
      <w:pPr>
        <w:pStyle w:val="BIKChapterLabel"/>
      </w:pPr>
      <w:r>
        <w:t>APPENDICES</w:t>
      </w:r>
    </w:p>
    <w:p>
      <w:pPr>
        <w:pStyle w:val="BIKChapterTitle"/>
        <w:pBdr>
          <w:bottom w:val="single" w:sz="18" w:space="8" w:color="D85A30"/>
        </w:pBdr>
      </w:pPr>
      <w:r>
        <w:t>48   Appendix S — Phase-by-Phase Objectives and Key Results</w:t>
      </w:r>
    </w:p>
    <w:p>
      <w:pPr>
        <w:pStyle w:val="BIKBody"/>
        <w:jc w:val="both"/>
      </w:pPr>
      <w:r>
        <w:t>Chapter 8 sets out the Strategic Plan at goal and success-criteria level. This appendix restates each phase in OKR (Objectives and Key Results) format, for Boards and investors who prefer that structure for tracking execution quarter to quarter.</w:t>
      </w:r>
    </w:p>
    <w:p>
      <w:pPr>
        <w:pStyle w:val="BIKH2"/>
      </w:pPr>
      <w:r>
        <w:t>PHASE 1 — FOUNDATION</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Key Result</w:t>
            </w:r>
          </w:p>
        </w:tc>
        <w:tc>
          <w:tcPr>
            <w:tcW w:type="dxa" w:w="4479"/>
            <w:shd w:val="clear" w:color="auto" w:fill="252320"/>
            <w:tcMar>
              <w:top w:w="60" w:type="dxa"/>
              <w:bottom w:w="60" w:type="dxa"/>
              <w:left w:w="100" w:type="dxa"/>
              <w:right w:w="100" w:type="dxa"/>
            </w:tcMar>
            <w:vAlign w:val="center"/>
          </w:tcPr>
          <w:p>
            <w:r/>
            <w:r>
              <w:rPr>
                <w:b/>
                <w:color w:val="FFFFFF"/>
                <w:sz w:val="17"/>
              </w:rPr>
              <w:t>Target</w:t>
            </w:r>
          </w:p>
        </w:tc>
      </w:tr>
      <w:tr>
        <w:tc>
          <w:tcPr>
            <w:tcW w:type="dxa" w:w="4479"/>
            <w:tcMar>
              <w:top w:w="60" w:type="dxa"/>
              <w:bottom w:w="60" w:type="dxa"/>
              <w:left w:w="100" w:type="dxa"/>
              <w:right w:w="100" w:type="dxa"/>
            </w:tcMar>
            <w:vAlign w:val="center"/>
          </w:tcPr>
          <w:p>
            <w:r/>
            <w:r>
              <w:rPr>
                <w:color w:val="3A3835"/>
                <w:sz w:val="17"/>
              </w:rPr>
              <w:t>Email subscribers</w:t>
            </w:r>
          </w:p>
        </w:tc>
        <w:tc>
          <w:tcPr>
            <w:tcW w:type="dxa" w:w="4479"/>
            <w:tcMar>
              <w:top w:w="60" w:type="dxa"/>
              <w:bottom w:w="60" w:type="dxa"/>
              <w:left w:w="100" w:type="dxa"/>
              <w:right w:w="100" w:type="dxa"/>
            </w:tcMar>
            <w:vAlign w:val="center"/>
          </w:tcPr>
          <w:p>
            <w:r/>
            <w:r>
              <w:rPr>
                <w:color w:val="3A3835"/>
                <w:sz w:val="17"/>
              </w:rPr>
              <w:t>500</w:t>
            </w:r>
          </w:p>
        </w:tc>
      </w:tr>
      <w:tr>
        <w:tc>
          <w:tcPr>
            <w:tcW w:type="dxa" w:w="4479"/>
            <w:tcMar>
              <w:top w:w="60" w:type="dxa"/>
              <w:bottom w:w="60" w:type="dxa"/>
              <w:left w:w="100" w:type="dxa"/>
              <w:right w:w="100" w:type="dxa"/>
            </w:tcMar>
            <w:vAlign w:val="center"/>
            <w:shd w:val="clear" w:color="auto" w:fill="F2EFEA"/>
          </w:tcPr>
          <w:p>
            <w:r/>
            <w:r>
              <w:rPr>
                <w:color w:val="3A3835"/>
                <w:sz w:val="17"/>
              </w:rPr>
              <w:t>Paying subscribers</w:t>
            </w:r>
          </w:p>
        </w:tc>
        <w:tc>
          <w:tcPr>
            <w:tcW w:type="dxa" w:w="4479"/>
            <w:tcMar>
              <w:top w:w="60" w:type="dxa"/>
              <w:bottom w:w="60" w:type="dxa"/>
              <w:left w:w="100" w:type="dxa"/>
              <w:right w:w="100" w:type="dxa"/>
            </w:tcMar>
            <w:vAlign w:val="center"/>
            <w:shd w:val="clear" w:color="auto" w:fill="F2EFEA"/>
          </w:tcPr>
          <w:p>
            <w:r/>
            <w:r>
              <w:rPr>
                <w:color w:val="3A3835"/>
                <w:sz w:val="17"/>
              </w:rPr>
              <w:t>100</w:t>
            </w:r>
          </w:p>
        </w:tc>
      </w:tr>
      <w:tr>
        <w:tc>
          <w:tcPr>
            <w:tcW w:type="dxa" w:w="4479"/>
            <w:tcMar>
              <w:top w:w="60" w:type="dxa"/>
              <w:bottom w:w="60" w:type="dxa"/>
              <w:left w:w="100" w:type="dxa"/>
              <w:right w:w="100" w:type="dxa"/>
            </w:tcMar>
            <w:vAlign w:val="center"/>
          </w:tcPr>
          <w:p>
            <w:r/>
            <w:r>
              <w:rPr>
                <w:color w:val="3A3835"/>
                <w:sz w:val="17"/>
              </w:rPr>
              <w:t>MRR</w:t>
            </w:r>
          </w:p>
        </w:tc>
        <w:tc>
          <w:tcPr>
            <w:tcW w:type="dxa" w:w="4479"/>
            <w:tcMar>
              <w:top w:w="60" w:type="dxa"/>
              <w:bottom w:w="60" w:type="dxa"/>
              <w:left w:w="100" w:type="dxa"/>
              <w:right w:w="100" w:type="dxa"/>
            </w:tcMar>
            <w:vAlign w:val="center"/>
          </w:tcPr>
          <w:p>
            <w:r/>
            <w:r>
              <w:rPr>
                <w:color w:val="3A3835"/>
                <w:sz w:val="17"/>
              </w:rPr>
              <w:t>$2,000</w:t>
            </w:r>
          </w:p>
        </w:tc>
      </w:tr>
      <w:tr>
        <w:tc>
          <w:tcPr>
            <w:tcW w:type="dxa" w:w="4479"/>
            <w:tcMar>
              <w:top w:w="60" w:type="dxa"/>
              <w:bottom w:w="60" w:type="dxa"/>
              <w:left w:w="100" w:type="dxa"/>
              <w:right w:w="100" w:type="dxa"/>
            </w:tcMar>
            <w:vAlign w:val="center"/>
            <w:shd w:val="clear" w:color="auto" w:fill="F2EFEA"/>
          </w:tcPr>
          <w:p>
            <w:r/>
            <w:r>
              <w:rPr>
                <w:color w:val="3A3835"/>
                <w:sz w:val="17"/>
              </w:rPr>
              <w:t>Net Promoter Score</w:t>
            </w:r>
          </w:p>
        </w:tc>
        <w:tc>
          <w:tcPr>
            <w:tcW w:type="dxa" w:w="4479"/>
            <w:tcMar>
              <w:top w:w="60" w:type="dxa"/>
              <w:bottom w:w="60" w:type="dxa"/>
              <w:left w:w="100" w:type="dxa"/>
              <w:right w:w="100" w:type="dxa"/>
            </w:tcMar>
            <w:vAlign w:val="center"/>
            <w:shd w:val="clear" w:color="auto" w:fill="F2EFEA"/>
          </w:tcPr>
          <w:p>
            <w:r/>
            <w:r>
              <w:rPr>
                <w:color w:val="3A3835"/>
                <w:sz w:val="17"/>
              </w:rPr>
              <w:t>&gt; 40</w:t>
            </w:r>
          </w:p>
        </w:tc>
      </w:tr>
      <w:tr>
        <w:tc>
          <w:tcPr>
            <w:tcW w:type="dxa" w:w="4479"/>
            <w:tcMar>
              <w:top w:w="60" w:type="dxa"/>
              <w:bottom w:w="60" w:type="dxa"/>
              <w:left w:w="100" w:type="dxa"/>
              <w:right w:w="100" w:type="dxa"/>
            </w:tcMar>
            <w:vAlign w:val="center"/>
          </w:tcPr>
          <w:p>
            <w:r/>
            <w:r>
              <w:rPr>
                <w:color w:val="3A3835"/>
                <w:sz w:val="17"/>
              </w:rPr>
              <w:t>Tools live</w:t>
            </w:r>
          </w:p>
        </w:tc>
        <w:tc>
          <w:tcPr>
            <w:tcW w:type="dxa" w:w="4479"/>
            <w:tcMar>
              <w:top w:w="60" w:type="dxa"/>
              <w:bottom w:w="60" w:type="dxa"/>
              <w:left w:w="100" w:type="dxa"/>
              <w:right w:w="100" w:type="dxa"/>
            </w:tcMar>
            <w:vAlign w:val="center"/>
          </w:tcPr>
          <w:p>
            <w:r/>
            <w:r>
              <w:rPr>
                <w:color w:val="3A3835"/>
                <w:sz w:val="17"/>
              </w:rPr>
              <w:t>10</w:t>
            </w:r>
          </w:p>
        </w:tc>
      </w:tr>
    </w:tbl>
    <w:p>
      <w:pPr>
        <w:spacing w:after="120"/>
      </w:pPr>
    </w:p>
    <w:p>
      <w:pPr>
        <w:pStyle w:val="BIKH2"/>
      </w:pPr>
      <w:r>
        <w:t>PHASE 2 — GROWTH</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Key Result</w:t>
            </w:r>
          </w:p>
        </w:tc>
        <w:tc>
          <w:tcPr>
            <w:tcW w:type="dxa" w:w="4479"/>
            <w:shd w:val="clear" w:color="auto" w:fill="252320"/>
            <w:tcMar>
              <w:top w:w="60" w:type="dxa"/>
              <w:bottom w:w="60" w:type="dxa"/>
              <w:left w:w="100" w:type="dxa"/>
              <w:right w:w="100" w:type="dxa"/>
            </w:tcMar>
            <w:vAlign w:val="center"/>
          </w:tcPr>
          <w:p>
            <w:r/>
            <w:r>
              <w:rPr>
                <w:b/>
                <w:color w:val="FFFFFF"/>
                <w:sz w:val="17"/>
              </w:rPr>
              <w:t>Target</w:t>
            </w:r>
          </w:p>
        </w:tc>
      </w:tr>
      <w:tr>
        <w:tc>
          <w:tcPr>
            <w:tcW w:type="dxa" w:w="4479"/>
            <w:tcMar>
              <w:top w:w="60" w:type="dxa"/>
              <w:bottom w:w="60" w:type="dxa"/>
              <w:left w:w="100" w:type="dxa"/>
              <w:right w:w="100" w:type="dxa"/>
            </w:tcMar>
            <w:vAlign w:val="center"/>
          </w:tcPr>
          <w:p>
            <w:r/>
            <w:r>
              <w:rPr>
                <w:color w:val="3A3835"/>
                <w:sz w:val="17"/>
              </w:rPr>
              <w:t>Paying subscribers</w:t>
            </w:r>
          </w:p>
        </w:tc>
        <w:tc>
          <w:tcPr>
            <w:tcW w:type="dxa" w:w="4479"/>
            <w:tcMar>
              <w:top w:w="60" w:type="dxa"/>
              <w:bottom w:w="60" w:type="dxa"/>
              <w:left w:w="100" w:type="dxa"/>
              <w:right w:w="100" w:type="dxa"/>
            </w:tcMar>
            <w:vAlign w:val="center"/>
          </w:tcPr>
          <w:p>
            <w:r/>
            <w:r>
              <w:rPr>
                <w:color w:val="3A3835"/>
                <w:sz w:val="17"/>
              </w:rPr>
              <w:t>500</w:t>
            </w:r>
          </w:p>
        </w:tc>
      </w:tr>
      <w:tr>
        <w:tc>
          <w:tcPr>
            <w:tcW w:type="dxa" w:w="4479"/>
            <w:tcMar>
              <w:top w:w="60" w:type="dxa"/>
              <w:bottom w:w="60" w:type="dxa"/>
              <w:left w:w="100" w:type="dxa"/>
              <w:right w:w="100" w:type="dxa"/>
            </w:tcMar>
            <w:vAlign w:val="center"/>
            <w:shd w:val="clear" w:color="auto" w:fill="F2EFEA"/>
          </w:tcPr>
          <w:p>
            <w:r/>
            <w:r>
              <w:rPr>
                <w:color w:val="3A3835"/>
                <w:sz w:val="17"/>
              </w:rPr>
              <w:t>MRR</w:t>
            </w:r>
          </w:p>
        </w:tc>
        <w:tc>
          <w:tcPr>
            <w:tcW w:type="dxa" w:w="4479"/>
            <w:tcMar>
              <w:top w:w="60" w:type="dxa"/>
              <w:bottom w:w="60" w:type="dxa"/>
              <w:left w:w="100" w:type="dxa"/>
              <w:right w:w="100" w:type="dxa"/>
            </w:tcMar>
            <w:vAlign w:val="center"/>
            <w:shd w:val="clear" w:color="auto" w:fill="F2EFEA"/>
          </w:tcPr>
          <w:p>
            <w:r/>
            <w:r>
              <w:rPr>
                <w:color w:val="3A3835"/>
                <w:sz w:val="17"/>
              </w:rPr>
              <w:t>$15,000</w:t>
            </w:r>
          </w:p>
        </w:tc>
      </w:tr>
      <w:tr>
        <w:tc>
          <w:tcPr>
            <w:tcW w:type="dxa" w:w="4479"/>
            <w:tcMar>
              <w:top w:w="60" w:type="dxa"/>
              <w:bottom w:w="60" w:type="dxa"/>
              <w:left w:w="100" w:type="dxa"/>
              <w:right w:w="100" w:type="dxa"/>
            </w:tcMar>
            <w:vAlign w:val="center"/>
          </w:tcPr>
          <w:p>
            <w:r/>
            <w:r>
              <w:rPr>
                <w:color w:val="3A3835"/>
                <w:sz w:val="17"/>
              </w:rPr>
              <w:t>Tools live (cumulative)</w:t>
            </w:r>
          </w:p>
        </w:tc>
        <w:tc>
          <w:tcPr>
            <w:tcW w:type="dxa" w:w="4479"/>
            <w:tcMar>
              <w:top w:w="60" w:type="dxa"/>
              <w:bottom w:w="60" w:type="dxa"/>
              <w:left w:w="100" w:type="dxa"/>
              <w:right w:w="100" w:type="dxa"/>
            </w:tcMar>
            <w:vAlign w:val="center"/>
          </w:tcPr>
          <w:p>
            <w:r/>
            <w:r>
              <w:rPr>
                <w:color w:val="3A3835"/>
                <w:sz w:val="17"/>
              </w:rPr>
              <w:t>25</w:t>
            </w:r>
          </w:p>
        </w:tc>
      </w:tr>
      <w:tr>
        <w:tc>
          <w:tcPr>
            <w:tcW w:type="dxa" w:w="4479"/>
            <w:tcMar>
              <w:top w:w="60" w:type="dxa"/>
              <w:bottom w:w="60" w:type="dxa"/>
              <w:left w:w="100" w:type="dxa"/>
              <w:right w:w="100" w:type="dxa"/>
            </w:tcMar>
            <w:vAlign w:val="center"/>
            <w:shd w:val="clear" w:color="auto" w:fill="F2EFEA"/>
          </w:tcPr>
          <w:p>
            <w:r/>
            <w:r>
              <w:rPr>
                <w:color w:val="3A3835"/>
                <w:sz w:val="17"/>
              </w:rPr>
              <w:t>User accounts &amp; billing infrastructure</w:t>
            </w:r>
          </w:p>
        </w:tc>
        <w:tc>
          <w:tcPr>
            <w:tcW w:type="dxa" w:w="4479"/>
            <w:tcMar>
              <w:top w:w="60" w:type="dxa"/>
              <w:bottom w:w="60" w:type="dxa"/>
              <w:left w:w="100" w:type="dxa"/>
              <w:right w:w="100" w:type="dxa"/>
            </w:tcMar>
            <w:vAlign w:val="center"/>
            <w:shd w:val="clear" w:color="auto" w:fill="F2EFEA"/>
          </w:tcPr>
          <w:p>
            <w:r/>
            <w:r>
              <w:rPr>
                <w:color w:val="3A3835"/>
                <w:sz w:val="17"/>
              </w:rPr>
              <w:t>Live in production</w:t>
            </w:r>
          </w:p>
        </w:tc>
      </w:tr>
    </w:tbl>
    <w:p>
      <w:pPr>
        <w:spacing w:after="120"/>
      </w:pPr>
    </w:p>
    <w:p>
      <w:pPr>
        <w:pStyle w:val="BIKH2"/>
      </w:pPr>
      <w:r>
        <w:t>PHASE 3 — EXPANSION</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Key Result</w:t>
            </w:r>
          </w:p>
        </w:tc>
        <w:tc>
          <w:tcPr>
            <w:tcW w:type="dxa" w:w="4479"/>
            <w:shd w:val="clear" w:color="auto" w:fill="252320"/>
            <w:tcMar>
              <w:top w:w="60" w:type="dxa"/>
              <w:bottom w:w="60" w:type="dxa"/>
              <w:left w:w="100" w:type="dxa"/>
              <w:right w:w="100" w:type="dxa"/>
            </w:tcMar>
            <w:vAlign w:val="center"/>
          </w:tcPr>
          <w:p>
            <w:r/>
            <w:r>
              <w:rPr>
                <w:b/>
                <w:color w:val="FFFFFF"/>
                <w:sz w:val="17"/>
              </w:rPr>
              <w:t>Target</w:t>
            </w:r>
          </w:p>
        </w:tc>
      </w:tr>
      <w:tr>
        <w:tc>
          <w:tcPr>
            <w:tcW w:type="dxa" w:w="4479"/>
            <w:tcMar>
              <w:top w:w="60" w:type="dxa"/>
              <w:bottom w:w="60" w:type="dxa"/>
              <w:left w:w="100" w:type="dxa"/>
              <w:right w:w="100" w:type="dxa"/>
            </w:tcMar>
            <w:vAlign w:val="center"/>
          </w:tcPr>
          <w:p>
            <w:r/>
            <w:r>
              <w:rPr>
                <w:color w:val="3A3835"/>
                <w:sz w:val="17"/>
              </w:rPr>
              <w:t>MRR</w:t>
            </w:r>
          </w:p>
        </w:tc>
        <w:tc>
          <w:tcPr>
            <w:tcW w:type="dxa" w:w="4479"/>
            <w:tcMar>
              <w:top w:w="60" w:type="dxa"/>
              <w:bottom w:w="60" w:type="dxa"/>
              <w:left w:w="100" w:type="dxa"/>
              <w:right w:w="100" w:type="dxa"/>
            </w:tcMar>
            <w:vAlign w:val="center"/>
          </w:tcPr>
          <w:p>
            <w:r/>
            <w:r>
              <w:rPr>
                <w:color w:val="3A3835"/>
                <w:sz w:val="17"/>
              </w:rPr>
              <w:t>$50,000</w:t>
            </w:r>
          </w:p>
        </w:tc>
      </w:tr>
      <w:tr>
        <w:tc>
          <w:tcPr>
            <w:tcW w:type="dxa" w:w="4479"/>
            <w:tcMar>
              <w:top w:w="60" w:type="dxa"/>
              <w:bottom w:w="60" w:type="dxa"/>
              <w:left w:w="100" w:type="dxa"/>
              <w:right w:w="100" w:type="dxa"/>
            </w:tcMar>
            <w:vAlign w:val="center"/>
            <w:shd w:val="clear" w:color="auto" w:fill="F2EFEA"/>
          </w:tcPr>
          <w:p>
            <w:r/>
            <w:r>
              <w:rPr>
                <w:color w:val="3A3835"/>
                <w:sz w:val="17"/>
              </w:rPr>
              <w:t>Tools live (cumulative)</w:t>
            </w:r>
          </w:p>
        </w:tc>
        <w:tc>
          <w:tcPr>
            <w:tcW w:type="dxa" w:w="4479"/>
            <w:tcMar>
              <w:top w:w="60" w:type="dxa"/>
              <w:bottom w:w="60" w:type="dxa"/>
              <w:left w:w="100" w:type="dxa"/>
              <w:right w:w="100" w:type="dxa"/>
            </w:tcMar>
            <w:vAlign w:val="center"/>
            <w:shd w:val="clear" w:color="auto" w:fill="F2EFEA"/>
          </w:tcPr>
          <w:p>
            <w:r/>
            <w:r>
              <w:rPr>
                <w:color w:val="3A3835"/>
                <w:sz w:val="17"/>
              </w:rPr>
              <w:t>50</w:t>
            </w:r>
          </w:p>
        </w:tc>
      </w:tr>
      <w:tr>
        <w:tc>
          <w:tcPr>
            <w:tcW w:type="dxa" w:w="4479"/>
            <w:tcMar>
              <w:top w:w="60" w:type="dxa"/>
              <w:bottom w:w="60" w:type="dxa"/>
              <w:left w:w="100" w:type="dxa"/>
              <w:right w:w="100" w:type="dxa"/>
            </w:tcMar>
            <w:vAlign w:val="center"/>
          </w:tcPr>
          <w:p>
            <w:r/>
            <w:r>
              <w:rPr>
                <w:color w:val="3A3835"/>
                <w:sz w:val="17"/>
              </w:rPr>
              <w:t>Industry partnerships announced</w:t>
            </w:r>
          </w:p>
        </w:tc>
        <w:tc>
          <w:tcPr>
            <w:tcW w:type="dxa" w:w="4479"/>
            <w:tcMar>
              <w:top w:w="60" w:type="dxa"/>
              <w:bottom w:w="60" w:type="dxa"/>
              <w:left w:w="100" w:type="dxa"/>
              <w:right w:w="100" w:type="dxa"/>
            </w:tcMar>
            <w:vAlign w:val="center"/>
          </w:tcPr>
          <w:p>
            <w:r/>
            <w:r>
              <w:rPr>
                <w:color w:val="3A3835"/>
                <w:sz w:val="17"/>
              </w:rPr>
              <w:t>2</w:t>
            </w:r>
          </w:p>
        </w:tc>
      </w:tr>
      <w:tr>
        <w:tc>
          <w:tcPr>
            <w:tcW w:type="dxa" w:w="4479"/>
            <w:tcMar>
              <w:top w:w="60" w:type="dxa"/>
              <w:bottom w:w="60" w:type="dxa"/>
              <w:left w:w="100" w:type="dxa"/>
              <w:right w:w="100" w:type="dxa"/>
            </w:tcMar>
            <w:vAlign w:val="center"/>
            <w:shd w:val="clear" w:color="auto" w:fill="F2EFEA"/>
          </w:tcPr>
          <w:p>
            <w:r/>
            <w:r>
              <w:rPr>
                <w:color w:val="3A3835"/>
                <w:sz w:val="17"/>
              </w:rPr>
              <w:t>Live accounting/field-service integrations</w:t>
            </w:r>
          </w:p>
        </w:tc>
        <w:tc>
          <w:tcPr>
            <w:tcW w:type="dxa" w:w="4479"/>
            <w:tcMar>
              <w:top w:w="60" w:type="dxa"/>
              <w:bottom w:w="60" w:type="dxa"/>
              <w:left w:w="100" w:type="dxa"/>
              <w:right w:w="100" w:type="dxa"/>
            </w:tcMar>
            <w:vAlign w:val="center"/>
            <w:shd w:val="clear" w:color="auto" w:fill="F2EFEA"/>
          </w:tcPr>
          <w:p>
            <w:r/>
            <w:r>
              <w:rPr>
                <w:color w:val="3A3835"/>
                <w:sz w:val="17"/>
              </w:rPr>
              <w:t>At least 1 (Xero or ServiceM8)</w:t>
            </w:r>
          </w:p>
        </w:tc>
      </w:tr>
    </w:tbl>
    <w:p>
      <w:pPr>
        <w:spacing w:after="120"/>
      </w:pPr>
    </w:p>
    <w:p>
      <w:pPr>
        <w:pStyle w:val="BIKH2"/>
      </w:pPr>
      <w:r>
        <w:t>PHASE 4 — AI OPERATING SYSTEM</w:t>
      </w:r>
    </w:p>
    <w:tbl>
      <w:tblPr>
        <w:tblStyle w:val="TableGrid"/>
        <w:tblW w:type="auto" w:w="0"/>
        <w:tblLayout w:type="fixed"/>
        <w:tblLook w:firstColumn="1" w:firstRow="1" w:lastColumn="0" w:lastRow="0" w:noHBand="0" w:noVBand="1" w:val="04A0"/>
      </w:tblPr>
      <w:tblGrid>
        <w:gridCol w:w="4479"/>
        <w:gridCol w:w="4479"/>
      </w:tblGrid>
      <w:tr>
        <w:tc>
          <w:tcPr>
            <w:tcW w:type="dxa" w:w="4479"/>
            <w:shd w:val="clear" w:color="auto" w:fill="252320"/>
            <w:tcMar>
              <w:top w:w="60" w:type="dxa"/>
              <w:bottom w:w="60" w:type="dxa"/>
              <w:left w:w="100" w:type="dxa"/>
              <w:right w:w="100" w:type="dxa"/>
            </w:tcMar>
            <w:vAlign w:val="center"/>
          </w:tcPr>
          <w:p>
            <w:r/>
            <w:r>
              <w:rPr>
                <w:b/>
                <w:color w:val="FFFFFF"/>
                <w:sz w:val="17"/>
              </w:rPr>
              <w:t>Key Result</w:t>
            </w:r>
          </w:p>
        </w:tc>
        <w:tc>
          <w:tcPr>
            <w:tcW w:type="dxa" w:w="4479"/>
            <w:shd w:val="clear" w:color="auto" w:fill="252320"/>
            <w:tcMar>
              <w:top w:w="60" w:type="dxa"/>
              <w:bottom w:w="60" w:type="dxa"/>
              <w:left w:w="100" w:type="dxa"/>
              <w:right w:w="100" w:type="dxa"/>
            </w:tcMar>
            <w:vAlign w:val="center"/>
          </w:tcPr>
          <w:p>
            <w:r/>
            <w:r>
              <w:rPr>
                <w:b/>
                <w:color w:val="FFFFFF"/>
                <w:sz w:val="17"/>
              </w:rPr>
              <w:t>Target</w:t>
            </w:r>
          </w:p>
        </w:tc>
      </w:tr>
      <w:tr>
        <w:tc>
          <w:tcPr>
            <w:tcW w:type="dxa" w:w="4479"/>
            <w:tcMar>
              <w:top w:w="60" w:type="dxa"/>
              <w:bottom w:w="60" w:type="dxa"/>
              <w:left w:w="100" w:type="dxa"/>
              <w:right w:w="100" w:type="dxa"/>
            </w:tcMar>
            <w:vAlign w:val="center"/>
          </w:tcPr>
          <w:p>
            <w:r/>
            <w:r>
              <w:rPr>
                <w:color w:val="3A3835"/>
                <w:sz w:val="17"/>
              </w:rPr>
              <w:t>MRR</w:t>
            </w:r>
          </w:p>
        </w:tc>
        <w:tc>
          <w:tcPr>
            <w:tcW w:type="dxa" w:w="4479"/>
            <w:tcMar>
              <w:top w:w="60" w:type="dxa"/>
              <w:bottom w:w="60" w:type="dxa"/>
              <w:left w:w="100" w:type="dxa"/>
              <w:right w:w="100" w:type="dxa"/>
            </w:tcMar>
            <w:vAlign w:val="center"/>
          </w:tcPr>
          <w:p>
            <w:r/>
            <w:r>
              <w:rPr>
                <w:color w:val="3A3835"/>
                <w:sz w:val="17"/>
              </w:rPr>
              <w:t>$200,000+</w:t>
            </w:r>
          </w:p>
        </w:tc>
      </w:tr>
      <w:tr>
        <w:tc>
          <w:tcPr>
            <w:tcW w:type="dxa" w:w="4479"/>
            <w:tcMar>
              <w:top w:w="60" w:type="dxa"/>
              <w:bottom w:w="60" w:type="dxa"/>
              <w:left w:w="100" w:type="dxa"/>
              <w:right w:w="100" w:type="dxa"/>
            </w:tcMar>
            <w:vAlign w:val="center"/>
            <w:shd w:val="clear" w:color="auto" w:fill="F2EFEA"/>
          </w:tcPr>
          <w:p>
            <w:r/>
            <w:r>
              <w:rPr>
                <w:color w:val="3A3835"/>
                <w:sz w:val="17"/>
              </w:rPr>
              <w:t>Tools &amp; AI agents live (cumulative)</w:t>
            </w:r>
          </w:p>
        </w:tc>
        <w:tc>
          <w:tcPr>
            <w:tcW w:type="dxa" w:w="4479"/>
            <w:tcMar>
              <w:top w:w="60" w:type="dxa"/>
              <w:bottom w:w="60" w:type="dxa"/>
              <w:left w:w="100" w:type="dxa"/>
              <w:right w:w="100" w:type="dxa"/>
            </w:tcMar>
            <w:vAlign w:val="center"/>
            <w:shd w:val="clear" w:color="auto" w:fill="F2EFEA"/>
          </w:tcPr>
          <w:p>
            <w:r/>
            <w:r>
              <w:rPr>
                <w:color w:val="3A3835"/>
                <w:sz w:val="17"/>
              </w:rPr>
              <w:t>100+</w:t>
            </w:r>
          </w:p>
        </w:tc>
      </w:tr>
      <w:tr>
        <w:tc>
          <w:tcPr>
            <w:tcW w:type="dxa" w:w="4479"/>
            <w:tcMar>
              <w:top w:w="60" w:type="dxa"/>
              <w:bottom w:w="60" w:type="dxa"/>
              <w:left w:w="100" w:type="dxa"/>
              <w:right w:w="100" w:type="dxa"/>
            </w:tcMar>
            <w:vAlign w:val="center"/>
          </w:tcPr>
          <w:p>
            <w:r/>
            <w:r>
              <w:rPr>
                <w:color w:val="3A3835"/>
                <w:sz w:val="17"/>
              </w:rPr>
              <w:t>Acquisition or investment conversations</w:t>
            </w:r>
          </w:p>
        </w:tc>
        <w:tc>
          <w:tcPr>
            <w:tcW w:type="dxa" w:w="4479"/>
            <w:tcMar>
              <w:top w:w="60" w:type="dxa"/>
              <w:bottom w:w="60" w:type="dxa"/>
              <w:left w:w="100" w:type="dxa"/>
              <w:right w:w="100" w:type="dxa"/>
            </w:tcMar>
            <w:vAlign w:val="center"/>
          </w:tcPr>
          <w:p>
            <w:r/>
            <w:r>
              <w:rPr>
                <w:color w:val="3A3835"/>
                <w:sz w:val="17"/>
              </w:rPr>
              <w:t>Active</w:t>
            </w:r>
          </w:p>
        </w:tc>
      </w:tr>
    </w:tbl>
    <w:p>
      <w:pPr>
        <w:spacing w:after="120"/>
      </w:pPr>
    </w:p>
    <w:p/>
    <w:p/>
    <w:p>
      <w:pPr>
        <w:jc w:val="center"/>
      </w:pPr>
      <w:r>
        <w:rPr>
          <w:b/>
          <w:sz w:val="22"/>
        </w:rPr>
        <w:t>— End of Document —</w:t>
      </w:r>
    </w:p>
    <w:sectPr w:rsidR="00FC693F" w:rsidRPr="0006063C" w:rsidSect="00034616">
      <w:headerReference w:type="default" r:id="rId9"/>
      <w:footerReference w:type="default" r:id="rId10"/>
      <w:pgSz w:w="11906" w:h="16838"/>
      <w:pgMar w:top="1474" w:right="1474" w:bottom="1304"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88780"/>
        <w:sz w:val="16"/>
      </w:rPr>
      <w:t xml:space="preserve">BIK Solutions Pty Ltd  |  Strategic Blueprint &amp; Investment Memorandum  |  Page </w:t>
    </w:r>
    <w:r>
      <w:rPr>
        <w:color w:val="88878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8" w:val="right"/>
      </w:tabs>
      <w:jc w:val="left"/>
      <w:pBdr>
        <w:bottom w:val="single" w:sz="4" w:space="4" w:color="888780"/>
      </w:pBdr>
    </w:pPr>
    <w:r/>
    <w:r>
      <w:rPr>
        <w:b/>
        <w:color w:val="888780"/>
        <w:sz w:val="16"/>
      </w:rPr>
      <w:t>BIK SOLUTIONS — STRATEGIC BLUEPRINT</w:t>
    </w:r>
    <w:r>
      <w:rPr>
        <w:b/>
        <w:color w:val="D85A30"/>
        <w:sz w:val="16"/>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7" w:lineRule="auto"/>
    </w:pPr>
    <w:rPr>
      <w:rFonts w:ascii="Calibri" w:hAnsi="Calibri"/>
      <w:color w:val="3A38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color w:val="3A383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KChapterLabel">
    <w:name w:val="BIKChapterLabel"/>
    <w:basedOn w:val="Normal"/>
    <w:pPr>
      <w:keepNext/>
      <w:spacing w:before="0" w:after="40"/>
    </w:pPr>
    <w:rPr>
      <w:rFonts w:ascii="Calibri" w:hAnsi="Calibri"/>
      <w:b/>
      <w:i w:val="0"/>
      <w:color w:val="D85A30"/>
      <w:sz w:val="24"/>
    </w:rPr>
  </w:style>
  <w:style w:type="paragraph" w:customStyle="1" w:styleId="BIKChapterTitle">
    <w:name w:val="BIKChapterTitle"/>
    <w:basedOn w:val="Normal"/>
    <w:pPr>
      <w:keepNext/>
      <w:spacing w:before="0" w:after="400"/>
    </w:pPr>
    <w:rPr>
      <w:rFonts w:ascii="Calibri" w:hAnsi="Calibri"/>
      <w:b/>
      <w:i w:val="0"/>
      <w:color w:val="252320"/>
      <w:sz w:val="56"/>
    </w:rPr>
  </w:style>
  <w:style w:type="paragraph" w:customStyle="1" w:styleId="BIKH1">
    <w:name w:val="BIKH1"/>
    <w:basedOn w:val="Normal"/>
    <w:pPr>
      <w:keepNext/>
      <w:spacing w:before="520" w:after="240"/>
    </w:pPr>
    <w:rPr>
      <w:rFonts w:ascii="Calibri" w:hAnsi="Calibri"/>
      <w:b/>
      <w:i w:val="0"/>
      <w:color w:val="252320"/>
      <w:sz w:val="37"/>
    </w:rPr>
  </w:style>
  <w:style w:type="paragraph" w:customStyle="1" w:styleId="BIKH2">
    <w:name w:val="BIKH2"/>
    <w:basedOn w:val="Normal"/>
    <w:pPr>
      <w:keepNext/>
      <w:spacing w:before="400" w:after="160"/>
    </w:pPr>
    <w:rPr>
      <w:rFonts w:ascii="Calibri" w:hAnsi="Calibri"/>
      <w:b/>
      <w:i w:val="0"/>
      <w:color w:val="D85A30"/>
      <w:sz w:val="27"/>
    </w:rPr>
  </w:style>
  <w:style w:type="paragraph" w:customStyle="1" w:styleId="BIKH3">
    <w:name w:val="BIKH3"/>
    <w:basedOn w:val="Normal"/>
    <w:pPr>
      <w:keepNext/>
      <w:spacing w:before="300" w:after="100"/>
    </w:pPr>
    <w:rPr>
      <w:rFonts w:ascii="Calibri" w:hAnsi="Calibri"/>
      <w:b/>
      <w:i w:val="0"/>
      <w:color w:val="3A3835"/>
      <w:sz w:val="23"/>
    </w:rPr>
  </w:style>
  <w:style w:type="paragraph" w:customStyle="1" w:styleId="BIKBody">
    <w:name w:val="BIKBody"/>
    <w:basedOn w:val="Normal"/>
    <w:pPr>
      <w:keepNext w:val="0"/>
      <w:spacing w:before="0" w:after="200"/>
    </w:pPr>
    <w:rPr>
      <w:rFonts w:ascii="Calibri" w:hAnsi="Calibri"/>
      <w:b w:val="0"/>
      <w:i w:val="0"/>
      <w:color w:val="3A3835"/>
      <w:sz w:val="22"/>
    </w:rPr>
  </w:style>
  <w:style w:type="paragraph" w:customStyle="1" w:styleId="BIKBullet">
    <w:name w:val="BIKBullet"/>
    <w:basedOn w:val="Normal"/>
    <w:pPr>
      <w:keepNext w:val="0"/>
      <w:spacing w:before="0" w:after="80"/>
    </w:pPr>
    <w:rPr>
      <w:rFonts w:ascii="Calibri" w:hAnsi="Calibri"/>
      <w:b w:val="0"/>
      <w:i w:val="0"/>
      <w:color w:val="3A3835"/>
      <w:sz w:val="21"/>
    </w:rPr>
  </w:style>
  <w:style w:type="paragraph" w:customStyle="1" w:styleId="BIKCaption">
    <w:name w:val="BIKCaption"/>
    <w:basedOn w:val="Normal"/>
    <w:pPr>
      <w:keepNext w:val="0"/>
      <w:spacing w:before="80" w:after="280"/>
    </w:pPr>
    <w:rPr>
      <w:rFonts w:ascii="Calibri" w:hAnsi="Calibri"/>
      <w:b w:val="0"/>
      <w:i/>
      <w:color w:val="888780"/>
      <w:sz w:val="17"/>
    </w:rPr>
  </w:style>
  <w:style w:type="paragraph" w:customStyle="1" w:styleId="BIKQuote">
    <w:name w:val="BIKQuote"/>
    <w:basedOn w:val="Normal"/>
    <w:pPr>
      <w:keepNext w:val="0"/>
      <w:spacing w:before="200" w:after="200"/>
    </w:pPr>
    <w:rPr>
      <w:rFonts w:ascii="Calibri" w:hAnsi="Calibri"/>
      <w:b w:val="0"/>
      <w:i/>
      <w:color w:val="252320"/>
      <w:sz w:val="23"/>
    </w:rPr>
  </w:style>
  <w:style w:type="paragraph" w:customStyle="1" w:styleId="BIKTableHeader">
    <w:name w:val="BIKTableHeader"/>
    <w:basedOn w:val="Normal"/>
    <w:pPr>
      <w:keepNext w:val="0"/>
      <w:spacing w:before="0" w:after="0"/>
    </w:pPr>
    <w:rPr>
      <w:rFonts w:ascii="Calibri" w:hAnsi="Calibri"/>
      <w:b/>
      <w:i w:val="0"/>
      <w:color w:val="FFFFFF"/>
      <w:sz w:val="18"/>
    </w:rPr>
  </w:style>
  <w:style w:type="paragraph" w:customStyle="1" w:styleId="BIKTableCell">
    <w:name w:val="BIKTableCell"/>
    <w:basedOn w:val="Normal"/>
    <w:pPr>
      <w:keepNext w:val="0"/>
      <w:spacing w:before="0" w:after="0"/>
    </w:pPr>
    <w:rPr>
      <w:rFonts w:ascii="Calibri" w:hAnsi="Calibri"/>
      <w:b w:val="0"/>
      <w:i w:val="0"/>
      <w:color w:val="3A3835"/>
      <w:sz w:val="18"/>
    </w:rPr>
  </w:style>
  <w:style w:type="paragraph" w:customStyle="1" w:styleId="BIKSmall">
    <w:name w:val="BIKSmall"/>
    <w:basedOn w:val="Normal"/>
    <w:pPr>
      <w:keepNext w:val="0"/>
      <w:spacing w:before="40" w:after="40"/>
    </w:pPr>
    <w:rPr>
      <w:rFonts w:ascii="Calibri" w:hAnsi="Calibri"/>
      <w:b w:val="0"/>
      <w:i w:val="0"/>
      <w:color w:val="888780"/>
      <w:sz w:val="17"/>
    </w:rPr>
  </w:style>
  <w:style w:type="paragraph" w:customStyle="1" w:styleId="BIKCoverTitle">
    <w:name w:val="BIKCoverTitle"/>
    <w:basedOn w:val="Normal"/>
    <w:pPr>
      <w:keepNext w:val="0"/>
      <w:spacing w:before="0" w:after="120"/>
    </w:pPr>
    <w:rPr>
      <w:rFonts w:ascii="Calibri" w:hAnsi="Calibri"/>
      <w:b/>
      <w:i w:val="0"/>
      <w:color w:val="FFFFFF"/>
      <w:sz w:val="80"/>
    </w:rPr>
  </w:style>
  <w:style w:type="paragraph" w:customStyle="1" w:styleId="BIKCoverSub">
    <w:name w:val="BIKCoverSub"/>
    <w:basedOn w:val="Normal"/>
    <w:pPr>
      <w:keepNext w:val="0"/>
      <w:spacing w:before="0" w:after="0"/>
    </w:pPr>
    <w:rPr>
      <w:rFonts w:ascii="Calibri" w:hAnsi="Calibri"/>
      <w:b w:val="0"/>
      <w:i w:val="0"/>
      <w:color w:val="F5F0E8"/>
      <w:sz w:val="30"/>
    </w:rPr>
  </w:style>
  <w:style w:type="paragraph" w:customStyle="1" w:styleId="BIKKicker">
    <w:name w:val="BIKKicker"/>
    <w:basedOn w:val="Normal"/>
    <w:pPr>
      <w:keepNext w:val="0"/>
      <w:spacing w:before="0" w:after="80"/>
    </w:pPr>
    <w:rPr>
      <w:rFonts w:ascii="Calibri" w:hAnsi="Calibri"/>
      <w:b/>
      <w:i w:val="0"/>
      <w:color w:val="D85A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