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Discussion: Explainable Graph Neural Networks for Kinase Inhibitor Off-Target Prediction</w:t>
      </w:r>
    </w:p>
    <w:p>
      <w:pPr>
        <w:pStyle w:val="Heading2"/>
        <w:spacing w:lineRule="auto"/>
      </w:pPr>
      <w:r>
        <w:rPr/>
        <w:t xml:space="preserve">Overview</w:t>
      </w:r>
    </w:p>
    <w:p>
      <w:pPr>
        <w:spacing w:lineRule="auto"/>
      </w:pPr>
      <w:r>
        <w:rPr/>
        <w:t xml:space="preserve">This research successfully demonstrates the application of Graph Neural Networks (GNNs) combined with explainable AI techniques for predicting kinase inhibitor off-target effects. The study achieved state-of-the-art performance with </w:t>
      </w:r>
      <w:r>
        <w:rPr>
          <w:b/>
        </w:rPr>
        <w:t xml:space="preserve">81.18% accuracy and AUC of 0.891</w:t>
      </w:r>
      <w:r>
        <w:rPr/>
        <w:t xml:space="preserve"> using the </w:t>
      </w:r>
      <w:r>
        <w:rPr>
          <w:b/>
        </w:rPr>
        <w:t xml:space="preserve">Improved GraphSAGE model with ESM embeddings</w:t>
      </w:r>
      <w:r>
        <w:rPr/>
        <w:t xml:space="preserve">, significantly advancing computational drug discovery and providing interpretable insights into molecular mechanisms of kinase selectivity. Importantly, the research reveals that </w:t>
      </w:r>
      <w:r>
        <w:rPr>
          <w:b/>
        </w:rPr>
        <w:t xml:space="preserve">architectural balance outperforms complexity</w:t>
      </w:r>
      <w:r>
        <w:rPr/>
        <w:t xml:space="preserve">, with simpler, well-designed models exceeding sophisticated approaches that suffered from dataset limitations.</w:t>
      </w:r>
    </w:p>
    <w:p>
      <w:pPr>
        <w:pStyle w:val="Heading2"/>
        <w:spacing w:lineRule="auto"/>
      </w:pPr>
      <w:r>
        <w:rPr/>
        <w:t xml:space="preserve">Research Objectives and Methodology</w:t>
      </w:r>
    </w:p>
    <w:p>
      <w:pPr>
        <w:pStyle w:val="Heading3"/>
        <w:spacing w:lineRule="auto"/>
      </w:pPr>
      <w:r>
        <w:rPr/>
        <w:t xml:space="preserve">What: Problem Definition and Scope</w:t>
      </w:r>
    </w:p>
    <w:p>
      <w:pPr>
        <w:spacing w:lineRule="auto"/>
      </w:pPr>
      <w:r>
        <w:rPr/>
        <w:t xml:space="preserve">This study addresses the critical challenge of </w:t>
      </w:r>
      <w:r>
        <w:rPr>
          <w:b/>
        </w:rPr>
        <w:t xml:space="preserve">kinase inhibitor off-target effects</w:t>
      </w:r>
      <w:r>
        <w:rPr/>
        <w:t xml:space="preserve"> in drug discovery. Kinases represent one of the largest drug target families, but their structural similarity leads to unintended binding that causes adverse effects. The research aimed to: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Develop predictive models</w:t>
      </w:r>
      <w:r>
        <w:rPr/>
        <w:t xml:space="preserve"> for drug-target interactions using graph neural networks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Compare protein representation strategies</w:t>
      </w:r>
      <w:r>
        <w:rPr/>
        <w:t xml:space="preserve"> (efficient one-hot vs transformer embeddings)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Integrate explainable AI</w:t>
      </w:r>
      <w:r>
        <w:rPr/>
        <w:t xml:space="preserve"> to understand molecular mechanisms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Evaluate multiple architectures</w:t>
      </w:r>
      <w:r>
        <w:rPr/>
        <w:t xml:space="preserve"> to identify optimal complexity levels</w:t>
      </w:r>
    </w:p>
    <w:p>
      <w:pPr>
        <w:pStyle w:val="Heading3"/>
        <w:spacing w:lineRule="auto"/>
      </w:pPr>
      <w:r>
        <w:rPr/>
        <w:t xml:space="preserve">Why: Scientific and Clinical Motivation</w:t>
      </w:r>
    </w:p>
    <w:p>
      <w:pPr>
        <w:spacing w:lineRule="auto"/>
      </w:pPr>
      <w:r>
        <w:rPr/>
        <w:t xml:space="preserve">Traditional drug discovery faces a </w:t>
      </w:r>
      <w:r>
        <w:rPr>
          <w:b/>
        </w:rPr>
        <w:t xml:space="preserve">90% failure rate</w:t>
      </w:r>
      <w:r>
        <w:rPr/>
        <w:t xml:space="preserve">, often due to unexpected off-target effects discovered late in development. Kinase inhibitors are particularly challenging because: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Structural conservation</w:t>
      </w:r>
      <w:r>
        <w:rPr/>
        <w:t xml:space="preserve">: ATP-binding sites share similar features across kinase families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Selectivity prediction difficulty</w:t>
      </w:r>
      <w:r>
        <w:rPr/>
        <w:t xml:space="preserve">: Small structural differences cause large binding affinity changes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Safety assessment needs</w:t>
      </w:r>
      <w:r>
        <w:rPr/>
        <w:t xml:space="preserve">: Off-target binding can cause cardiotoxicity, hepatotoxicity, and other serious adverse effects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Computational opportunity</w:t>
      </w:r>
      <w:r>
        <w:rPr/>
        <w:t xml:space="preserve">: Large-scale data (ChEMBL) enables AI-driven prediction</w:t>
      </w:r>
    </w:p>
    <w:p>
      <w:pPr>
        <w:pStyle w:val="Heading3"/>
        <w:spacing w:lineRule="auto"/>
      </w:pPr>
      <w:r>
        <w:rPr/>
        <w:t xml:space="preserve">How: Experimental Design and Implementation</w:t>
      </w:r>
    </w:p>
    <w:p>
      <w:pPr>
        <w:pStyle w:val="Heading4"/>
        <w:spacing w:lineRule="auto"/>
      </w:pPr>
      <w:r>
        <w:rPr/>
        <w:t xml:space="preserve">Data Pipeline Architecture</w:t>
      </w:r>
    </w:p>
    <w:p>
      <w:pPr>
        <w:spacing w:lineRule="auto"/>
      </w:pPr>
      <w:r>
        <w:rPr/>
        <w:t xml:space="preserve">The study implemented a </w:t>
      </w:r>
      <w:r>
        <w:rPr>
          <w:b/>
        </w:rPr>
        <w:t xml:space="preserve">sequential 9-step pipeline</w:t>
      </w:r>
      <w:r>
        <w:rPr/>
        <w:t xml:space="preserve"> processing: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10,587 kinase inhibitor activity records</w:t>
      </w:r>
      <w:r>
        <w:rPr/>
        <w:t xml:space="preserve"> from ChEMBL database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10,584 molecules with valid SMILES</w:t>
      </w:r>
      <w:r>
        <w:rPr/>
        <w:t xml:space="preserve"> representations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188 kinase targets</w:t>
      </w:r>
      <w:r>
        <w:rPr/>
        <w:t xml:space="preserve"> with FASTA sequences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10,584 final drug-target interaction pairs</w:t>
      </w:r>
      <w:r>
        <w:rPr/>
        <w:t xml:space="preserve"> for model training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Training splits</w:t>
      </w:r>
      <w:r>
        <w:rPr/>
        <w:t xml:space="preserve">: 7,408 train / 1,588 validation / 1,588 test samples</w:t>
      </w:r>
    </w:p>
    <w:p>
      <w:pPr>
        <w:pStyle w:val="Heading4"/>
        <w:spacing w:lineRule="auto"/>
      </w:pPr>
      <w:r>
        <w:rPr/>
        <w:t xml:space="preserve">Molecular Representation Strategy</w:t>
      </w:r>
    </w:p>
    <w:p>
      <w:pPr>
        <w:spacing w:lineRule="auto"/>
      </w:pPr>
      <w:r>
        <w:rPr>
          <w:b/>
        </w:rPr>
        <w:t xml:space="preserve">Drug molecules</w:t>
      </w:r>
      <w:r>
        <w:rPr/>
        <w:t xml:space="preserve"> were converted to PyTorch Geometric graphs containing: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Node features</w:t>
      </w:r>
      <w:r>
        <w:rPr/>
        <w:t xml:space="preserve">: Atomic number, formal charge, aromaticity, hybridization, degree, hydrogen count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Edge features</w:t>
      </w:r>
      <w:r>
        <w:rPr/>
        <w:t xml:space="preserve">: Bond type, conjugation, ring membership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Graph-level features</w:t>
      </w:r>
      <w:r>
        <w:rPr/>
        <w:t xml:space="preserve">: Molecular weight, LogP, 2048-bit Morgan fingerprints</w:t>
      </w:r>
    </w:p>
    <w:p>
      <w:pPr>
        <w:spacing w:lineRule="auto"/>
      </w:pPr>
      <w:r>
        <w:rPr>
          <w:b/>
        </w:rPr>
        <w:t xml:space="preserve">Protein targets</w:t>
      </w:r>
      <w:r>
        <w:rPr/>
        <w:t xml:space="preserve"> were encoded using two approaches: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Efficient One-Hot Encoding</w:t>
      </w:r>
      <w:r>
        <w:rPr/>
        <w:t xml:space="preserve"> (115 features): Position-aware amino acid composition with physicochemical groupings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ESM Transformer Embeddings</w:t>
      </w:r>
      <w:r>
        <w:rPr/>
        <w:t xml:space="preserve"> (1280 features): Facebook's ESM-2 protein language model</w:t>
      </w:r>
    </w:p>
    <w:p>
      <w:pPr>
        <w:pStyle w:val="Heading4"/>
        <w:spacing w:lineRule="auto"/>
      </w:pPr>
      <w:r>
        <w:rPr/>
        <w:t xml:space="preserve">Model Architecture Evaluation</w:t>
      </w:r>
    </w:p>
    <w:p>
      <w:pPr>
        <w:spacing w:lineRule="auto"/>
      </w:pPr>
      <w:r>
        <w:rPr/>
        <w:t xml:space="preserve">Five architectures were systematically compared: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MLP Baseline</w:t>
      </w:r>
      <w:r>
        <w:rPr/>
        <w:t xml:space="preserve">: Simple feedforward network for reference performance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Original GraphSAGE</w:t>
      </w:r>
      <w:r>
        <w:rPr/>
        <w:t xml:space="preserve">: Standard graph neural network with SAGE convolutions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Improved GraphSAGE</w:t>
      </w:r>
      <w:r>
        <w:rPr/>
        <w:t xml:space="preserve">: Enhanced with residual connections and dual pooling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Performance Booster</w:t>
      </w:r>
      <w:r>
        <w:rPr/>
        <w:t xml:space="preserve">: Complex ensemble with curriculum learning and uncertainty quantification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Accuracy Optimized</w:t>
      </w:r>
      <w:r>
        <w:rPr/>
        <w:t xml:space="preserve">: Direct accuracy maximization with hard example mining</w:t>
      </w:r>
    </w:p>
    <w:p>
      <w:pPr>
        <w:pStyle w:val="Heading2"/>
        <w:spacing w:lineRule="auto"/>
      </w:pPr>
      <w:r>
        <w:rPr/>
        <w:t xml:space="preserve">Key Experimental Results</w:t>
      </w:r>
    </w:p>
    <w:p>
      <w:pPr>
        <w:pStyle w:val="Heading3"/>
        <w:spacing w:lineRule="auto"/>
      </w:pPr>
      <w:r>
        <w:rPr/>
        <w:t xml:space="preserve">Model Performance Hierarchy (Actual Test Results)</w:t>
      </w:r>
    </w:p>
    <w:p>
      <w:pPr>
        <w:spacing w:lineRule="auto"/>
      </w:pPr>
      <w:r>
        <w:rPr>
          <w:b/>
        </w:rPr>
        <w:t xml:space="preserve">Top Performers</w:t>
      </w:r>
      <w:r>
        <w:rPr/>
        <w:t xml:space="preserve">: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ESM + Improved GraphSAGE</w:t>
      </w:r>
      <w:r>
        <w:rPr/>
        <w:t xml:space="preserve">: 81.18% accuracy, AUC 0.891, F1 0.802 (best overall)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One-Hot + Improved GraphSAGE</w:t>
      </w:r>
      <w:r>
        <w:rPr/>
        <w:t xml:space="preserve">: 80.23% accuracy, AUC 0.873, F1 0.766 (close second)</w:t>
      </w:r>
    </w:p>
    <w:p>
      <w:pPr>
        <w:spacing w:lineRule="auto"/>
      </w:pPr>
      <w:r>
        <w:rPr>
          <w:b/>
        </w:rPr>
        <w:t xml:space="preserve">Mid-Range Performers</w:t>
      </w:r>
      <w:r>
        <w:rPr/>
        <w:t xml:space="preserve">: 3. </w:t>
      </w:r>
      <w:r>
        <w:rPr>
          <w:b/>
        </w:rPr>
        <w:t xml:space="preserve">ESM + MLP Baseline</w:t>
      </w:r>
      <w:r>
        <w:rPr/>
        <w:t xml:space="preserve">: 69.01% accuracy, AUC 0.781, F1 0.651 4. </w:t>
      </w:r>
      <w:r>
        <w:rPr>
          <w:b/>
        </w:rPr>
        <w:t xml:space="preserve">One-Hot + Accuracy Optimized</w:t>
      </w:r>
      <w:r>
        <w:rPr/>
        <w:t xml:space="preserve">: 68.58% accuracy, AUC 0.757, F1 0.627 5. </w:t>
      </w:r>
      <w:r>
        <w:rPr>
          <w:b/>
        </w:rPr>
        <w:t xml:space="preserve">ESM + Original GraphSAGE</w:t>
      </w:r>
      <w:r>
        <w:rPr/>
        <w:t xml:space="preserve">: 67.73% accuracy, AUC 0.759, F1 0.645 6. </w:t>
      </w:r>
      <w:r>
        <w:rPr>
          <w:b/>
        </w:rPr>
        <w:t xml:space="preserve">ESM + Accuracy Optimized</w:t>
      </w:r>
      <w:r>
        <w:rPr/>
        <w:t xml:space="preserve">: 67.22% accuracy, AUC 0.752, F1 0.614 7. </w:t>
      </w:r>
      <w:r>
        <w:rPr>
          <w:b/>
        </w:rPr>
        <w:t xml:space="preserve">One-Hot + MLP Baseline</w:t>
      </w:r>
      <w:r>
        <w:rPr/>
        <w:t xml:space="preserve">: 66.50% accuracy, AUC 0.743, F1 0.601</w:t>
      </w:r>
    </w:p>
    <w:p>
      <w:pPr>
        <w:spacing w:lineRule="auto"/>
      </w:pPr>
      <w:r>
        <w:rPr>
          <w:b/>
        </w:rPr>
        <w:t xml:space="preserve">Poor Performers</w:t>
      </w:r>
      <w:r>
        <w:rPr/>
        <w:t xml:space="preserve">: 8. </w:t>
      </w:r>
      <w:r>
        <w:rPr>
          <w:b/>
        </w:rPr>
        <w:t xml:space="preserve">ESM + Performance Booster</w:t>
      </w:r>
      <w:r>
        <w:rPr/>
        <w:t xml:space="preserve">: 62.42% accuracy, AUC 0.754, F1 0.677 9. </w:t>
      </w:r>
      <w:r>
        <w:rPr>
          <w:b/>
        </w:rPr>
        <w:t xml:space="preserve">One-Hot + Performance Booster</w:t>
      </w:r>
      <w:r>
        <w:rPr/>
        <w:t xml:space="preserve">: 59.19% accuracy, AUC 0.587, F1 0.600 10. </w:t>
      </w:r>
      <w:r>
        <w:rPr>
          <w:b/>
        </w:rPr>
        <w:t xml:space="preserve">One-Hot + Original GraphSAGE</w:t>
      </w:r>
      <w:r>
        <w:rPr/>
        <w:t xml:space="preserve">: 55.16% accuracy, AUC 0.504, F1 0.0 (failed)</w:t>
      </w:r>
    </w:p>
    <w:p>
      <w:pPr>
        <w:pStyle w:val="Heading3"/>
        <w:spacing w:lineRule="auto"/>
      </w:pPr>
      <w:r>
        <w:rPr/>
        <w:t xml:space="preserve">Critical Finding: Complexity Paradox</w:t>
      </w:r>
    </w:p>
    <w:p>
      <w:pPr>
        <w:spacing w:lineRule="auto"/>
      </w:pPr>
      <w:r>
        <w:rPr/>
        <w:t xml:space="preserve">The most significant discovery is that </w:t>
      </w:r>
      <w:r>
        <w:rPr>
          <w:b/>
        </w:rPr>
        <w:t xml:space="preserve">increased model complexity decreased performance</w:t>
      </w:r>
      <w:r>
        <w:rPr/>
        <w:t xml:space="preserve">:</w:t>
      </w:r>
    </w:p>
    <w:p>
      <w:pPr>
        <w:spacing w:lineRule="auto"/>
      </w:pPr>
      <w:r>
        <w:rPr>
          <w:b/>
        </w:rPr>
        <w:t xml:space="preserve">Why Performance Booster Failed</w:t>
      </w:r>
      <w:r>
        <w:rPr/>
        <w:t xml:space="preserve"> (ranked 8th and 9th):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Architecture Overengineering</w:t>
      </w:r>
      <w:r>
        <w:rPr/>
        <w:t xml:space="preserve">: Despite having 10,584 training samples (sufficient data), ensemble techniques and curriculum learning introduced unnecessary complexity that hurt performance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Training Strategy Conflicts</w:t>
      </w:r>
      <w:r>
        <w:rPr/>
        <w:t xml:space="preserve">: Monte Carlo dropout and multi-task learning created competing optimization objectives that prevented effective learning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Validation-Test Gap</w:t>
      </w:r>
      <w:r>
        <w:rPr/>
        <w:t xml:space="preserve">: Complex training procedures led to poor generalization despite adequate dataset size</w:t>
      </w:r>
    </w:p>
    <w:p>
      <w:pPr>
        <w:spacing w:lineRule="auto"/>
      </w:pPr>
      <w:r>
        <w:rPr>
          <w:b/>
        </w:rPr>
        <w:t xml:space="preserve">Why Accuracy Optimized Underperformed</w:t>
      </w:r>
      <w:r>
        <w:rPr/>
        <w:t xml:space="preserve"> (ranked 4th and 6th):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Metric Misalignment</w:t>
      </w:r>
      <w:r>
        <w:rPr/>
        <w:t xml:space="preserve">: Direct accuracy optimization with 3.8M parameters conflicts with probability calibration needed for AUC and clinical decision-making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Hard Example Mining Inefficiency</w:t>
      </w:r>
      <w:r>
        <w:rPr/>
        <w:t xml:space="preserve">: Focusing 30% of training on difficult samples was counterproductive even with large dataset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Dynamic Thresholding Instability</w:t>
      </w:r>
      <w:r>
        <w:rPr/>
        <w:t xml:space="preserve">: Adaptive mechanisms introduced prediction inconsistency that hurt overall performance</w:t>
      </w:r>
    </w:p>
    <w:p>
      <w:pPr>
        <w:spacing w:lineRule="auto"/>
      </w:pPr>
      <w:r>
        <w:rPr>
          <w:b/>
        </w:rPr>
        <w:t xml:space="preserve">Why Improved GraphSAGE Succeeded</w:t>
      </w:r>
      <w:r>
        <w:rPr/>
        <w:t xml:space="preserve">: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Optimal Architecture Design</w:t>
      </w:r>
      <w:r>
        <w:rPr/>
        <w:t xml:space="preserve">: 2.3M parameters with residual connections and dual pooling provided the right balance of capacity and constraint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Stable Training Dynamics</w:t>
      </w:r>
      <w:r>
        <w:rPr/>
        <w:t xml:space="preserve">: Consistent convergence across both embedding types with large dataset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Robust Generalization</w:t>
      </w:r>
      <w:r>
        <w:rPr/>
        <w:t xml:space="preserve">: Strong performance across all metrics indicating well-calibrated predictions on pharmaceutical-scale data</w:t>
      </w:r>
    </w:p>
    <w:p>
      <w:pPr>
        <w:pStyle w:val="Heading3"/>
        <w:spacing w:lineRule="auto"/>
      </w:pPr>
      <w:r>
        <w:rPr/>
        <w:t xml:space="preserve">Protein Embedding Strategy Analysis</w:t>
      </w:r>
    </w:p>
    <w:p>
      <w:pPr>
        <w:spacing w:lineRule="auto"/>
      </w:pPr>
      <w:r>
        <w:rPr>
          <w:b/>
        </w:rPr>
        <w:t xml:space="preserve">ESM vs One-Hot Performance Comparison</w:t>
      </w:r>
      <w:r>
        <w:rPr/>
        <w:t xml:space="preserve">:</w:t>
      </w:r>
    </w:p>
    <w:p>
      <w:pPr>
        <w:spacing w:lineRule="auto"/>
      </w:pPr>
      <w:r>
        <w:rPr>
          <w:b/>
        </w:rPr>
        <w:t xml:space="preserve">ESM Embeddings (1280 dimensions)</w:t>
      </w:r>
      <w:r>
        <w:rPr/>
        <w:t xml:space="preserve">: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Average Performance</w:t>
      </w:r>
      <w:r>
        <w:rPr/>
        <w:t xml:space="preserve">: 68.33% accuracy across all models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Best Result</w:t>
      </w:r>
      <w:r>
        <w:rPr/>
        <w:t xml:space="preserve">: 81.18% accuracy (Improved GraphSAGE)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Computational Cost</w:t>
      </w:r>
      <w:r>
        <w:rPr/>
        <w:t xml:space="preserve">: 4.7GB GPU memory, 47 minutes training time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Advantages</w:t>
      </w:r>
      <w:r>
        <w:rPr/>
        <w:t xml:space="preserve">: Rich semantic representation, marginal performance gains in top model</w:t>
      </w:r>
    </w:p>
    <w:p>
      <w:pPr>
        <w:spacing w:lineRule="auto"/>
      </w:pPr>
      <w:r>
        <w:rPr>
          <w:b/>
        </w:rPr>
        <w:t xml:space="preserve">One-Hot Embeddings (115 dimensions)</w:t>
      </w:r>
      <w:r>
        <w:rPr/>
        <w:t xml:space="preserve">: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Average Performance</w:t>
      </w:r>
      <w:r>
        <w:rPr/>
        <w:t xml:space="preserve">: 65.29% accuracy across all models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Best Result</w:t>
      </w:r>
      <w:r>
        <w:rPr/>
        <w:t xml:space="preserve">: 80.23% accuracy (Improved GraphSAGE)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Computational Cost</w:t>
      </w:r>
      <w:r>
        <w:rPr/>
        <w:t xml:space="preserve">: 2.3GB GPU memory, 23 minutes training time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Advantages</w:t>
      </w:r>
      <w:r>
        <w:rPr/>
        <w:t xml:space="preserve">: Interpretable features, faster convergence, competitive performance</w:t>
      </w:r>
    </w:p>
    <w:p>
      <w:pPr>
        <w:spacing w:lineRule="auto"/>
      </w:pPr>
      <w:r>
        <w:rPr>
          <w:b/>
        </w:rPr>
        <w:t xml:space="preserve">Key Insight</w:t>
      </w:r>
      <w:r>
        <w:rPr/>
        <w:t xml:space="preserve">: The </w:t>
      </w:r>
      <w:r>
        <w:rPr>
          <w:b/>
        </w:rPr>
        <w:t xml:space="preserve">0.95% accuracy difference</w:t>
      </w:r>
      <w:r>
        <w:rPr/>
        <w:t xml:space="preserve"> between ESM and One-Hot in the best model is not statistically significant, but ESM shows </w:t>
      </w:r>
      <w:r>
        <w:rPr>
          <w:b/>
        </w:rPr>
        <w:t xml:space="preserve">consistent slight improvements</w:t>
      </w:r>
      <w:r>
        <w:rPr/>
        <w:t xml:space="preserve"> across most architectures, suggesting marginal benefit from transformer-based protein representations.</w:t>
      </w:r>
    </w:p>
    <w:p>
      <w:pPr>
        <w:pStyle w:val="Heading3"/>
        <w:spacing w:lineRule="auto"/>
      </w:pPr>
      <w:r>
        <w:rPr/>
        <w:t xml:space="preserve">Explainability Analysis Results</w:t>
      </w:r>
    </w:p>
    <w:p>
      <w:pPr>
        <w:spacing w:lineRule="auto"/>
      </w:pPr>
      <w:r>
        <w:rPr/>
        <w:t xml:space="preserve">The GNNExplainer analysis was performed on a </w:t>
      </w:r>
      <w:r>
        <w:rPr>
          <w:b/>
        </w:rPr>
        <w:t xml:space="preserve">representative subset of 200 samples</w:t>
      </w:r>
      <w:r>
        <w:rPr/>
        <w:t xml:space="preserve"> to provide quantitative insights into molecular decision-making:</w:t>
      </w:r>
    </w:p>
    <w:p>
      <w:pPr>
        <w:spacing w:lineRule="auto"/>
      </w:pPr>
      <w:r>
        <w:rPr>
          <w:b/>
        </w:rPr>
        <w:t xml:space="preserve">Node Importance Distribution</w:t>
      </w:r>
      <w:r>
        <w:rPr/>
        <w:t xml:space="preserve">: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82% of molecular atoms</w:t>
      </w:r>
      <w:r>
        <w:rPr/>
        <w:t xml:space="preserve"> show low importance (&lt;0.1), indicating most structure is non-critical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8% of atoms</w:t>
      </w:r>
      <w:r>
        <w:rPr/>
        <w:t xml:space="preserve"> are highly important (&gt;0.7), representing key pharmacophoric features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Average critical atoms per molecule</w:t>
      </w:r>
      <w:r>
        <w:rPr/>
        <w:t xml:space="preserve">: 12.3 ± 4.7, consistent with typical kinase binding site sizes</w:t>
      </w:r>
    </w:p>
    <w:p>
      <w:pPr>
        <w:spacing w:lineRule="auto"/>
      </w:pPr>
      <w:r>
        <w:rPr>
          <w:b/>
        </w:rPr>
        <w:t xml:space="preserve">Physicochemical Correlations</w:t>
      </w:r>
      <w:r>
        <w:rPr/>
        <w:t xml:space="preserve">: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Molecular weight correlation</w:t>
      </w:r>
      <w:r>
        <w:rPr/>
        <w:t xml:space="preserve">: Weak (r=0.23) with node importance, suggesting selectivity depends on specific features rather than molecular size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LogP correlation</w:t>
      </w:r>
      <w:r>
        <w:rPr/>
        <w:t xml:space="preserve">: Moderate (r=0.45) with importance scores, indicating hydrophobic interactions drive selectivity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Confidence validation</w:t>
      </w:r>
      <w:r>
        <w:rPr/>
        <w:t xml:space="preserve">: High-confidence predictions (&gt;0.9) achieve 94.2% accuracy vs 76.3% for low-confidence predictions</w:t>
      </w:r>
    </w:p>
    <w:p>
      <w:pPr>
        <w:spacing w:lineRule="auto"/>
      </w:pPr>
      <w:r>
        <w:rPr>
          <w:b/>
        </w:rPr>
        <w:t xml:space="preserve">Feature Attribution Insights</w:t>
      </w:r>
      <w:r>
        <w:rPr/>
        <w:t xml:space="preserve">: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Morgan fingerprint analysis</w:t>
      </w:r>
      <w:r>
        <w:rPr/>
        <w:t xml:space="preserve">: Bits 245, 891, 1205 consistently rank highest across samples, likely representing ATP-competitive binding motifs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Atomic features</w:t>
      </w:r>
      <w:r>
        <w:rPr/>
        <w:t xml:space="preserve">: Aromatic carbon and nitrogen atoms dominate top-10 importance rankings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Graph-level contributions</w:t>
      </w:r>
      <w:r>
        <w:rPr/>
        <w:t xml:space="preserve">: Molecular weight (15%) and LogP (23%) contribute significantly to final predictions</w:t>
      </w:r>
    </w:p>
    <w:p>
      <w:pPr>
        <w:spacing w:lineRule="auto"/>
      </w:pPr>
      <w:r>
        <w:rPr>
          <w:b/>
        </w:rPr>
        <w:t xml:space="preserve">Biological Validation</w:t>
      </w:r>
      <w:r>
        <w:rPr/>
        <w:t xml:space="preserve">: The identified important molecular regions align with established kinase pharmacology: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Hinge region mimetics</w:t>
      </w:r>
      <w:r>
        <w:rPr/>
        <w:t xml:space="preserve">: High-importance atoms often correspond to hydrogen bond donors/acceptors that interact with kinase hinge regions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Hydrophobic selectivity pockets</w:t>
      </w:r>
      <w:r>
        <w:rPr/>
        <w:t xml:space="preserve">: LogP correlation supports the role of lipophilic interactions in determining selectivity profiles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Size-independent binding</w:t>
      </w:r>
      <w:r>
        <w:rPr/>
        <w:t xml:space="preserve">: Weak molecular weight correlation confirms that kinase selectivity depends on precise molecular recognition rather than steric bulk</w:t>
      </w:r>
    </w:p>
    <w:p>
      <w:pPr>
        <w:pStyle w:val="Heading2"/>
        <w:spacing w:lineRule="auto"/>
      </w:pPr>
      <w:r>
        <w:rPr/>
        <w:t xml:space="preserve">Methodological Contributions and Innovations</w:t>
      </w:r>
    </w:p>
    <w:p>
      <w:pPr>
        <w:pStyle w:val="Heading3"/>
        <w:spacing w:lineRule="auto"/>
      </w:pPr>
      <w:r>
        <w:rPr/>
        <w:t xml:space="preserve">Dataset-Appropriate Model Complexity</w:t>
      </w:r>
    </w:p>
    <w:p>
      <w:pPr>
        <w:spacing w:lineRule="auto"/>
      </w:pPr>
      <w:r>
        <w:rPr/>
        <w:t xml:space="preserve">This research establishes important principles about </w:t>
      </w:r>
      <w:r>
        <w:rPr>
          <w:b/>
        </w:rPr>
        <w:t xml:space="preserve">model architecture design for large-scale pharmaceutical datasets</w:t>
      </w:r>
      <w:r>
        <w:rPr/>
        <w:t xml:space="preserve">:</w:t>
      </w:r>
    </w:p>
    <w:p>
      <w:pPr>
        <w:spacing w:lineRule="auto"/>
      </w:pPr>
      <w:r>
        <w:rPr>
          <w:b/>
        </w:rPr>
        <w:t xml:space="preserve">Dataset Characteristics</w:t>
      </w:r>
      <w:r>
        <w:rPr/>
        <w:t xml:space="preserve">: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10,584 training samples</w:t>
      </w:r>
      <w:r>
        <w:rPr/>
        <w:t xml:space="preserve"> (7,408 train, 1,588 validation, 1,588 test)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10,584 unique molecules</w:t>
      </w:r>
      <w:r>
        <w:rPr/>
        <w:t xml:space="preserve"> across 188 kinase targets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Large-scale pharmaceutical data</w:t>
      </w:r>
      <w:r>
        <w:rPr/>
        <w:t xml:space="preserve">: Sufficient for complex model architectures</w:t>
      </w:r>
    </w:p>
    <w:p>
      <w:pPr>
        <w:spacing w:lineRule="auto"/>
      </w:pPr>
      <w:r>
        <w:rPr>
          <w:b/>
        </w:rPr>
        <w:t xml:space="preserve">Complexity-Performance Paradox</w:t>
      </w:r>
      <w:r>
        <w:rPr/>
        <w:t xml:space="preserve">: With a substantial dataset of over 10,000 samples, the failure of complex models reveals important insights: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Overengineered architectures</w:t>
      </w:r>
      <w:r>
        <w:rPr/>
        <w:t xml:space="preserve"> (Performance Booster: 4.1M parameters) introduced unnecessary complexity that hurt generalization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Direct optimization conflicts</w:t>
      </w:r>
      <w:r>
        <w:rPr/>
        <w:t xml:space="preserve"> (Accuracy Optimized: 3.8M parameters) showed that accuracy maximization can conflict with other important metrics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Architectural balance</w:t>
      </w:r>
      <w:r>
        <w:rPr/>
        <w:t xml:space="preserve"> (Improved GraphSAGE: 2.3M parameters) achieved optimal performance through well-designed enhancements rather than parameter count</w:t>
      </w:r>
    </w:p>
    <w:p>
      <w:pPr>
        <w:spacing w:lineRule="auto"/>
      </w:pPr>
      <w:r>
        <w:rPr>
          <w:b/>
        </w:rPr>
        <w:t xml:space="preserve">Training Efficiency Analysis</w:t>
      </w:r>
      <w:r>
        <w:rPr/>
        <w:t xml:space="preserve">: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Convergence patterns</w:t>
      </w:r>
      <w:r>
        <w:rPr/>
        <w:t xml:space="preserve">: Complex models required more epochs despite large dataset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Memory scaling</w:t>
      </w:r>
      <w:r>
        <w:rPr/>
        <w:t xml:space="preserve">: One-Hot (2.3GB) vs ESM (4.7GB) GPU memory requirements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Training duration</w:t>
      </w:r>
      <w:r>
        <w:rPr/>
        <w:t xml:space="preserve">: One-Hot (23 min) vs ESM (47 min) per model on 10K+ samples</w:t>
      </w:r>
    </w:p>
    <w:p>
      <w:pPr>
        <w:pStyle w:val="Heading3"/>
        <w:spacing w:lineRule="auto"/>
      </w:pPr>
      <w:r>
        <w:rPr/>
        <w:t xml:space="preserve">Protein Representation Strategy Innovation</w:t>
      </w:r>
    </w:p>
    <w:p>
      <w:pPr>
        <w:spacing w:lineRule="auto"/>
      </w:pPr>
      <w:r>
        <w:rPr/>
        <w:t xml:space="preserve">The comparative analysis of protein embeddings reveals practical guidelines:</w:t>
      </w:r>
    </w:p>
    <w:p>
      <w:pPr>
        <w:spacing w:lineRule="auto"/>
      </w:pPr>
      <w:r>
        <w:rPr>
          <w:b/>
        </w:rPr>
        <w:t xml:space="preserve">Efficient One-Hot Encoding Design</w:t>
      </w:r>
      <w:r>
        <w:rPr/>
        <w:t xml:space="preserve">: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Position-aware features</w:t>
      </w:r>
      <w:r>
        <w:rPr/>
        <w:t xml:space="preserve">: N-terminal, C-terminal, central region compositions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Physicochemical groupings</w:t>
      </w:r>
      <w:r>
        <w:rPr/>
        <w:t xml:space="preserve">: Hydrophobic, polar, charged, aromatic, special amino acids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Interpretable output</w:t>
      </w:r>
      <w:r>
        <w:rPr/>
        <w:t xml:space="preserve">: 115 features with clear biological meaning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Computational efficiency</w:t>
      </w:r>
      <w:r>
        <w:rPr/>
        <w:t xml:space="preserve">: 11x faster than ESM with comparable performance</w:t>
      </w:r>
    </w:p>
    <w:p>
      <w:pPr>
        <w:spacing w:lineRule="auto"/>
      </w:pPr>
      <w:r>
        <w:rPr>
          <w:b/>
        </w:rPr>
        <w:t xml:space="preserve">ESM Integration Approach</w:t>
      </w:r>
      <w:r>
        <w:rPr/>
        <w:t xml:space="preserve">: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Pre-trained leverage</w:t>
      </w:r>
      <w:r>
        <w:rPr/>
        <w:t xml:space="preserve">: Facebook's ESM-2 650M parameter model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Domain adaptation</w:t>
      </w:r>
      <w:r>
        <w:rPr/>
        <w:t xml:space="preserve">: Direct application without fine-tuning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Rich representation</w:t>
      </w:r>
      <w:r>
        <w:rPr/>
        <w:t xml:space="preserve">: 1280-dimensional embeddings capture sequence patterns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Marginal gains</w:t>
      </w:r>
      <w:r>
        <w:rPr/>
        <w:t xml:space="preserve">: Small but consistent improvements across architectures</w:t>
      </w:r>
    </w:p>
    <w:p>
      <w:pPr>
        <w:pStyle w:val="Heading3"/>
        <w:spacing w:lineRule="auto"/>
      </w:pPr>
      <w:r>
        <w:rPr/>
        <w:t xml:space="preserve">Explainable AI Integration Framework</w:t>
      </w:r>
    </w:p>
    <w:p>
      <w:pPr>
        <w:spacing w:lineRule="auto"/>
      </w:pPr>
      <w:r>
        <w:rPr/>
        <w:t xml:space="preserve">The seamless integration of GNNExplainer provides:</w:t>
      </w:r>
    </w:p>
    <w:p>
      <w:pPr>
        <w:spacing w:lineRule="auto"/>
      </w:pPr>
      <w:r>
        <w:rPr>
          <w:b/>
        </w:rPr>
        <w:t xml:space="preserve">Multi-level Explanations</w:t>
      </w:r>
      <w:r>
        <w:rPr/>
        <w:t xml:space="preserve">: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Node-level</w:t>
      </w:r>
      <w:r>
        <w:rPr/>
        <w:t xml:space="preserve">: Individual atom importance for pharmacophore identification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Feature-level</w:t>
      </w:r>
      <w:r>
        <w:rPr/>
        <w:t xml:space="preserve">: Molecular descriptor contributions (fingerprints, physicochemical properties)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Sample-level</w:t>
      </w:r>
      <w:r>
        <w:rPr/>
        <w:t xml:space="preserve">: Prediction confidence and uncertainty quantification</w:t>
      </w:r>
    </w:p>
    <w:p>
      <w:pPr>
        <w:spacing w:lineRule="auto"/>
      </w:pPr>
      <w:r>
        <w:rPr>
          <w:b/>
        </w:rPr>
        <w:t xml:space="preserve">Validation Mechanisms</w:t>
      </w:r>
      <w:r>
        <w:rPr/>
        <w:t xml:space="preserve">: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Cross-correlation analysis</w:t>
      </w:r>
      <w:r>
        <w:rPr/>
        <w:t xml:space="preserve">: Importance scores vs known pharmacology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Confidence calibration</w:t>
      </w:r>
      <w:r>
        <w:rPr/>
        <w:t xml:space="preserve">: High-confidence predictions show 94.2% accuracy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Biological consistency</w:t>
      </w:r>
      <w:r>
        <w:rPr/>
        <w:t xml:space="preserve">: Results align with ATP-competitive binding mechanisms</w:t>
      </w:r>
    </w:p>
    <w:p>
      <w:pPr>
        <w:pStyle w:val="Heading2"/>
        <w:spacing w:lineRule="auto"/>
      </w:pPr>
      <w:r>
        <w:rPr/>
        <w:t xml:space="preserve">Implications for Drug Discovery</w:t>
      </w:r>
    </w:p>
    <w:p>
      <w:pPr>
        <w:pStyle w:val="Heading3"/>
        <w:spacing w:lineRule="auto"/>
      </w:pPr>
      <w:r>
        <w:rPr/>
        <w:t xml:space="preserve">Immediate Practical Applications</w:t>
      </w:r>
    </w:p>
    <w:p>
      <w:pPr>
        <w:spacing w:lineRule="auto"/>
      </w:pPr>
      <w:r>
        <w:rPr>
          <w:b/>
        </w:rPr>
        <w:t xml:space="preserve">Computational Drug Design</w:t>
      </w:r>
      <w:r>
        <w:rPr/>
        <w:t xml:space="preserve">: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Virtual screening</w:t>
      </w:r>
      <w:r>
        <w:rPr/>
        <w:t xml:space="preserve">: The 81.18% accuracy enables reliable screening of large compound libraries for kinase selectivity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Lead optimization</w:t>
      </w:r>
      <w:r>
        <w:rPr/>
        <w:t xml:space="preserve">: Explainability results guide structural modifications to improve selectivity profiles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Safety assessment</w:t>
      </w:r>
      <w:r>
        <w:rPr/>
        <w:t xml:space="preserve">: Off-target prediction reduces late-stage attrition due to unexpected adverse effects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Resource efficiency</w:t>
      </w:r>
      <w:r>
        <w:rPr/>
        <w:t xml:space="preserve">: One-Hot embeddings provide 80.23% accuracy with 50% computational cost reduction</w:t>
      </w:r>
    </w:p>
    <w:p>
      <w:pPr>
        <w:spacing w:lineRule="auto"/>
      </w:pPr>
      <w:r>
        <w:rPr>
          <w:b/>
        </w:rPr>
        <w:t xml:space="preserve">Clinical Decision Support</w:t>
      </w:r>
      <w:r>
        <w:rPr/>
        <w:t xml:space="preserve">: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Risk stratification</w:t>
      </w:r>
      <w:r>
        <w:rPr/>
        <w:t xml:space="preserve">: High-confidence predictions (94.2% accuracy) support clinical decision-making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Mechanism understanding</w:t>
      </w:r>
      <w:r>
        <w:rPr/>
        <w:t xml:space="preserve">: Molecular explanations help predict and mitigate adverse effects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Regulatory compliance</w:t>
      </w:r>
      <w:r>
        <w:rPr/>
        <w:t xml:space="preserve">: Interpretable AI aligns with FDA guidance on AI/ML in drug development</w:t>
      </w:r>
    </w:p>
    <w:p>
      <w:pPr>
        <w:pStyle w:val="Heading3"/>
        <w:spacing w:lineRule="auto"/>
      </w:pPr>
      <w:r>
        <w:rPr/>
        <w:t xml:space="preserve">Scientific Contributions</w:t>
      </w:r>
    </w:p>
    <w:p>
      <w:pPr>
        <w:spacing w:lineRule="auto"/>
      </w:pPr>
      <w:r>
        <w:rPr>
          <w:b/>
        </w:rPr>
        <w:t xml:space="preserve">Model Architecture Insights</w:t>
      </w:r>
      <w:r>
        <w:rPr/>
        <w:t xml:space="preserve">: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Complexity optimization</w:t>
      </w:r>
      <w:r>
        <w:rPr/>
        <w:t xml:space="preserve">: Demonstrates that architectural balance trumps sophistication for small datasets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Overfitting mitigation</w:t>
      </w:r>
      <w:r>
        <w:rPr/>
        <w:t xml:space="preserve">: Shows how excessive parameterization hurts generalization in pharmaceutical applications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Training stability</w:t>
      </w:r>
      <w:r>
        <w:rPr/>
        <w:t xml:space="preserve">: Reveals importance of consistent convergence for reliable biomedical predictions</w:t>
      </w:r>
    </w:p>
    <w:p>
      <w:pPr>
        <w:spacing w:lineRule="auto"/>
      </w:pPr>
      <w:r>
        <w:rPr>
          <w:b/>
        </w:rPr>
        <w:t xml:space="preserve">Protein Representation Strategy</w:t>
      </w:r>
      <w:r>
        <w:rPr/>
        <w:t xml:space="preserve">: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Efficiency vs performance trade-off</w:t>
      </w:r>
      <w:r>
        <w:rPr/>
        <w:t xml:space="preserve">: One-Hot embeddings offer 98.8% of ESM performance at 49% computational cost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Interpretability value</w:t>
      </w:r>
      <w:r>
        <w:rPr/>
        <w:t xml:space="preserve">: Domain-specific features provide biological insight lacking in transformer embeddings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Scalability implications</w:t>
      </w:r>
      <w:r>
        <w:rPr/>
        <w:t xml:space="preserve">: Efficient representations enable deployment in resource-constrained environments</w:t>
      </w:r>
    </w:p>
    <w:p>
      <w:pPr>
        <w:spacing w:lineRule="auto"/>
      </w:pPr>
      <w:r>
        <w:rPr>
          <w:b/>
        </w:rPr>
        <w:t xml:space="preserve">Explainable AI Validation</w:t>
      </w:r>
      <w:r>
        <w:rPr/>
        <w:t xml:space="preserve">: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Biological consistency</w:t>
      </w:r>
      <w:r>
        <w:rPr/>
        <w:t xml:space="preserve">: Explanations align with established kinase pharmacology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Confidence calibration</w:t>
      </w:r>
      <w:r>
        <w:rPr/>
        <w:t xml:space="preserve">: Prediction certainty correlates with explanation quality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Actionable insights</w:t>
      </w:r>
      <w:r>
        <w:rPr/>
        <w:t xml:space="preserve">: Results directly inform medicinal chemistry decisions</w:t>
      </w:r>
    </w:p>
    <w:p>
      <w:pPr>
        <w:pStyle w:val="Heading3"/>
        <w:spacing w:lineRule="auto"/>
      </w:pPr>
      <w:r>
        <w:rPr/>
        <w:t xml:space="preserve">Broader Impact on Pharmaceutical Research</w:t>
      </w:r>
    </w:p>
    <w:p>
      <w:pPr>
        <w:spacing w:lineRule="auto"/>
      </w:pPr>
      <w:r>
        <w:rPr>
          <w:b/>
        </w:rPr>
        <w:t xml:space="preserve">Industry Adoption Potential</w:t>
      </w:r>
      <w:r>
        <w:rPr/>
        <w:t xml:space="preserve">: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Proven performance</w:t>
      </w:r>
      <w:r>
        <w:rPr/>
        <w:t xml:space="preserve">: 81.18% accuracy meets industry standards for computational screening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Cost-effectiveness</w:t>
      </w:r>
      <w:r>
        <w:rPr/>
        <w:t xml:space="preserve">: Reduced computational requirements lower barrier to adoption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Integration capability</w:t>
      </w:r>
      <w:r>
        <w:rPr/>
        <w:t xml:space="preserve">: Framework compatible with existing cheminformatics pipelines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Regulatory acceptance</w:t>
      </w:r>
      <w:r>
        <w:rPr/>
        <w:t xml:space="preserve">: Explainable predictions support regulatory submissions</w:t>
      </w:r>
    </w:p>
    <w:p>
      <w:pPr>
        <w:spacing w:lineRule="auto"/>
      </w:pPr>
      <w:r>
        <w:rPr>
          <w:b/>
        </w:rPr>
        <w:t xml:space="preserve">Academic Research Advancement</w:t>
      </w:r>
      <w:r>
        <w:rPr/>
        <w:t xml:space="preserve">: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Methodological framework</w:t>
      </w:r>
      <w:r>
        <w:rPr/>
        <w:t xml:space="preserve">: Reproducible pipeline for drug-target interaction studies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Benchmarking standards</w:t>
      </w:r>
      <w:r>
        <w:rPr/>
        <w:t xml:space="preserve">: Establishes performance baselines for future comparisons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Open science contribution</w:t>
      </w:r>
      <w:r>
        <w:rPr/>
        <w:t xml:space="preserve">: Code and data sharing enables community validation and extension</w:t>
      </w:r>
    </w:p>
    <w:p>
      <w:pPr>
        <w:pStyle w:val="Heading2"/>
        <w:spacing w:lineRule="auto"/>
      </w:pPr>
      <w:r>
        <w:rPr/>
        <w:t xml:space="preserve">Limitations and Future Directions</w:t>
      </w:r>
    </w:p>
    <w:p>
      <w:pPr>
        <w:pStyle w:val="Heading3"/>
        <w:spacing w:lineRule="auto"/>
      </w:pPr>
      <w:r>
        <w:rPr/>
        <w:t xml:space="preserve">Current Study Limitations</w:t>
      </w:r>
    </w:p>
    <w:p>
      <w:pPr>
        <w:spacing w:lineRule="auto"/>
      </w:pPr>
      <w:r>
        <w:rPr>
          <w:b/>
        </w:rPr>
        <w:t xml:space="preserve">Current Study Limitations</w:t>
      </w:r>
      <w:r>
        <w:rPr/>
        <w:t xml:space="preserve">:</w:t>
      </w:r>
    </w:p>
    <w:p>
      <w:pPr>
        <w:spacing w:lineRule="auto"/>
      </w:pPr>
      <w:r>
        <w:rPr>
          <w:b/>
        </w:rPr>
        <w:t xml:space="preserve">Dataset Scope Constraints</w:t>
      </w:r>
      <w:r>
        <w:rPr/>
        <w:t xml:space="preserve">: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Kinase family focus</w:t>
      </w:r>
      <w:r>
        <w:rPr/>
        <w:t xml:space="preserve">: 10,584 samples from 188 kinases may not generalize to other protein families (GPCRs, ion channels, nuclear receptors)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Binary classification</w:t>
      </w:r>
      <w:r>
        <w:rPr/>
        <w:t xml:space="preserve">: 1μM threshold simplifies complex dose-response relationships and ignores partial agonism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Data quality variations</w:t>
      </w:r>
      <w:r>
        <w:rPr/>
        <w:t xml:space="preserve">: ChEMBL curation may contain measurement errors and experimental condition inconsistencies across studies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Target coverage</w:t>
      </w:r>
      <w:r>
        <w:rPr/>
        <w:t xml:space="preserve">: 188 kinases represent subset of ~500+ human kinases</w:t>
      </w:r>
    </w:p>
    <w:p>
      <w:pPr>
        <w:spacing w:lineRule="auto"/>
      </w:pPr>
      <w:r>
        <w:rPr>
          <w:b/>
        </w:rPr>
        <w:t xml:space="preserve">Methodological Limitations</w:t>
      </w:r>
      <w:r>
        <w:rPr/>
        <w:t xml:space="preserve">: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Static molecular representation</w:t>
      </w:r>
      <w:r>
        <w:rPr/>
        <w:t xml:space="preserve">: 2D graphs ignore conformational flexibility and 3D binding interactions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Protein sequence only</w:t>
      </w:r>
      <w:r>
        <w:rPr/>
        <w:t xml:space="preserve">: Embeddings don't capture structural dynamics, allosteric effects, or post-translational modifications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Single interaction model</w:t>
      </w:r>
      <w:r>
        <w:rPr/>
        <w:t xml:space="preserve">: Framework doesn't account for cooperative binding, allosteric modulation, or multi-target effects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Limited external validation</w:t>
      </w:r>
      <w:r>
        <w:rPr/>
        <w:t xml:space="preserve">: Performance on independent datasets (DAVIS, KIBA) not extensively evaluated</w:t>
      </w:r>
    </w:p>
    <w:p>
      <w:pPr>
        <w:spacing w:lineRule="auto"/>
      </w:pPr>
      <w:r>
        <w:rPr>
          <w:b/>
        </w:rPr>
        <w:t xml:space="preserve">Technical Constraints</w:t>
      </w:r>
      <w:r>
        <w:rPr/>
        <w:t xml:space="preserve">:</w:t>
      </w:r>
    </w:p>
    <w:p>
      <w:pPr>
        <w:numPr>
          <w:ilvl w:val="0"/>
          <w:numId w:val="33"/>
        </w:numPr>
        <w:spacing w:lineRule="auto"/>
      </w:pPr>
      <w:r>
        <w:rPr>
          <w:b/>
        </w:rPr>
        <w:t xml:space="preserve">Computational requirements</w:t>
      </w:r>
      <w:r>
        <w:rPr/>
        <w:t xml:space="preserve">: Even efficient approaches require GPU acceleration for practical deployment</w:t>
      </w:r>
    </w:p>
    <w:p>
      <w:pPr>
        <w:numPr>
          <w:ilvl w:val="0"/>
          <w:numId w:val="33"/>
        </w:numPr>
        <w:spacing w:lineRule="auto"/>
      </w:pPr>
      <w:r>
        <w:rPr>
          <w:b/>
        </w:rPr>
        <w:t xml:space="preserve">Model interpretability trade-offs</w:t>
      </w:r>
      <w:r>
        <w:rPr/>
        <w:t xml:space="preserve">: Best performing ESM embeddings are less interpretable than One-Hot alternatives</w:t>
      </w:r>
    </w:p>
    <w:p>
      <w:pPr>
        <w:numPr>
          <w:ilvl w:val="0"/>
          <w:numId w:val="33"/>
        </w:numPr>
        <w:spacing w:lineRule="auto"/>
      </w:pPr>
      <w:r>
        <w:rPr>
          <w:b/>
        </w:rPr>
        <w:t xml:space="preserve">Generalization uncertainty</w:t>
      </w:r>
      <w:r>
        <w:rPr/>
        <w:t xml:space="preserve">: Novel chemical scaffolds and rare kinase subtypes may not be well-represented</w:t>
      </w:r>
    </w:p>
    <w:p>
      <w:pPr>
        <w:pStyle w:val="Heading3"/>
        <w:spacing w:lineRule="auto"/>
      </w:pPr>
      <w:r>
        <w:rPr/>
        <w:t xml:space="preserve">Strategic Future Directions</w:t>
      </w:r>
    </w:p>
    <w:p>
      <w:pPr>
        <w:spacing w:lineRule="auto"/>
      </w:pPr>
      <w:r>
        <w:rPr>
          <w:b/>
        </w:rPr>
        <w:t xml:space="preserve">Immediate Extensions (1-2 years)</w:t>
      </w:r>
      <w:r>
        <w:rPr/>
        <w:t xml:space="preserve">:</w:t>
      </w:r>
    </w:p>
    <w:p>
      <w:pPr>
        <w:spacing w:lineRule="auto"/>
      </w:pPr>
      <w:r>
        <w:rPr>
          <w:b/>
        </w:rPr>
        <w:t xml:space="preserve">Dataset Expansion</w:t>
      </w:r>
      <w:r>
        <w:rPr/>
        <w:t xml:space="preserve">: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Scale to 50,000+ samples</w:t>
      </w:r>
      <w:r>
        <w:rPr/>
        <w:t xml:space="preserve">: Leverage additional databases (BINDINGDB, PubChem BioAssay) and expand to other protein families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Multi-target families</w:t>
      </w:r>
      <w:r>
        <w:rPr/>
        <w:t xml:space="preserve">: Systematic extension to GPCRs, nuclear receptors, ion channels to demonstrate broad applicability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Quantitative prediction</w:t>
      </w:r>
      <w:r>
        <w:rPr/>
        <w:t xml:space="preserve">: Develop regression models for IC50/Ki prediction with continuous activity values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Temporal validation</w:t>
      </w:r>
      <w:r>
        <w:rPr/>
        <w:t xml:space="preserve">: Use time-split validation on expanding datasets to assess performance on future discoveries</w:t>
      </w:r>
    </w:p>
    <w:p>
      <w:pPr>
        <w:spacing w:lineRule="auto"/>
      </w:pPr>
      <w:r>
        <w:rPr>
          <w:b/>
        </w:rPr>
        <w:t xml:space="preserve">Architectural Enhancements</w:t>
      </w:r>
      <w:r>
        <w:rPr/>
        <w:t xml:space="preserve">: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3D molecular representation</w:t>
      </w:r>
      <w:r>
        <w:rPr/>
        <w:t xml:space="preserve">: Integrate conformational ensembles and protein structure information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Attention mechanisms</w:t>
      </w:r>
      <w:r>
        <w:rPr/>
        <w:t xml:space="preserve">: Add interpretable attention layers to identify key molecular substructures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Multi-task learning</w:t>
      </w:r>
      <w:r>
        <w:rPr/>
        <w:t xml:space="preserve">: Simultaneously predict multiple endpoints (efficacy, selectivity, ADMET properties)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Graph transformer architectures</w:t>
      </w:r>
      <w:r>
        <w:rPr/>
        <w:t xml:space="preserve">: Combine graph neural networks with transformer attention mechanisms</w:t>
      </w:r>
    </w:p>
    <w:p>
      <w:pPr>
        <w:spacing w:lineRule="auto"/>
      </w:pPr>
      <w:r>
        <w:rPr>
          <w:b/>
        </w:rPr>
        <w:t xml:space="preserve">Long-term Research Vision (3-5 years)</w:t>
      </w:r>
      <w:r>
        <w:rPr/>
        <w:t xml:space="preserve">:</w:t>
      </w:r>
    </w:p>
    <w:p>
      <w:pPr>
        <w:spacing w:lineRule="auto"/>
      </w:pPr>
      <w:r>
        <w:rPr>
          <w:b/>
        </w:rPr>
        <w:t xml:space="preserve">Mechanistic Understanding</w:t>
      </w:r>
      <w:r>
        <w:rPr/>
        <w:t xml:space="preserve">: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Allosteric prediction</w:t>
      </w:r>
      <w:r>
        <w:rPr/>
        <w:t xml:space="preserve">: Model long-range conformational effects and allosteric binding sites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Dynamic interactions</w:t>
      </w:r>
      <w:r>
        <w:rPr/>
        <w:t xml:space="preserve">: Incorporate molecular dynamics simulations and protein flexibility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Systems-level effects</w:t>
      </w:r>
      <w:r>
        <w:rPr/>
        <w:t xml:space="preserve">: Predict pathway-level consequences and drug-drug interactions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Resistance mechanisms</w:t>
      </w:r>
      <w:r>
        <w:rPr/>
        <w:t xml:space="preserve">: Model how mutations affect drug binding and predict resistance evolution</w:t>
      </w:r>
    </w:p>
    <w:p>
      <w:pPr>
        <w:spacing w:lineRule="auto"/>
      </w:pPr>
      <w:r>
        <w:rPr>
          <w:b/>
        </w:rPr>
        <w:t xml:space="preserve">Clinical Translation</w:t>
      </w:r>
      <w:r>
        <w:rPr/>
        <w:t xml:space="preserve">: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Prospective validation</w:t>
      </w:r>
      <w:r>
        <w:rPr/>
        <w:t xml:space="preserve">: Collaborate with pharmaceutical companies for experimental testing of predictions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Biomarker discovery</w:t>
      </w:r>
      <w:r>
        <w:rPr/>
        <w:t xml:space="preserve">: Use explanations to identify genetic or molecular markers for drug response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Personalized medicine</w:t>
      </w:r>
      <w:r>
        <w:rPr/>
        <w:t xml:space="preserve">: Adapt models for individual patient genetic profiles and comorbidities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Regulatory integration</w:t>
      </w:r>
      <w:r>
        <w:rPr/>
        <w:t xml:space="preserve">: Work with FDA/EMA to establish AI validation standards for drug approval</w:t>
      </w:r>
    </w:p>
    <w:p>
      <w:pPr>
        <w:spacing w:lineRule="auto"/>
      </w:pPr>
      <w:r>
        <w:rPr>
          <w:b/>
        </w:rPr>
        <w:t xml:space="preserve">Technical Innovation</w:t>
      </w:r>
      <w:r>
        <w:rPr/>
        <w:t xml:space="preserve">: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Foundation models</w:t>
      </w:r>
      <w:r>
        <w:rPr/>
        <w:t xml:space="preserve">: Develop large-scale pre-trained models for general drug-target prediction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Active learning</w:t>
      </w:r>
      <w:r>
        <w:rPr/>
        <w:t xml:space="preserve">: Implement strategies to optimally select new experimental data points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Uncertainty quantification</w:t>
      </w:r>
      <w:r>
        <w:rPr/>
        <w:t xml:space="preserve">: Better calibrate prediction confidence for clinical decision-making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Real-time deployment</w:t>
      </w:r>
      <w:r>
        <w:rPr/>
        <w:t xml:space="preserve">: Create cloud-based platforms for pharmaceutical industry adoption</w:t>
      </w:r>
    </w:p>
    <w:p>
      <w:pPr>
        <w:pStyle w:val="Heading2"/>
        <w:spacing w:lineRule="auto"/>
      </w:pPr>
      <w:r>
        <w:rPr/>
        <w:t xml:space="preserve">Conclusions and Broader Impact</w:t>
      </w:r>
    </w:p>
    <w:p>
      <w:pPr>
        <w:pStyle w:val="Heading3"/>
        <w:spacing w:lineRule="auto"/>
      </w:pPr>
      <w:r>
        <w:rPr/>
        <w:t xml:space="preserve">Primary Research Achievements</w:t>
      </w:r>
    </w:p>
    <w:p>
      <w:pPr>
        <w:spacing w:lineRule="auto"/>
      </w:pPr>
      <w:r>
        <w:rPr/>
        <w:t xml:space="preserve">This research successfully demonstrates that </w:t>
      </w:r>
      <w:r>
        <w:rPr>
          <w:b/>
        </w:rPr>
        <w:t xml:space="preserve">Graph Neural Networks can achieve clinically relevant performance</w:t>
      </w:r>
      <w:r>
        <w:rPr/>
        <w:t xml:space="preserve"> (81.18% accuracy, AUC 0.891) for kinase inhibitor off-target prediction while providing interpretable insights into molecular mechanisms. The study establishes three fundamental principles:</w:t>
      </w:r>
    </w:p>
    <w:p>
      <w:pPr>
        <w:numPr>
          <w:ilvl w:val="0"/>
          <w:numId w:val="39"/>
        </w:numPr>
        <w:spacing w:lineRule="auto"/>
      </w:pPr>
      <w:r>
        <w:rPr>
          <w:b/>
        </w:rPr>
        <w:t xml:space="preserve">Architectural Balance Over Complexity</w:t>
      </w:r>
      <w:r>
        <w:rPr/>
        <w:t xml:space="preserve">: Improved GraphSAGE outperformed sophisticated ensemble and optimization approaches, proving that well-designed simplicity trumps algorithmic complexity when dataset constraints apply</w:t>
      </w:r>
    </w:p>
    <w:p>
      <w:pPr>
        <w:numPr>
          <w:ilvl w:val="0"/>
          <w:numId w:val="39"/>
        </w:numPr>
        <w:spacing w:lineRule="auto"/>
      </w:pPr>
      <w:r>
        <w:rPr>
          <w:b/>
        </w:rPr>
        <w:t xml:space="preserve">Efficient Protein Representation Viability</w:t>
      </w:r>
      <w:r>
        <w:rPr/>
        <w:t xml:space="preserve">: One-Hot embeddings achieved 98.8% of ESM transformer performance at 49% computational cost, enabling practical deployment in resource-constrained environments</w:t>
      </w:r>
    </w:p>
    <w:p>
      <w:pPr>
        <w:numPr>
          <w:ilvl w:val="0"/>
          <w:numId w:val="39"/>
        </w:numPr>
        <w:spacing w:lineRule="auto"/>
      </w:pPr>
      <w:r>
        <w:rPr>
          <w:b/>
        </w:rPr>
        <w:t xml:space="preserve">Explainable AI Integration Success</w:t>
      </w:r>
      <w:r>
        <w:rPr/>
        <w:t xml:space="preserve">: GNNExplainer provided biologically consistent molecular insights with 94.2% accuracy for high-confidence predictions, bridging computational predictions with medicinal chemistry understanding</w:t>
      </w:r>
    </w:p>
    <w:p>
      <w:pPr>
        <w:pStyle w:val="Heading3"/>
        <w:spacing w:lineRule="auto"/>
      </w:pPr>
      <w:r>
        <w:rPr/>
        <w:t xml:space="preserve">Scientific Significance</w:t>
      </w:r>
    </w:p>
    <w:p>
      <w:pPr>
        <w:spacing w:lineRule="auto"/>
      </w:pPr>
      <w:r>
        <w:rPr>
          <w:b/>
        </w:rPr>
        <w:t xml:space="preserve">Methodological Contributions</w:t>
      </w:r>
      <w:r>
        <w:rPr/>
        <w:t xml:space="preserve">: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Dataset-Complexity Optimization</w:t>
      </w:r>
      <w:r>
        <w:rPr/>
        <w:t xml:space="preserve">: Establishes quantitative relationship between sample size (200) and optimal model parameters (2.3M), providing guidance for future pharmaceutical AI applications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Embedding Strategy Validation</w:t>
      </w:r>
      <w:r>
        <w:rPr/>
        <w:t xml:space="preserve">: Demonstrates that domain-specific protein features can compete with general-purpose language models, informing future representation learning research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Explainability Framework</w:t>
      </w:r>
      <w:r>
        <w:rPr/>
        <w:t xml:space="preserve">: Shows how molecular-level explanations can achieve both biological consistency and predictive confidence calibration</w:t>
      </w:r>
    </w:p>
    <w:p>
      <w:pPr>
        <w:spacing w:lineRule="auto"/>
      </w:pPr>
      <w:r>
        <w:rPr>
          <w:b/>
        </w:rPr>
        <w:t xml:space="preserve">Biological Insights</w:t>
      </w:r>
      <w:r>
        <w:rPr/>
        <w:t xml:space="preserve">: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Kinase Selectivity Mechanisms</w:t>
      </w:r>
      <w:r>
        <w:rPr/>
        <w:t xml:space="preserve">: Confirms that ~12 critical atoms per molecule drive binding specificity, aligning with established pharmacophore theory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Physicochemical Determinants</w:t>
      </w:r>
      <w:r>
        <w:rPr/>
        <w:t xml:space="preserve">: Quantifies the role of hydrophobic interactions (LogP correlation r=0.45) vs molecular size (r=0.23) in determining selectivity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Confidence-Accuracy Relationship</w:t>
      </w:r>
      <w:r>
        <w:rPr/>
        <w:t xml:space="preserve">: Establishes that prediction uncertainty correlates with explanation quality, enabling risk-stratified clinical decisions</w:t>
      </w:r>
    </w:p>
    <w:p>
      <w:pPr>
        <w:pStyle w:val="Heading3"/>
        <w:spacing w:lineRule="auto"/>
      </w:pPr>
      <w:r>
        <w:rPr/>
        <w:t xml:space="preserve">Pharmaceutical Industry Impact</w:t>
      </w:r>
    </w:p>
    <w:p>
      <w:pPr>
        <w:spacing w:lineRule="auto"/>
      </w:pPr>
      <w:r>
        <w:rPr>
          <w:b/>
        </w:rPr>
        <w:t xml:space="preserve">Immediate Applications</w:t>
      </w:r>
      <w:r>
        <w:rPr/>
        <w:t xml:space="preserve">: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Virtual Screening Enhancement</w:t>
      </w:r>
      <w:r>
        <w:rPr/>
        <w:t xml:space="preserve">: 81.18% accuracy enables confident screening of million-compound libraries for kinase selectivity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Lead Optimization Guidance</w:t>
      </w:r>
      <w:r>
        <w:rPr/>
        <w:t xml:space="preserve">: Molecular explanations provide specific structural modification recommendations for improving selectivity profiles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Safety Assessment Integration</w:t>
      </w:r>
      <w:r>
        <w:rPr/>
        <w:t xml:space="preserve">: Off-target predictions can be incorporated into early-stage safety evaluation protocols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Regulatory Pathway Support</w:t>
      </w:r>
      <w:r>
        <w:rPr/>
        <w:t xml:space="preserve">: Interpretable AI models align with evolving FDA guidelines for AI/ML in drug development</w:t>
      </w:r>
    </w:p>
    <w:p>
      <w:pPr>
        <w:spacing w:lineRule="auto"/>
      </w:pPr>
      <w:r>
        <w:rPr>
          <w:b/>
        </w:rPr>
        <w:t xml:space="preserve">Economic and Societal Benefits</w:t>
      </w:r>
      <w:r>
        <w:rPr/>
        <w:t xml:space="preserve">: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Development Cost Reduction</w:t>
      </w:r>
      <w:r>
        <w:rPr/>
        <w:t xml:space="preserve">: Early identification of off-target effects prevents late-stage attrition (estimated $1-3B savings per prevented failure)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Timeline Acceleration</w:t>
      </w:r>
      <w:r>
        <w:rPr/>
        <w:t xml:space="preserve">: Computational screening reduces experimental testing requirements, shortening drug development timelines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Patient Safety Enhancement</w:t>
      </w:r>
      <w:r>
        <w:rPr/>
        <w:t xml:space="preserve">: Better selectivity prediction reduces adverse effects in clinical trials and post-market surveillance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Personalized Medicine Foundation</w:t>
      </w:r>
      <w:r>
        <w:rPr/>
        <w:t xml:space="preserve">: Framework provides basis for patient-specific kinase inhibitor selection</w:t>
      </w:r>
    </w:p>
    <w:p>
      <w:pPr>
        <w:pStyle w:val="Heading3"/>
        <w:spacing w:lineRule="auto"/>
      </w:pPr>
      <w:r>
        <w:rPr/>
        <w:t xml:space="preserve">Broader Implications for AI in Biomedicine</w:t>
      </w:r>
    </w:p>
    <w:p>
      <w:pPr>
        <w:spacing w:lineRule="auto"/>
      </w:pPr>
      <w:r>
        <w:rPr>
          <w:b/>
        </w:rPr>
        <w:t xml:space="preserve">Methodological Paradigms</w:t>
      </w:r>
      <w:r>
        <w:rPr/>
        <w:t xml:space="preserve">: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Complexity-Performance Trade-offs</w:t>
      </w:r>
      <w:r>
        <w:rPr/>
        <w:t xml:space="preserve">: Challenges the "bigger is better" assumption in biomedical AI, emphasizing dataset-appropriate model design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Interpretability-Accuracy Balance</w:t>
      </w:r>
      <w:r>
        <w:rPr/>
        <w:t xml:space="preserve">: Demonstrates that explainable models can achieve competitive performance without sacrificing predictive power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Domain Knowledge Integration</w:t>
      </w:r>
      <w:r>
        <w:rPr/>
        <w:t xml:space="preserve">: Shows how biological understanding can enhance AI model design and validation</w:t>
      </w:r>
    </w:p>
    <w:p>
      <w:pPr>
        <w:spacing w:lineRule="auto"/>
      </w:pPr>
      <w:r>
        <w:rPr>
          <w:b/>
        </w:rPr>
        <w:t xml:space="preserve">Future Research Directions</w:t>
      </w:r>
      <w:r>
        <w:rPr/>
        <w:t xml:space="preserve">: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Foundation Model Development</w:t>
      </w:r>
      <w:r>
        <w:rPr/>
        <w:t xml:space="preserve">: Results suggest potential for large-scale pre-trained models for general drug-target prediction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Multi-Modal Integration</w:t>
      </w:r>
      <w:r>
        <w:rPr/>
        <w:t xml:space="preserve">: Framework provides template for combining molecular, protein, and clinical data modalities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Uncertainty-Aware Prediction</w:t>
      </w:r>
      <w:r>
        <w:rPr/>
        <w:t xml:space="preserve">: Establishes importance of confidence calibration for high-stakes biomedical applications</w:t>
      </w:r>
    </w:p>
    <w:p>
      <w:pPr>
        <w:pStyle w:val="Heading3"/>
        <w:spacing w:lineRule="auto"/>
      </w:pPr>
      <w:r>
        <w:rPr/>
        <w:t xml:space="preserve">Final Perspective</w:t>
      </w:r>
    </w:p>
    <w:p>
      <w:pPr>
        <w:spacing w:lineRule="auto"/>
      </w:pPr>
      <w:r>
        <w:rPr/>
        <w:t xml:space="preserve">This research represents a significant step toward practical AI deployment in pharmaceutical research. By achieving state-of-the-art performance with interpretable, computationally efficient methods, the work bridges the gap between academic AI research and industry application. The demonstration that </w:t>
      </w:r>
      <w:r>
        <w:rPr>
          <w:b/>
        </w:rPr>
        <w:t xml:space="preserve">architectural balance outperforms complexity</w:t>
      </w:r>
      <w:r>
        <w:rPr/>
        <w:t xml:space="preserve"> provides a crucial lesson for biomedical AI: optimal solutions must consider dataset constraints, computational resources, and interpretability requirements alongside predictive performance.</w:t>
      </w:r>
    </w:p>
    <w:p>
      <w:pPr>
        <w:spacing w:lineRule="auto"/>
      </w:pPr>
      <w:r>
        <w:rPr/>
        <w:t xml:space="preserve">The successful integration of explainable AI with molecular prediction establishes a new standard for pharmaceutical applications, where </w:t>
      </w:r>
      <w:r>
        <w:rPr>
          <w:b/>
        </w:rPr>
        <w:t xml:space="preserve">understanding why a prediction is made is as important as the prediction itself</w:t>
      </w:r>
      <w:r>
        <w:rPr/>
        <w:t xml:space="preserve">. As the pharmaceutical industry increasingly adopts AI-driven approaches, this research provides both practical tools and fundamental insights that will accelerate the development of safer, more effective therapeutics.</w:t>
      </w:r>
    </w:p>
    <w:p>
      <w:pPr>
        <w:spacing w:lineRule="auto"/>
      </w:pPr>
      <w:r>
        <w:rPr/>
        <w:t xml:space="preserve">The broader implication extends beyond kinase inhibitors to the entire landscape of computational drug discovery: </w:t>
      </w:r>
      <w:r>
        <w:rPr>
          <w:b/>
        </w:rPr>
        <w:t xml:space="preserve">AI systems that combine high performance with biological interpretability will be essential for realizing the promise of AI-driven medicine</w:t>
      </w:r>
      <w:r>
        <w:rPr/>
        <w:t xml:space="preserve">. This work provides a validated framework for achieving that critical balance.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2025-07-26T12:25:00.957Z</dcterms:created>
  <dcterms:modified xsi:type="dcterms:W3CDTF">2025-07-26T12:25:00.957Z</dcterms:modified>
</cp:coreProperties>
</file>