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836FD2">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4E2994EA" w:rsidR="00836FD2" w:rsidRDefault="00836FD2" w:rsidP="00836FD2">
      <w:pPr>
        <w:spacing w:after="0"/>
        <w:ind w:left="720"/>
      </w:pPr>
      <w:r>
        <w:t>Short press to toggle XIT A on or off.  Long press to change VFO A step size up.</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FC7EB4">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FC7EB4">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1E8BE960"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0F3B5C44" w14:textId="65748ED4" w:rsidR="00AD7933" w:rsidRDefault="009A2F47" w:rsidP="00D2560C">
      <w:pPr>
        <w:spacing w:after="240"/>
        <w:ind w:left="270"/>
      </w:pPr>
      <w:r>
        <w:t xml:space="preserve">A yellow slice name (Slice B in this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FC7EB4">
      <w:pPr>
        <w:pStyle w:val="ListParagraph"/>
        <w:keepNext/>
        <w:numPr>
          <w:ilvl w:val="0"/>
          <w:numId w:val="3"/>
        </w:numPr>
        <w:rPr>
          <w:sz w:val="52"/>
          <w:szCs w:val="52"/>
        </w:rPr>
      </w:pPr>
      <w:r>
        <w:rPr>
          <w:sz w:val="52"/>
          <w:szCs w:val="52"/>
        </w:rPr>
        <w:lastRenderedPageBreak/>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proofErr w:type="spellStart"/>
      <w:r>
        <w:t>Misc</w:t>
      </w:r>
      <w:proofErr w:type="spellEnd"/>
      <w:r>
        <w:t xml:space="preserve">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D04163">
      <w:pPr>
        <w:pStyle w:val="ListParagraph"/>
        <w:numPr>
          <w:ilvl w:val="2"/>
          <w:numId w:val="3"/>
        </w:numPr>
        <w:spacing w:after="0"/>
      </w:pPr>
      <w:r>
        <w:t>Snap to Tune Step</w:t>
      </w:r>
    </w:p>
    <w:p w14:paraId="7863802D" w14:textId="30553AF1" w:rsidR="00D04163" w:rsidRDefault="00D04163" w:rsidP="009E65A0">
      <w:pPr>
        <w:spacing w:after="240"/>
        <w:ind w:left="720"/>
      </w:pPr>
      <w:r>
        <w:t>ON or OFF.  Default is OFF, can be changed in config file.</w:t>
      </w:r>
    </w:p>
    <w:p w14:paraId="276340D2" w14:textId="43A89CB0" w:rsidR="00090BB2" w:rsidRDefault="00090BB2" w:rsidP="00090BB2">
      <w:pPr>
        <w:pStyle w:val="ListParagraph"/>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D04163">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4B7D3E">
      <w:pPr>
        <w:pStyle w:val="ListParagraph"/>
        <w:numPr>
          <w:ilvl w:val="1"/>
          <w:numId w:val="3"/>
        </w:numPr>
        <w:spacing w:after="0"/>
        <w:ind w:left="850"/>
      </w:pPr>
      <w:r>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lastRenderedPageBreak/>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lastRenderedPageBreak/>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proofErr w:type="spellStart"/>
      <w:r>
        <w:t>MyLicense</w:t>
      </w:r>
      <w:proofErr w:type="spellEnd"/>
      <w:r>
        <w:t>:</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2E041C">
      <w:pPr>
        <w:pStyle w:val="ListParagraph"/>
        <w:numPr>
          <w:ilvl w:val="2"/>
          <w:numId w:val="3"/>
        </w:numPr>
        <w:spacing w:after="0"/>
      </w:pPr>
      <w:proofErr w:type="spellStart"/>
      <w:r w:rsidRPr="002E041C">
        <w:lastRenderedPageBreak/>
        <w:t>TeensyMaestroID</w:t>
      </w:r>
      <w:proofErr w:type="spellEnd"/>
      <w:r w:rsidRPr="002E041C">
        <w:t>:</w:t>
      </w:r>
    </w:p>
    <w:p w14:paraId="2187891B" w14:textId="6559ED85" w:rsidR="002E041C" w:rsidRDefault="002E041C" w:rsidP="002E041C">
      <w:pPr>
        <w:spacing w:after="240"/>
        <w:ind w:left="720"/>
      </w:pPr>
      <w:r>
        <w:t xml:space="preserve">Only used in stand-alone mode.  Allows individual identification of any TeensyMaestros connected in stand-alone mode.  Useful when disconnecting to be sure the desired station is disconnected.   </w:t>
      </w:r>
      <w:r w:rsidR="00156730">
        <w:t xml:space="preserve">No spaces are allowed in the ID.  </w:t>
      </w:r>
      <w:r>
        <w:t>Default is blank.</w:t>
      </w:r>
    </w:p>
    <w:p w14:paraId="7B325170" w14:textId="198B0C31" w:rsidR="00416FAC" w:rsidRDefault="00416FAC" w:rsidP="007B4556">
      <w:pPr>
        <w:pStyle w:val="ListParagraph"/>
        <w:numPr>
          <w:ilvl w:val="2"/>
          <w:numId w:val="3"/>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F251F6">
      <w:pPr>
        <w:pStyle w:val="ListParagraph"/>
        <w:keepNext/>
        <w:numPr>
          <w:ilvl w:val="2"/>
          <w:numId w:val="3"/>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E24257">
      <w:pPr>
        <w:pStyle w:val="ListParagraph"/>
        <w:numPr>
          <w:ilvl w:val="2"/>
          <w:numId w:val="3"/>
        </w:numPr>
        <w:spacing w:after="0"/>
      </w:pPr>
      <w:r>
        <w:t>WPM:</w:t>
      </w:r>
    </w:p>
    <w:p w14:paraId="31A3154D" w14:textId="1F5ABAAB" w:rsidR="00D04F1E" w:rsidRDefault="00D04F1E" w:rsidP="00D04F1E">
      <w:pPr>
        <w:spacing w:after="240"/>
        <w:ind w:left="720"/>
      </w:pPr>
      <w:r>
        <w:t xml:space="preserve">Keyer speed (5 – 100 WPM).  </w:t>
      </w:r>
      <w:r w:rsidR="00CF193E">
        <w:t>No default (uses CWX keyer speed from the Flex)</w:t>
      </w:r>
      <w:r>
        <w:t>.</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lastRenderedPageBreak/>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D04163">
      <w:pPr>
        <w:pStyle w:val="ListParagraph"/>
        <w:numPr>
          <w:ilvl w:val="2"/>
          <w:numId w:val="3"/>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F56A3A">
      <w:pPr>
        <w:pStyle w:val="ListParagraph"/>
        <w:keepNext/>
        <w:numPr>
          <w:ilvl w:val="2"/>
          <w:numId w:val="3"/>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F56A3A">
      <w:pPr>
        <w:pStyle w:val="ListParagraph"/>
        <w:keepNext/>
        <w:numPr>
          <w:ilvl w:val="2"/>
          <w:numId w:val="3"/>
        </w:numPr>
        <w:spacing w:after="0"/>
      </w:pPr>
      <w:r>
        <w:lastRenderedPageBreak/>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proofErr w:type="spellStart"/>
      <w:r w:rsidRPr="006B0982">
        <w:t>TeensyIP</w:t>
      </w:r>
      <w:proofErr w:type="spellEnd"/>
      <w:r w:rsidRPr="006B0982">
        <w:t>:</w:t>
      </w:r>
    </w:p>
    <w:p w14:paraId="39E95523" w14:textId="69160267"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proofErr w:type="spellStart"/>
      <w:r w:rsidRPr="006B0982">
        <w:t>TeensyGateway</w:t>
      </w:r>
      <w:proofErr w:type="spellEnd"/>
      <w:r w:rsidRPr="006B0982">
        <w:t>:</w:t>
      </w:r>
    </w:p>
    <w:p w14:paraId="475970BB" w14:textId="278F9CD4"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p>
    <w:p w14:paraId="5840CDD4" w14:textId="4D46A26E" w:rsidR="00A86A43" w:rsidRDefault="00A86A43" w:rsidP="00C56187">
      <w:pPr>
        <w:pStyle w:val="ListParagraph"/>
        <w:keepNext/>
        <w:numPr>
          <w:ilvl w:val="2"/>
          <w:numId w:val="3"/>
        </w:numPr>
        <w:spacing w:after="0"/>
      </w:pPr>
      <w:proofErr w:type="spellStart"/>
      <w:r w:rsidRPr="00A86A43">
        <w:t>TeensyMask</w:t>
      </w:r>
      <w:proofErr w:type="spellEnd"/>
      <w:r w:rsidRPr="00A86A43">
        <w:t>:</w:t>
      </w:r>
    </w:p>
    <w:p w14:paraId="29D23067" w14:textId="6D10C77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lastRenderedPageBreak/>
        <w:t xml:space="preserve">Out </w:t>
      </w:r>
      <w:proofErr w:type="gramStart"/>
      <w:r>
        <w:t>Of</w:t>
      </w:r>
      <w:proofErr w:type="gramEnd"/>
      <w:r>
        <w:t xml:space="preserve">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 xml:space="preserve">Out </w:t>
      </w:r>
      <w:proofErr w:type="gramStart"/>
      <w:r>
        <w:t>Of</w:t>
      </w:r>
      <w:proofErr w:type="gramEnd"/>
      <w:r>
        <w:t xml:space="preserve">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t xml:space="preserve">160 </w:t>
      </w:r>
      <w:proofErr w:type="gramStart"/>
      <w:r w:rsidRPr="00A86A43">
        <w:t>PHONE</w:t>
      </w:r>
      <w:proofErr w:type="gramEnd"/>
      <w:r w:rsidRPr="00A86A43">
        <w:t>:</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w:t>
      </w:r>
      <w:proofErr w:type="gramStart"/>
      <w:r w:rsidRPr="00A86A43">
        <w:t>PHONE</w:t>
      </w:r>
      <w:proofErr w:type="gramEnd"/>
      <w:r w:rsidRPr="00A86A43">
        <w:t>:</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lastRenderedPageBreak/>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0E78E62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lastRenderedPageBreak/>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62C3228D"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be on or off to control the behavior of whatever you have plugged into the key jack</w:t>
      </w:r>
      <w:r w:rsidR="00400CFB">
        <w:t xml:space="preserve"> and will not impact anything hooked up to the accessory connector</w:t>
      </w:r>
      <w:r>
        <w:t>.</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AB708" w14:textId="77777777" w:rsidR="005A30E0" w:rsidRDefault="005A30E0" w:rsidP="006346F6">
      <w:pPr>
        <w:spacing w:after="0" w:line="240" w:lineRule="auto"/>
      </w:pPr>
      <w:r>
        <w:separator/>
      </w:r>
    </w:p>
  </w:endnote>
  <w:endnote w:type="continuationSeparator" w:id="0">
    <w:p w14:paraId="1F1D75FE" w14:textId="77777777" w:rsidR="005A30E0" w:rsidRDefault="005A30E0"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B8B57" w14:textId="77777777" w:rsidR="005A30E0" w:rsidRDefault="005A30E0" w:rsidP="006346F6">
      <w:pPr>
        <w:spacing w:after="0" w:line="240" w:lineRule="auto"/>
      </w:pPr>
      <w:r>
        <w:separator/>
      </w:r>
    </w:p>
  </w:footnote>
  <w:footnote w:type="continuationSeparator" w:id="0">
    <w:p w14:paraId="7AFE1762" w14:textId="77777777" w:rsidR="005A30E0" w:rsidRDefault="005A30E0"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0BB2"/>
    <w:rsid w:val="0009332A"/>
    <w:rsid w:val="000C2184"/>
    <w:rsid w:val="0013754F"/>
    <w:rsid w:val="00156730"/>
    <w:rsid w:val="00157E67"/>
    <w:rsid w:val="00170A74"/>
    <w:rsid w:val="001A1458"/>
    <w:rsid w:val="001B4D26"/>
    <w:rsid w:val="001C5128"/>
    <w:rsid w:val="001D3DE6"/>
    <w:rsid w:val="001E2DCE"/>
    <w:rsid w:val="00220D5F"/>
    <w:rsid w:val="00275FCE"/>
    <w:rsid w:val="002A191D"/>
    <w:rsid w:val="002A4874"/>
    <w:rsid w:val="002C5CC9"/>
    <w:rsid w:val="002E041C"/>
    <w:rsid w:val="0030203B"/>
    <w:rsid w:val="00325B2A"/>
    <w:rsid w:val="00336204"/>
    <w:rsid w:val="00347B17"/>
    <w:rsid w:val="003F63FC"/>
    <w:rsid w:val="00400CFB"/>
    <w:rsid w:val="004123C1"/>
    <w:rsid w:val="00416FAC"/>
    <w:rsid w:val="004249A7"/>
    <w:rsid w:val="00427B6C"/>
    <w:rsid w:val="00442DF7"/>
    <w:rsid w:val="0045709A"/>
    <w:rsid w:val="004A3827"/>
    <w:rsid w:val="004A713A"/>
    <w:rsid w:val="004B7D3E"/>
    <w:rsid w:val="004F4F6D"/>
    <w:rsid w:val="00522737"/>
    <w:rsid w:val="00525680"/>
    <w:rsid w:val="005423E3"/>
    <w:rsid w:val="00544670"/>
    <w:rsid w:val="00554265"/>
    <w:rsid w:val="00561C86"/>
    <w:rsid w:val="0058581A"/>
    <w:rsid w:val="005867D2"/>
    <w:rsid w:val="005910AA"/>
    <w:rsid w:val="005A1238"/>
    <w:rsid w:val="005A30E0"/>
    <w:rsid w:val="005A5DCA"/>
    <w:rsid w:val="005C5585"/>
    <w:rsid w:val="005C754D"/>
    <w:rsid w:val="005D0F4D"/>
    <w:rsid w:val="005E6C8F"/>
    <w:rsid w:val="006153FC"/>
    <w:rsid w:val="006165DF"/>
    <w:rsid w:val="006166A7"/>
    <w:rsid w:val="0062351F"/>
    <w:rsid w:val="006345BC"/>
    <w:rsid w:val="006346F6"/>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1C8E"/>
    <w:rsid w:val="00835B18"/>
    <w:rsid w:val="00836FD2"/>
    <w:rsid w:val="00870B61"/>
    <w:rsid w:val="00881AAD"/>
    <w:rsid w:val="008A34A2"/>
    <w:rsid w:val="008A431C"/>
    <w:rsid w:val="008E10AD"/>
    <w:rsid w:val="008F0EC2"/>
    <w:rsid w:val="00924CDB"/>
    <w:rsid w:val="00942CB0"/>
    <w:rsid w:val="009447A2"/>
    <w:rsid w:val="009679C1"/>
    <w:rsid w:val="00970D90"/>
    <w:rsid w:val="009A2F47"/>
    <w:rsid w:val="009C00E1"/>
    <w:rsid w:val="009E65A0"/>
    <w:rsid w:val="009F5E52"/>
    <w:rsid w:val="00A050C3"/>
    <w:rsid w:val="00A12F2A"/>
    <w:rsid w:val="00A221A9"/>
    <w:rsid w:val="00A22EEC"/>
    <w:rsid w:val="00A506E0"/>
    <w:rsid w:val="00A86A43"/>
    <w:rsid w:val="00A86F9B"/>
    <w:rsid w:val="00AA0468"/>
    <w:rsid w:val="00AB39D3"/>
    <w:rsid w:val="00AB401C"/>
    <w:rsid w:val="00AD7933"/>
    <w:rsid w:val="00AE6C32"/>
    <w:rsid w:val="00AF3771"/>
    <w:rsid w:val="00AF4D55"/>
    <w:rsid w:val="00AF59FD"/>
    <w:rsid w:val="00B15048"/>
    <w:rsid w:val="00B17E7C"/>
    <w:rsid w:val="00B27A8B"/>
    <w:rsid w:val="00B54BE3"/>
    <w:rsid w:val="00B64CCB"/>
    <w:rsid w:val="00B66B26"/>
    <w:rsid w:val="00B73CAE"/>
    <w:rsid w:val="00B927A7"/>
    <w:rsid w:val="00B954D6"/>
    <w:rsid w:val="00BA6570"/>
    <w:rsid w:val="00BB09FB"/>
    <w:rsid w:val="00BE79CE"/>
    <w:rsid w:val="00BF7527"/>
    <w:rsid w:val="00C002FC"/>
    <w:rsid w:val="00C11C6E"/>
    <w:rsid w:val="00C138F8"/>
    <w:rsid w:val="00C13931"/>
    <w:rsid w:val="00C2535F"/>
    <w:rsid w:val="00C25CE5"/>
    <w:rsid w:val="00C37469"/>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163"/>
    <w:rsid w:val="00D04F1E"/>
    <w:rsid w:val="00D2560C"/>
    <w:rsid w:val="00D5774C"/>
    <w:rsid w:val="00D655BE"/>
    <w:rsid w:val="00D86B61"/>
    <w:rsid w:val="00D9468A"/>
    <w:rsid w:val="00DB2C58"/>
    <w:rsid w:val="00DD0790"/>
    <w:rsid w:val="00DE0245"/>
    <w:rsid w:val="00DF5A28"/>
    <w:rsid w:val="00E10981"/>
    <w:rsid w:val="00E10E58"/>
    <w:rsid w:val="00E24257"/>
    <w:rsid w:val="00E73F89"/>
    <w:rsid w:val="00EC4672"/>
    <w:rsid w:val="00ED31BB"/>
    <w:rsid w:val="00EE30E5"/>
    <w:rsid w:val="00EE688B"/>
    <w:rsid w:val="00EF2E1D"/>
    <w:rsid w:val="00EF59B5"/>
    <w:rsid w:val="00F00276"/>
    <w:rsid w:val="00F164E4"/>
    <w:rsid w:val="00F251F6"/>
    <w:rsid w:val="00F431B9"/>
    <w:rsid w:val="00F47F96"/>
    <w:rsid w:val="00F56A3A"/>
    <w:rsid w:val="00FA0CC9"/>
    <w:rsid w:val="00FA3892"/>
    <w:rsid w:val="00FB5E74"/>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19</Pages>
  <Words>4078</Words>
  <Characters>23247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106</cp:revision>
  <dcterms:created xsi:type="dcterms:W3CDTF">2020-12-19T00:54:00Z</dcterms:created>
  <dcterms:modified xsi:type="dcterms:W3CDTF">2021-01-26T21:17:00Z</dcterms:modified>
</cp:coreProperties>
</file>