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23415A"/>
          <w:sz w:val="60"/>
        </w:rPr>
        <w:t>MILO ALTAIR 8800 FPGA</w:t>
      </w:r>
    </w:p>
    <w:p>
      <w:pPr>
        <w:jc w:val="center"/>
      </w:pPr>
      <w:r>
        <w:rPr>
          <w:b/>
          <w:sz w:val="38"/>
        </w:rPr>
        <w:t>Complete Gold Release Manual</w:t>
      </w:r>
    </w:p>
    <w:p>
      <w:pPr>
        <w:jc w:val="center"/>
      </w:pPr>
      <w:r>
        <w:rPr>
          <w:b/>
          <w:color w:val="505A64"/>
          <w:sz w:val="32"/>
        </w:rPr>
        <w:t>Stage 7.5 / WRITE-FIX-3</w:t>
      </w:r>
    </w:p>
    <w:p/>
    <w:p>
      <w:pPr>
        <w:jc w:val="center"/>
      </w:pPr>
      <w:r>
        <w:drawing>
          <wp:inline xmlns:a="http://schemas.openxmlformats.org/drawingml/2006/main" xmlns:pic="http://schemas.openxmlformats.org/drawingml/2006/picture">
            <wp:extent cx="5760720" cy="15093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1509388"/>
                    </a:xfrm>
                    <a:prstGeom prst="rect"/>
                  </pic:spPr>
                </pic:pic>
              </a:graphicData>
            </a:graphic>
          </wp:inline>
        </w:drawing>
      </w:r>
    </w:p>
    <w:p>
      <w:pPr>
        <w:jc w:val="center"/>
      </w:pPr>
      <w:r>
        <w:rPr>
          <w:b/>
        </w:rPr>
        <w:t>Target: Digilent Nexys A7-100T / XC7A100T-1CSG324C</w:t>
        <w:br/>
      </w:r>
      <w:r>
        <w:t>Authentic 8080/CP-M appliance with persistent microSD storage and autonomous QSPI boot</w:t>
        <w:br/>
      </w:r>
      <w:r>
        <w:t>Gold release date: 14 September 2026  |  Manual rebuilt from exact pulled gold files: 19 September 2026</w:t>
      </w:r>
    </w:p>
    <w:p>
      <w:r>
        <w:br w:type="page"/>
      </w:r>
    </w:p>
    <w:p>
      <w:pPr>
        <w:pStyle w:val="Heading1"/>
      </w:pPr>
      <w:r>
        <w:t>Contents</w:t>
      </w:r>
    </w:p>
    <w:p>
      <w:r>
        <w:t>1. Gold release definition</w:t>
      </w:r>
    </w:p>
    <w:p>
      <w:r>
        <w:t>2. Hardware and host requirements</w:t>
      </w:r>
    </w:p>
    <w:p>
      <w:r>
        <w:t>3. System architecture</w:t>
      </w:r>
    </w:p>
    <w:p>
      <w:r>
        <w:t>4. Boot and runtime behavior</w:t>
      </w:r>
    </w:p>
    <w:p>
      <w:r>
        <w:t>5. Front panel and console</w:t>
      </w:r>
    </w:p>
    <w:p>
      <w:r>
        <w:t>6. Memory and I/O map</w:t>
      </w:r>
    </w:p>
    <w:p>
      <w:r>
        <w:t>7. Storage architecture</w:t>
      </w:r>
    </w:p>
    <w:p>
      <w:r>
        <w:t>8. WRITE-FIX-3 deep dive</w:t>
      </w:r>
    </w:p>
    <w:p>
      <w:r>
        <w:t>9. Preparing the microSD card</w:t>
      </w:r>
    </w:p>
    <w:p>
      <w:r>
        <w:t>10. JTAG test and QSPI programming</w:t>
      </w:r>
    </w:p>
    <w:p>
      <w:r>
        <w:t>11. Building from source</w:t>
      </w:r>
    </w:p>
    <w:p>
      <w:r>
        <w:t>12. Gold validation procedure</w:t>
      </w:r>
    </w:p>
    <w:p>
      <w:r>
        <w:t>13. Recovery</w:t>
      </w:r>
    </w:p>
    <w:p>
      <w:r>
        <w:t>14. Troubleshooting</w:t>
      </w:r>
    </w:p>
    <w:p>
      <w:r>
        <w:t>15. GitHub publication and licensing</w:t>
      </w:r>
    </w:p>
    <w:p>
      <w:r>
        <w:t>Appendix A. Nexys A7 pin map</w:t>
      </w:r>
    </w:p>
    <w:p>
      <w:r>
        <w:t>Appendix B. Implementation results</w:t>
      </w:r>
    </w:p>
    <w:p>
      <w:r>
        <w:t>Appendix C. Gold hashes and file layout</w:t>
      </w:r>
    </w:p>
    <w:p>
      <w:r>
        <w:t>This manual is intentionally source-driven. Where older notes disagree with the uploaded gold RTL or binary identity, the gold source and published SHA256 values take precedence.</w:t>
      </w:r>
    </w:p>
    <w:p>
      <w:r>
        <w:br w:type="page"/>
      </w:r>
    </w:p>
    <w:p>
      <w:pPr>
        <w:pStyle w:val="Heading1"/>
      </w:pPr>
      <w:r>
        <w:t>1. Gold release definition</w:t>
      </w:r>
    </w:p>
    <w:p>
      <w:r>
        <w:t>Stage 7.5 / WRITE-FIX-3 is the frozen production build of the MILO Altair 8800 FPGA appliance for the Nexys A7-100T. The release is defined by cryptographic identity rather than by filenames or timestamps.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6"/>
              </w:rPr>
              <w:t>Artifact</w:t>
            </w:r>
          </w:p>
        </w:tc>
        <w:tc>
          <w:tcPr>
            <w:tcW w:type="dxa" w:w="5083"/>
            <w:vAlign w:val="center"/>
          </w:tcPr>
          <w:p>
            <w:r>
              <w:rPr>
                <w:b/>
                <w:sz w:val="16"/>
              </w:rPr>
              <w:t>SHA256</w:t>
            </w:r>
          </w:p>
        </w:tc>
      </w:tr>
      <w:tr>
        <w:tc>
          <w:tcPr>
            <w:tcW w:type="dxa" w:w="5083"/>
            <w:vAlign w:val="center"/>
          </w:tcPr>
          <w:p>
            <w:r>
              <w:rPr>
                <w:sz w:val="16"/>
              </w:rPr>
              <w:t>altair_dcdd_sd.sv</w:t>
            </w:r>
          </w:p>
        </w:tc>
        <w:tc>
          <w:tcPr>
            <w:tcW w:type="dxa" w:w="5083"/>
            <w:vAlign w:val="center"/>
          </w:tcPr>
          <w:p>
            <w:r>
              <w:rPr>
                <w:sz w:val="16"/>
              </w:rPr>
              <w:t>6765a46ece31864903d664d7952efc5c9e5678a16104a5322c85d07bd481fece</w:t>
            </w:r>
          </w:p>
        </w:tc>
      </w:tr>
      <w:tr>
        <w:tc>
          <w:tcPr>
            <w:tcW w:type="dxa" w:w="5083"/>
            <w:vAlign w:val="center"/>
          </w:tcPr>
          <w:p>
            <w:r>
              <w:rPr>
                <w:sz w:val="16"/>
              </w:rPr>
              <w:t>milo-altair8800-stage7-final.bit</w:t>
            </w:r>
          </w:p>
        </w:tc>
        <w:tc>
          <w:tcPr>
            <w:tcW w:type="dxa" w:w="5083"/>
            <w:vAlign w:val="center"/>
          </w:tcPr>
          <w:p>
            <w:r>
              <w:rPr>
                <w:sz w:val="16"/>
              </w:rPr>
              <w:t>68deae429c52cf4711baa7ad417bd6970961beb3d8a0fd33cfeb9b28e52cc828</w:t>
            </w:r>
          </w:p>
        </w:tc>
      </w:tr>
      <w:tr>
        <w:tc>
          <w:tcPr>
            <w:tcW w:type="dxa" w:w="5083"/>
            <w:vAlign w:val="center"/>
          </w:tcPr>
          <w:p>
            <w:r>
              <w:rPr>
                <w:sz w:val="16"/>
              </w:rPr>
              <w:t>milo-altair8800-stage7-final-qspi-x4.mcs</w:t>
            </w:r>
          </w:p>
        </w:tc>
        <w:tc>
          <w:tcPr>
            <w:tcW w:type="dxa" w:w="5083"/>
            <w:vAlign w:val="center"/>
          </w:tcPr>
          <w:p>
            <w:r>
              <w:rPr>
                <w:sz w:val="16"/>
              </w:rPr>
              <w:t>c22c47d6fe426312d4dfd9e2d4916c74cbf9bbe0e39b05958ad3fd59006e3085</w:t>
            </w:r>
          </w:p>
        </w:tc>
      </w:tr>
      <w:tr>
        <w:tc>
          <w:tcPr>
            <w:tcW w:type="dxa" w:w="5083"/>
            <w:vAlign w:val="center"/>
          </w:tcPr>
          <w:p>
            <w:r>
              <w:rPr>
                <w:sz w:val="16"/>
              </w:rPr>
              <w:t>MILO-ALTAIR8800-STAGE7.5-WRITE-FIX-3.img</w:t>
            </w:r>
          </w:p>
        </w:tc>
        <w:tc>
          <w:tcPr>
            <w:tcW w:type="dxa" w:w="5083"/>
            <w:vAlign w:val="center"/>
          </w:tcPr>
          <w:p>
            <w:r>
              <w:rPr>
                <w:sz w:val="16"/>
              </w:rPr>
              <w:t>34abb0d6c387f37304379c562c4abb5d5a563348677ea5aa34e44e5cbe6d42c7</w:t>
            </w:r>
          </w:p>
        </w:tc>
      </w:tr>
    </w:tbl>
    <w:p>
      <w:pPr>
        <w:pStyle w:val="Heading2"/>
      </w:pPr>
      <w:r>
        <w:t>What makes this release gold</w:t>
      </w:r>
    </w:p>
    <w:p>
      <w:pPr>
        <w:pStyle w:val="ListBullet"/>
      </w:pPr>
      <w:r>
        <w:t>Authentic MITS DBL bootstrap path starts at 2 MHz.</w:t>
      </w:r>
    </w:p>
    <w:p>
      <w:pPr>
        <w:pStyle w:val="ListBullet"/>
      </w:pPr>
      <w:r>
        <w:t>Runtime changes to a fixed 8 MHz only after real 88-2SIO transmit activity indicates CP/M is running.</w:t>
      </w:r>
    </w:p>
    <w:p>
      <w:pPr>
        <w:pStyle w:val="ListBullet"/>
      </w:pPr>
      <w:r>
        <w:t>microSD writes are enabled and persistent.</w:t>
      </w:r>
    </w:p>
    <w:p>
      <w:pPr>
        <w:pStyle w:val="ListBullet"/>
      </w:pPr>
      <w:r>
        <w:t>The A: boot region is preflight-read before CPU release; failure is fail-closed.</w:t>
      </w:r>
    </w:p>
    <w:p>
      <w:pPr>
        <w:pStyle w:val="ListBullet"/>
      </w:pPr>
      <w:r>
        <w:t>WRITE-FIX-1/2/3 resolve the CP/M file close/directory persistence path.</w:t>
      </w:r>
    </w:p>
    <w:p>
      <w:pPr>
        <w:pStyle w:val="ListBullet"/>
      </w:pPr>
      <w:r>
        <w:t>The final BIT and SPIx4 MCS were preserved and verified by SHA256 before this manual was generated.</w:t>
      </w:r>
    </w:p>
    <w:p>
      <w:pPr>
        <w:pStyle w:val="Heading2"/>
      </w:pPr>
      <w:r>
        <w:t>Filename correction for the SD image</w:t>
      </w:r>
    </w:p>
    <w:p>
      <w:r>
        <w:t>On MILO, the byte-for-byte gold 80 MiB image was still stored under the older filename MILO-ALTAIR8800-STAGE7.4-MAX-STORAGE.img. Its SHA256 exactly matched the Stage 7.5 gold image identity. This release renames the same bytes to MILO-ALTAIR8800-STAGE7.5-WRITE-FIX-3.img.</w:t>
      </w:r>
    </w:p>
    <w:p>
      <w:pPr>
        <w:pStyle w:val="Heading1"/>
      </w:pPr>
      <w:r>
        <w:t>2. Hardware and host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6"/>
              </w:rPr>
              <w:t>Item</w:t>
            </w:r>
          </w:p>
        </w:tc>
        <w:tc>
          <w:tcPr>
            <w:tcW w:type="dxa" w:w="5083"/>
            <w:vAlign w:val="center"/>
          </w:tcPr>
          <w:p>
            <w:r>
              <w:rPr>
                <w:b/>
                <w:sz w:val="16"/>
              </w:rPr>
              <w:t>Requirement</w:t>
            </w:r>
          </w:p>
        </w:tc>
      </w:tr>
      <w:tr>
        <w:tc>
          <w:tcPr>
            <w:tcW w:type="dxa" w:w="5083"/>
            <w:vAlign w:val="center"/>
          </w:tcPr>
          <w:p>
            <w:r>
              <w:rPr>
                <w:sz w:val="16"/>
              </w:rPr>
              <w:t>FPGA board</w:t>
            </w:r>
          </w:p>
        </w:tc>
        <w:tc>
          <w:tcPr>
            <w:tcW w:type="dxa" w:w="5083"/>
            <w:vAlign w:val="center"/>
          </w:tcPr>
          <w:p>
            <w:r>
              <w:rPr>
                <w:sz w:val="16"/>
              </w:rPr>
              <w:t>Digilent Nexys A7-100T, XC7A100T-1CSG324C</w:t>
            </w:r>
          </w:p>
        </w:tc>
      </w:tr>
      <w:tr>
        <w:tc>
          <w:tcPr>
            <w:tcW w:type="dxa" w:w="5083"/>
            <w:vAlign w:val="center"/>
          </w:tcPr>
          <w:p>
            <w:r>
              <w:rPr>
                <w:sz w:val="16"/>
              </w:rPr>
              <w:t>Storage</w:t>
            </w:r>
          </w:p>
        </w:tc>
        <w:tc>
          <w:tcPr>
            <w:tcW w:type="dxa" w:w="5083"/>
            <w:vAlign w:val="center"/>
          </w:tcPr>
          <w:p>
            <w:r>
              <w:rPr>
                <w:sz w:val="16"/>
              </w:rPr>
              <w:t>microSD card &gt;= 80 MiB; normal modern cards are suitable</w:t>
            </w:r>
          </w:p>
        </w:tc>
      </w:tr>
      <w:tr>
        <w:tc>
          <w:tcPr>
            <w:tcW w:type="dxa" w:w="5083"/>
            <w:vAlign w:val="center"/>
          </w:tcPr>
          <w:p>
            <w:r>
              <w:rPr>
                <w:sz w:val="16"/>
              </w:rPr>
              <w:t>Console</w:t>
            </w:r>
          </w:p>
        </w:tc>
        <w:tc>
          <w:tcPr>
            <w:tcW w:type="dxa" w:w="5083"/>
            <w:vAlign w:val="center"/>
          </w:tcPr>
          <w:p>
            <w:r>
              <w:rPr>
                <w:sz w:val="16"/>
              </w:rPr>
              <w:t>Board USB-UART, 115200 8N1, no flow control</w:t>
            </w:r>
          </w:p>
        </w:tc>
      </w:tr>
      <w:tr>
        <w:tc>
          <w:tcPr>
            <w:tcW w:type="dxa" w:w="5083"/>
            <w:vAlign w:val="center"/>
          </w:tcPr>
          <w:p>
            <w:r>
              <w:rPr>
                <w:sz w:val="16"/>
              </w:rPr>
              <w:t>JTAG/QSPI</w:t>
            </w:r>
          </w:p>
        </w:tc>
        <w:tc>
          <w:tcPr>
            <w:tcW w:type="dxa" w:w="5083"/>
            <w:vAlign w:val="center"/>
          </w:tcPr>
          <w:p>
            <w:r>
              <w:rPr>
                <w:sz w:val="16"/>
              </w:rPr>
              <w:t>Board USB-JTAG connection; S25FL128S configuration flash</w:t>
            </w:r>
          </w:p>
        </w:tc>
      </w:tr>
      <w:tr>
        <w:tc>
          <w:tcPr>
            <w:tcW w:type="dxa" w:w="5083"/>
            <w:vAlign w:val="center"/>
          </w:tcPr>
          <w:p>
            <w:r>
              <w:rPr>
                <w:sz w:val="16"/>
              </w:rPr>
              <w:t>Known build host</w:t>
            </w:r>
          </w:p>
        </w:tc>
        <w:tc>
          <w:tcPr>
            <w:tcW w:type="dxa" w:w="5083"/>
            <w:vAlign w:val="center"/>
          </w:tcPr>
          <w:p>
            <w:r>
              <w:rPr>
                <w:sz w:val="16"/>
              </w:rPr>
              <w:t>Ubuntu 24.04.4 LTS</w:t>
            </w:r>
          </w:p>
        </w:tc>
      </w:tr>
      <w:tr>
        <w:tc>
          <w:tcPr>
            <w:tcW w:type="dxa" w:w="5083"/>
            <w:vAlign w:val="center"/>
          </w:tcPr>
          <w:p>
            <w:r>
              <w:rPr>
                <w:sz w:val="16"/>
              </w:rPr>
              <w:t>Known toolchain</w:t>
            </w:r>
          </w:p>
        </w:tc>
        <w:tc>
          <w:tcPr>
            <w:tcW w:type="dxa" w:w="5083"/>
            <w:vAlign w:val="center"/>
          </w:tcPr>
          <w:p>
            <w:r>
              <w:rPr>
                <w:sz w:val="16"/>
              </w:rPr>
              <w:t>AMD Vivado 2026.1</w:t>
            </w:r>
          </w:p>
        </w:tc>
      </w:tr>
      <w:tr>
        <w:tc>
          <w:tcPr>
            <w:tcW w:type="dxa" w:w="5083"/>
            <w:vAlign w:val="center"/>
          </w:tcPr>
          <w:p>
            <w:r>
              <w:rPr>
                <w:sz w:val="16"/>
              </w:rPr>
              <w:t>Fabric clock</w:t>
            </w:r>
          </w:p>
        </w:tc>
        <w:tc>
          <w:tcPr>
            <w:tcW w:type="dxa" w:w="5083"/>
            <w:vAlign w:val="center"/>
          </w:tcPr>
          <w:p>
            <w:r>
              <w:rPr>
                <w:sz w:val="16"/>
              </w:rPr>
              <w:t>100 MHz board oscillator</w:t>
            </w:r>
          </w:p>
        </w:tc>
      </w:tr>
    </w:tbl>
    <w:p>
      <w:r>
        <w:t>The prebuilt BIT/MCS/SD image do not require a source rebuild. A rebuild is only needed when developing a new version or reproducing the implementation flow.</w:t>
      </w:r>
    </w:p>
    <w:p>
      <w:pPr>
        <w:pStyle w:val="Heading1"/>
      </w:pPr>
      <w:r>
        <w:t>3. System architecture</w:t>
      </w:r>
    </w:p>
    <w:p>
      <w:pPr>
        <w:jc w:val="center"/>
      </w:pPr>
      <w:r>
        <w:drawing>
          <wp:inline xmlns:a="http://schemas.openxmlformats.org/drawingml/2006/main" xmlns:pic="http://schemas.openxmlformats.org/drawingml/2006/picture">
            <wp:extent cx="5943600" cy="155730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1557305"/>
                    </a:xfrm>
                    <a:prstGeom prst="rect"/>
                  </pic:spPr>
                </pic:pic>
              </a:graphicData>
            </a:graphic>
          </wp:inline>
        </w:drawing>
      </w:r>
    </w:p>
    <w:p>
      <w:r>
        <w:t>The 100 MHz board oscillator is the only fabric clock. A phase accumulator generates 8080 phase enables. The vm80a CPU, 64 KB memory, 88-2SIO console, 88-DCDD disk shim, SD block engine, boot controller, and LED presentation logic all run in this synchronous fabric.</w:t>
      </w:r>
    </w:p>
    <w:p>
      <w:pPr>
        <w:pStyle w:val="Heading2"/>
      </w:pPr>
      <w:r>
        <w:t>CPU and clocking</w:t>
      </w:r>
    </w:p>
    <w:p>
      <w:r>
        <w:t>The CPU is the vm80a Intel 8080-compatible core. The gold top-level defines phase steps for nominal 2, 4, 8, 16, and 25 MHz modes, but Stage 7.5 production policy fixes runtime selection to 8 MHz. During DBL bootstrap, effective speed is forcibly 2 MHz regardless of the dormant selection infrastructure.</w:t>
      </w:r>
    </w:p>
    <w:p>
      <w:pPr>
        <w:pStyle w:val="Heading2"/>
      </w:pPr>
      <w:r>
        <w:t>Memory</w:t>
      </w:r>
    </w:p>
    <w:p>
      <w:r>
        <w:t>The design implements 64 KB of FPGA RAM. The initial RAM image is loaded from software/RAM_INIT.mem. CPU writes at FF00h-FFFFh are blocked, preserving the MITS DBL/PROM area.</w:t>
      </w:r>
    </w:p>
    <w:p>
      <w:pPr>
        <w:pStyle w:val="Heading2"/>
      </w:pPr>
      <w:r>
        <w:t>Console</w:t>
      </w:r>
    </w:p>
    <w:p>
      <w:r>
        <w:t>The MITS 88-2SIO-compatible interface occupies ports 10h/11h and drives the Nexys USB-UART at 115200 8N1.</w:t>
      </w:r>
    </w:p>
    <w:p>
      <w:pPr>
        <w:pStyle w:val="Heading2"/>
      </w:pPr>
      <w:r>
        <w:t>Disk path</w:t>
      </w:r>
    </w:p>
    <w:p>
      <w:r>
        <w:t>The MITS 88-DCDD-compatible interface occupies ports 08h/09h/0Ah. Each 137-byte physical Altair sector maps to a 512-byte SD block. SD initialization uses approximately 250 kHz SPI; normal transfers use approximately 12.5 MHz.</w:t>
      </w:r>
    </w:p>
    <w:p>
      <w:pPr>
        <w:pStyle w:val="Heading1"/>
      </w:pPr>
      <w:r>
        <w:t>4. Boot and runtime behavior</w:t>
      </w:r>
    </w:p>
    <w:p>
      <w:pPr>
        <w:jc w:val="center"/>
      </w:pPr>
      <w:r>
        <w:drawing>
          <wp:inline xmlns:a="http://schemas.openxmlformats.org/drawingml/2006/main" xmlns:pic="http://schemas.openxmlformats.org/drawingml/2006/picture">
            <wp:extent cx="5943600" cy="425798"/>
            <wp:docPr id="3" name="Picture 3"/>
            <wp:cNvGraphicFramePr>
              <a:graphicFrameLocks noChangeAspect="1"/>
            </wp:cNvGraphicFramePr>
            <a:graphic>
              <a:graphicData uri="http://schemas.openxmlformats.org/drawingml/2006/picture">
                <pic:pic>
                  <pic:nvPicPr>
                    <pic:cNvPr id="0" name="boot-flow.png"/>
                    <pic:cNvPicPr/>
                  </pic:nvPicPr>
                  <pic:blipFill>
                    <a:blip r:embed="rId12"/>
                    <a:stretch>
                      <a:fillRect/>
                    </a:stretch>
                  </pic:blipFill>
                  <pic:spPr>
                    <a:xfrm>
                      <a:off x="0" y="0"/>
                      <a:ext cx="5943600" cy="425798"/>
                    </a:xfrm>
                    <a:prstGeom prst="rect"/>
                  </pic:spPr>
                </pic:pic>
              </a:graphicData>
            </a:graphic>
          </wp:inline>
        </w:drawing>
      </w:r>
    </w:p>
    <w:p>
      <w:r>
        <w:t>The production boot controller deliberately bypasses the older persistent setup state. LBA 64 remains reserved in the source, and the menu implementation remains present, but the Stage 7.5 active state path forces speed selection 8 MHz, write protection off, and transitions directly into A: preflight.</w:t>
      </w:r>
    </w:p>
    <w:p>
      <w:pPr>
        <w:spacing w:before="60" w:after="100"/>
        <w:ind w:left="360"/>
      </w:pPr>
      <w:r>
        <w:rPr>
          <w:rFonts w:ascii="Liberation Mono" w:hAnsi="Liberation Mono"/>
          <w:sz w:val="16"/>
        </w:rPr>
        <w:t>Firmware : Stage 7.5 / FIXED 8 MHz PRODUCTION</w:t>
        <w:br/>
        <w:t>Console  : MITS 88-2SIO @ 115200 8N1</w:t>
        <w:br/>
        <w:t>Profile  : AUTO BOOT / SD WRITES ENABLED</w:t>
      </w:r>
    </w:p>
    <w:p>
      <w:r>
        <w:t>If SD initialization fails or the A: preflight cannot read LBA 2048, DBL is not released into a blind hang. The controller prints a diagnostic and holds the CPU reset path.</w:t>
      </w:r>
    </w:p>
    <w:p>
      <w:pPr>
        <w:pStyle w:val="Heading1"/>
      </w:pPr>
      <w:r>
        <w:t>5. Front panel and console</w:t>
      </w:r>
    </w:p>
    <w:p>
      <w:pPr>
        <w:pStyle w:val="Heading2"/>
      </w:pPr>
      <w:r>
        <w:t>Address LEDs</w:t>
      </w:r>
    </w:p>
    <w:p>
      <w:r>
        <w:t>The 16 red board LEDs sample the real A0-A15 address bus every 4,000,000 cycles of the 100 MHz fabric clock, producing a 25 Hz human-visible display. The final gold RTL assigns this sampled bus directly to LED[15:0]. It is not inverted.</w:t>
      </w:r>
    </w:p>
    <w:p>
      <w:pPr>
        <w:pStyle w:val="Heading2"/>
      </w:pPr>
      <w:r>
        <w:t>Disk activity</w:t>
      </w:r>
    </w:p>
    <w:p>
      <w:r>
        <w:t>RGB LED16 blue is asserted for roughly 75 ms whenever low-level SD activity or an access to a DCDD port occurs. Red and green channels are held off.</w:t>
      </w:r>
    </w:p>
    <w:p>
      <w:pPr>
        <w:pStyle w:val="Heading2"/>
      </w:pPr>
      <w:r>
        <w:t>Seven-segment display</w:t>
      </w:r>
    </w:p>
    <w:p>
      <w:r>
        <w:t>All segment and anode outputs are driven inactive. The seven-segment display is intentionally dark.</w:t>
      </w:r>
    </w:p>
    <w:p>
      <w:pPr>
        <w:pStyle w:val="Heading2"/>
      </w:pPr>
      <w:r>
        <w:t>Serial terminal</w:t>
      </w:r>
    </w:p>
    <w:p>
      <w:pPr>
        <w:pStyle w:val="ListBullet"/>
      </w:pPr>
      <w:r>
        <w:t>115200 baud</w:t>
      </w:r>
    </w:p>
    <w:p>
      <w:pPr>
        <w:pStyle w:val="ListBullet"/>
      </w:pPr>
      <w:r>
        <w:t>8 data bits</w:t>
      </w:r>
    </w:p>
    <w:p>
      <w:pPr>
        <w:pStyle w:val="ListBullet"/>
      </w:pPr>
      <w:r>
        <w:t>no parity</w:t>
      </w:r>
    </w:p>
    <w:p>
      <w:pPr>
        <w:pStyle w:val="ListBullet"/>
      </w:pPr>
      <w:r>
        <w:t>1 stop bit</w:t>
      </w:r>
    </w:p>
    <w:p>
      <w:pPr>
        <w:pStyle w:val="ListBullet"/>
      </w:pPr>
      <w:r>
        <w:t>no hardware/software flow control</w:t>
      </w:r>
    </w:p>
    <w:p>
      <w:pPr>
        <w:pStyle w:val="Heading1"/>
      </w:pPr>
      <w:r>
        <w:t>6. Memory and I/O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6"/>
              </w:rPr>
              <w:t>Address/Port</w:t>
            </w:r>
          </w:p>
        </w:tc>
        <w:tc>
          <w:tcPr>
            <w:tcW w:type="dxa" w:w="3389"/>
            <w:vAlign w:val="center"/>
          </w:tcPr>
          <w:p>
            <w:r>
              <w:rPr>
                <w:b/>
                <w:sz w:val="16"/>
              </w:rPr>
              <w:t>Function</w:t>
            </w:r>
          </w:p>
        </w:tc>
        <w:tc>
          <w:tcPr>
            <w:tcW w:type="dxa" w:w="3389"/>
            <w:vAlign w:val="center"/>
          </w:tcPr>
          <w:p>
            <w:r>
              <w:rPr>
                <w:b/>
                <w:sz w:val="16"/>
              </w:rPr>
              <w:t>Notes</w:t>
            </w:r>
          </w:p>
        </w:tc>
      </w:tr>
      <w:tr>
        <w:tc>
          <w:tcPr>
            <w:tcW w:type="dxa" w:w="3389"/>
            <w:vAlign w:val="center"/>
          </w:tcPr>
          <w:p>
            <w:r>
              <w:rPr>
                <w:sz w:val="16"/>
              </w:rPr>
              <w:t>0000h-FEFFh</w:t>
            </w:r>
          </w:p>
        </w:tc>
        <w:tc>
          <w:tcPr>
            <w:tcW w:type="dxa" w:w="3389"/>
            <w:vAlign w:val="center"/>
          </w:tcPr>
          <w:p>
            <w:r>
              <w:rPr>
                <w:sz w:val="16"/>
              </w:rPr>
              <w:t>RAM</w:t>
            </w:r>
          </w:p>
        </w:tc>
        <w:tc>
          <w:tcPr>
            <w:tcW w:type="dxa" w:w="3389"/>
            <w:vAlign w:val="center"/>
          </w:tcPr>
          <w:p>
            <w:r>
              <w:rPr>
                <w:sz w:val="16"/>
              </w:rPr>
              <w:t>writable 64 KB memory except protected top page</w:t>
            </w:r>
          </w:p>
        </w:tc>
      </w:tr>
      <w:tr>
        <w:tc>
          <w:tcPr>
            <w:tcW w:type="dxa" w:w="3389"/>
            <w:vAlign w:val="center"/>
          </w:tcPr>
          <w:p>
            <w:r>
              <w:rPr>
                <w:sz w:val="16"/>
              </w:rPr>
              <w:t>FF00h-FFFFh</w:t>
            </w:r>
          </w:p>
        </w:tc>
        <w:tc>
          <w:tcPr>
            <w:tcW w:type="dxa" w:w="3389"/>
            <w:vAlign w:val="center"/>
          </w:tcPr>
          <w:p>
            <w:r>
              <w:rPr>
                <w:sz w:val="16"/>
              </w:rPr>
              <w:t>DBL/PROM region</w:t>
            </w:r>
          </w:p>
        </w:tc>
        <w:tc>
          <w:tcPr>
            <w:tcW w:type="dxa" w:w="3389"/>
            <w:vAlign w:val="center"/>
          </w:tcPr>
          <w:p>
            <w:r>
              <w:rPr>
                <w:sz w:val="16"/>
              </w:rPr>
              <w:t>reads from initialized memory; CPU writes blocked</w:t>
            </w:r>
          </w:p>
        </w:tc>
      </w:tr>
      <w:tr>
        <w:tc>
          <w:tcPr>
            <w:tcW w:type="dxa" w:w="3389"/>
            <w:vAlign w:val="center"/>
          </w:tcPr>
          <w:p>
            <w:r>
              <w:rPr>
                <w:sz w:val="16"/>
              </w:rPr>
              <w:t>08h</w:t>
            </w:r>
          </w:p>
        </w:tc>
        <w:tc>
          <w:tcPr>
            <w:tcW w:type="dxa" w:w="3389"/>
            <w:vAlign w:val="center"/>
          </w:tcPr>
          <w:p>
            <w:r>
              <w:rPr>
                <w:sz w:val="16"/>
              </w:rPr>
              <w:t>DCDD drive select / inverted status</w:t>
            </w:r>
          </w:p>
        </w:tc>
        <w:tc>
          <w:tcPr>
            <w:tcW w:type="dxa" w:w="3389"/>
            <w:vAlign w:val="center"/>
          </w:tcPr>
          <w:p>
            <w:r>
              <w:rPr>
                <w:sz w:val="16"/>
              </w:rPr>
              <w:t>select/disable drive; status read</w:t>
            </w:r>
          </w:p>
        </w:tc>
      </w:tr>
      <w:tr>
        <w:tc>
          <w:tcPr>
            <w:tcW w:type="dxa" w:w="3389"/>
            <w:vAlign w:val="center"/>
          </w:tcPr>
          <w:p>
            <w:r>
              <w:rPr>
                <w:sz w:val="16"/>
              </w:rPr>
              <w:t>09h</w:t>
            </w:r>
          </w:p>
        </w:tc>
        <w:tc>
          <w:tcPr>
            <w:tcW w:type="dxa" w:w="3389"/>
            <w:vAlign w:val="center"/>
          </w:tcPr>
          <w:p>
            <w:r>
              <w:rPr>
                <w:sz w:val="16"/>
              </w:rPr>
              <w:t>DCDD drive control / sector position</w:t>
            </w:r>
          </w:p>
        </w:tc>
        <w:tc>
          <w:tcPr>
            <w:tcW w:type="dxa" w:w="3389"/>
            <w:vAlign w:val="center"/>
          </w:tcPr>
          <w:p>
            <w:r>
              <w:rPr>
                <w:sz w:val="16"/>
              </w:rPr>
              <w:t>STEP, head load/unload, sector timing, write enable</w:t>
            </w:r>
          </w:p>
        </w:tc>
      </w:tr>
      <w:tr>
        <w:tc>
          <w:tcPr>
            <w:tcW w:type="dxa" w:w="3389"/>
            <w:vAlign w:val="center"/>
          </w:tcPr>
          <w:p>
            <w:r>
              <w:rPr>
                <w:sz w:val="16"/>
              </w:rPr>
              <w:t>0Ah</w:t>
            </w:r>
          </w:p>
        </w:tc>
        <w:tc>
          <w:tcPr>
            <w:tcW w:type="dxa" w:w="3389"/>
            <w:vAlign w:val="center"/>
          </w:tcPr>
          <w:p>
            <w:r>
              <w:rPr>
                <w:sz w:val="16"/>
              </w:rPr>
              <w:t>DCDD raw sector data</w:t>
            </w:r>
          </w:p>
        </w:tc>
        <w:tc>
          <w:tcPr>
            <w:tcW w:type="dxa" w:w="3389"/>
            <w:vAlign w:val="center"/>
          </w:tcPr>
          <w:p>
            <w:r>
              <w:rPr>
                <w:sz w:val="16"/>
              </w:rPr>
              <w:t>134/137-byte write behavior by track region</w:t>
            </w:r>
          </w:p>
        </w:tc>
      </w:tr>
      <w:tr>
        <w:tc>
          <w:tcPr>
            <w:tcW w:type="dxa" w:w="3389"/>
            <w:vAlign w:val="center"/>
          </w:tcPr>
          <w:p>
            <w:r>
              <w:rPr>
                <w:sz w:val="16"/>
              </w:rPr>
              <w:t>10h</w:t>
            </w:r>
          </w:p>
        </w:tc>
        <w:tc>
          <w:tcPr>
            <w:tcW w:type="dxa" w:w="3389"/>
            <w:vAlign w:val="center"/>
          </w:tcPr>
          <w:p>
            <w:r>
              <w:rPr>
                <w:sz w:val="16"/>
              </w:rPr>
              <w:t>88-2SIO control/status</w:t>
            </w:r>
          </w:p>
        </w:tc>
        <w:tc>
          <w:tcPr>
            <w:tcW w:type="dxa" w:w="3389"/>
            <w:vAlign w:val="center"/>
          </w:tcPr>
          <w:p>
            <w:r>
              <w:rPr>
                <w:sz w:val="16"/>
              </w:rPr>
              <w:t>receive/transmit status and control</w:t>
            </w:r>
          </w:p>
        </w:tc>
      </w:tr>
      <w:tr>
        <w:tc>
          <w:tcPr>
            <w:tcW w:type="dxa" w:w="3389"/>
            <w:vAlign w:val="center"/>
          </w:tcPr>
          <w:p>
            <w:r>
              <w:rPr>
                <w:sz w:val="16"/>
              </w:rPr>
              <w:t>11h</w:t>
            </w:r>
          </w:p>
        </w:tc>
        <w:tc>
          <w:tcPr>
            <w:tcW w:type="dxa" w:w="3389"/>
            <w:vAlign w:val="center"/>
          </w:tcPr>
          <w:p>
            <w:r>
              <w:rPr>
                <w:sz w:val="16"/>
              </w:rPr>
              <w:t>88-2SIO data</w:t>
            </w:r>
          </w:p>
        </w:tc>
        <w:tc>
          <w:tcPr>
            <w:tcW w:type="dxa" w:w="3389"/>
            <w:vAlign w:val="center"/>
          </w:tcPr>
          <w:p>
            <w:r>
              <w:rPr>
                <w:sz w:val="16"/>
              </w:rPr>
              <w:t>UART data register</w:t>
            </w:r>
          </w:p>
        </w:tc>
      </w:tr>
      <w:tr>
        <w:tc>
          <w:tcPr>
            <w:tcW w:type="dxa" w:w="3389"/>
            <w:vAlign w:val="center"/>
          </w:tcPr>
          <w:p>
            <w:r>
              <w:rPr>
                <w:sz w:val="16"/>
              </w:rPr>
              <w:t>FFh</w:t>
            </w:r>
          </w:p>
        </w:tc>
        <w:tc>
          <w:tcPr>
            <w:tcW w:type="dxa" w:w="3389"/>
            <w:vAlign w:val="center"/>
          </w:tcPr>
          <w:p>
            <w:r>
              <w:rPr>
                <w:sz w:val="16"/>
              </w:rPr>
              <w:t>Sense switch value</w:t>
            </w:r>
          </w:p>
        </w:tc>
        <w:tc>
          <w:tcPr>
            <w:tcW w:type="dxa" w:w="3389"/>
            <w:vAlign w:val="center"/>
          </w:tcPr>
          <w:p>
            <w:r>
              <w:rPr>
                <w:sz w:val="16"/>
              </w:rPr>
              <w:t>gold top-level returns 10h</w:t>
            </w:r>
          </w:p>
        </w:tc>
      </w:tr>
    </w:tbl>
    <w:p>
      <w:pPr>
        <w:pStyle w:val="Heading1"/>
      </w:pPr>
      <w:r>
        <w:t>7. Storage architecture</w:t>
      </w:r>
    </w:p>
    <w:p>
      <w:pPr>
        <w:jc w:val="center"/>
      </w:pPr>
      <w:r>
        <w:drawing>
          <wp:inline xmlns:a="http://schemas.openxmlformats.org/drawingml/2006/main" xmlns:pic="http://schemas.openxmlformats.org/drawingml/2006/picture">
            <wp:extent cx="5760720" cy="1876677"/>
            <wp:docPr id="4" name="Picture 4"/>
            <wp:cNvGraphicFramePr>
              <a:graphicFrameLocks noChangeAspect="1"/>
            </wp:cNvGraphicFramePr>
            <a:graphic>
              <a:graphicData uri="http://schemas.openxmlformats.org/drawingml/2006/picture">
                <pic:pic>
                  <pic:nvPicPr>
                    <pic:cNvPr id="0" name="storage-map.png"/>
                    <pic:cNvPicPr/>
                  </pic:nvPicPr>
                  <pic:blipFill>
                    <a:blip r:embed="rId13"/>
                    <a:stretch>
                      <a:fillRect/>
                    </a:stretch>
                  </pic:blipFill>
                  <pic:spPr>
                    <a:xfrm>
                      <a:off x="0" y="0"/>
                      <a:ext cx="5760720" cy="1876677"/>
                    </a:xfrm>
                    <a:prstGeom prst="rect"/>
                  </pic:spPr>
                </pic:pic>
              </a:graphicData>
            </a:graphic>
          </wp:inline>
        </w:drawing>
      </w:r>
    </w:p>
    <w:p>
      <w:r>
        <w:t>The one-sector-per-LBA mapping consumes more microSD address space than the Altair payload itself, but it avoids packing/unpacking complexity and makes the DCDD emulation deterministic.</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tcPr>
          <w:p>
            <w:r>
              <w:rPr>
                <w:b/>
                <w:sz w:val="16"/>
              </w:rPr>
              <w:t>Drive</w:t>
            </w:r>
          </w:p>
        </w:tc>
        <w:tc>
          <w:tcPr>
            <w:tcW w:type="dxa" w:w="1694"/>
            <w:vAlign w:val="center"/>
          </w:tcPr>
          <w:p>
            <w:r>
              <w:rPr>
                <w:b/>
                <w:sz w:val="16"/>
              </w:rPr>
              <w:t>Base LBA</w:t>
            </w:r>
          </w:p>
        </w:tc>
        <w:tc>
          <w:tcPr>
            <w:tcW w:type="dxa" w:w="1694"/>
            <w:vAlign w:val="center"/>
          </w:tcPr>
          <w:p>
            <w:r>
              <w:rPr>
                <w:b/>
                <w:sz w:val="16"/>
              </w:rPr>
              <w:t>Tracks</w:t>
            </w:r>
          </w:p>
        </w:tc>
        <w:tc>
          <w:tcPr>
            <w:tcW w:type="dxa" w:w="1694"/>
            <w:vAlign w:val="center"/>
          </w:tcPr>
          <w:p>
            <w:r>
              <w:rPr>
                <w:b/>
                <w:sz w:val="16"/>
              </w:rPr>
              <w:t>Sectors/track</w:t>
            </w:r>
          </w:p>
        </w:tc>
        <w:tc>
          <w:tcPr>
            <w:tcW w:type="dxa" w:w="1694"/>
            <w:vAlign w:val="center"/>
          </w:tcPr>
          <w:p>
            <w:r>
              <w:rPr>
                <w:b/>
                <w:sz w:val="16"/>
              </w:rPr>
              <w:t>Altair payload bytes</w:t>
            </w:r>
          </w:p>
        </w:tc>
        <w:tc>
          <w:tcPr>
            <w:tcW w:type="dxa" w:w="1694"/>
            <w:vAlign w:val="center"/>
          </w:tcPr>
          <w:p>
            <w:r>
              <w:rPr>
                <w:b/>
                <w:sz w:val="16"/>
              </w:rPr>
              <w:t>Role</w:t>
            </w:r>
          </w:p>
        </w:tc>
      </w:tr>
      <w:tr>
        <w:tc>
          <w:tcPr>
            <w:tcW w:type="dxa" w:w="1694"/>
            <w:vAlign w:val="center"/>
          </w:tcPr>
          <w:p>
            <w:r>
              <w:rPr>
                <w:sz w:val="16"/>
              </w:rPr>
              <w:t>A:</w:t>
            </w:r>
          </w:p>
        </w:tc>
        <w:tc>
          <w:tcPr>
            <w:tcW w:type="dxa" w:w="1694"/>
            <w:vAlign w:val="center"/>
          </w:tcPr>
          <w:p>
            <w:r>
              <w:rPr>
                <w:sz w:val="16"/>
              </w:rPr>
              <w:t>2048</w:t>
            </w:r>
          </w:p>
        </w:tc>
        <w:tc>
          <w:tcPr>
            <w:tcW w:type="dxa" w:w="1694"/>
            <w:vAlign w:val="center"/>
          </w:tcPr>
          <w:p>
            <w:r>
              <w:rPr>
                <w:sz w:val="16"/>
              </w:rPr>
              <w:t>2048</w:t>
            </w:r>
          </w:p>
        </w:tc>
        <w:tc>
          <w:tcPr>
            <w:tcW w:type="dxa" w:w="1694"/>
            <w:vAlign w:val="center"/>
          </w:tcPr>
          <w:p>
            <w:r>
              <w:rPr>
                <w:sz w:val="16"/>
              </w:rPr>
              <w:t>32</w:t>
            </w:r>
          </w:p>
        </w:tc>
        <w:tc>
          <w:tcPr>
            <w:tcW w:type="dxa" w:w="1694"/>
            <w:vAlign w:val="center"/>
          </w:tcPr>
          <w:p>
            <w:r>
              <w:rPr>
                <w:sz w:val="16"/>
              </w:rPr>
              <w:t>8,978,432</w:t>
            </w:r>
          </w:p>
        </w:tc>
        <w:tc>
          <w:tcPr>
            <w:tcW w:type="dxa" w:w="1694"/>
            <w:vAlign w:val="center"/>
          </w:tcPr>
          <w:p>
            <w:r>
              <w:rPr>
                <w:sz w:val="16"/>
              </w:rPr>
              <w:t>SYSTEM</w:t>
            </w:r>
          </w:p>
        </w:tc>
      </w:tr>
      <w:tr>
        <w:tc>
          <w:tcPr>
            <w:tcW w:type="dxa" w:w="1694"/>
            <w:vAlign w:val="center"/>
          </w:tcPr>
          <w:p>
            <w:r>
              <w:rPr>
                <w:sz w:val="16"/>
              </w:rPr>
              <w:t>B:</w:t>
            </w:r>
          </w:p>
        </w:tc>
        <w:tc>
          <w:tcPr>
            <w:tcW w:type="dxa" w:w="1694"/>
            <w:vAlign w:val="center"/>
          </w:tcPr>
          <w:p>
            <w:r>
              <w:rPr>
                <w:sz w:val="16"/>
              </w:rPr>
              <w:t>67,584</w:t>
            </w:r>
          </w:p>
        </w:tc>
        <w:tc>
          <w:tcPr>
            <w:tcW w:type="dxa" w:w="1694"/>
            <w:vAlign w:val="center"/>
          </w:tcPr>
          <w:p>
            <w:r>
              <w:rPr>
                <w:sz w:val="16"/>
              </w:rPr>
              <w:t>2048</w:t>
            </w:r>
          </w:p>
        </w:tc>
        <w:tc>
          <w:tcPr>
            <w:tcW w:type="dxa" w:w="1694"/>
            <w:vAlign w:val="center"/>
          </w:tcPr>
          <w:p>
            <w:r>
              <w:rPr>
                <w:sz w:val="16"/>
              </w:rPr>
              <w:t>32</w:t>
            </w:r>
          </w:p>
        </w:tc>
        <w:tc>
          <w:tcPr>
            <w:tcW w:type="dxa" w:w="1694"/>
            <w:vAlign w:val="center"/>
          </w:tcPr>
          <w:p>
            <w:r>
              <w:rPr>
                <w:sz w:val="16"/>
              </w:rPr>
              <w:t>8,978,432</w:t>
            </w:r>
          </w:p>
        </w:tc>
        <w:tc>
          <w:tcPr>
            <w:tcW w:type="dxa" w:w="1694"/>
            <w:vAlign w:val="center"/>
          </w:tcPr>
          <w:p>
            <w:r>
              <w:rPr>
                <w:sz w:val="16"/>
              </w:rPr>
              <w:t>PROGRAMMING</w:t>
            </w:r>
          </w:p>
        </w:tc>
      </w:tr>
      <w:tr>
        <w:tc>
          <w:tcPr>
            <w:tcW w:type="dxa" w:w="1694"/>
            <w:vAlign w:val="center"/>
          </w:tcPr>
          <w:p>
            <w:r>
              <w:rPr>
                <w:sz w:val="16"/>
              </w:rPr>
              <w:t>C:</w:t>
            </w:r>
          </w:p>
        </w:tc>
        <w:tc>
          <w:tcPr>
            <w:tcW w:type="dxa" w:w="1694"/>
            <w:vAlign w:val="center"/>
          </w:tcPr>
          <w:p>
            <w:r>
              <w:rPr>
                <w:sz w:val="16"/>
              </w:rPr>
              <w:t>133,120</w:t>
            </w:r>
          </w:p>
        </w:tc>
        <w:tc>
          <w:tcPr>
            <w:tcW w:type="dxa" w:w="1694"/>
            <w:vAlign w:val="center"/>
          </w:tcPr>
          <w:p>
            <w:r>
              <w:rPr>
                <w:sz w:val="16"/>
              </w:rPr>
              <w:t>77</w:t>
            </w:r>
          </w:p>
        </w:tc>
        <w:tc>
          <w:tcPr>
            <w:tcW w:type="dxa" w:w="1694"/>
            <w:vAlign w:val="center"/>
          </w:tcPr>
          <w:p>
            <w:r>
              <w:rPr>
                <w:sz w:val="16"/>
              </w:rPr>
              <w:t>32</w:t>
            </w:r>
          </w:p>
        </w:tc>
        <w:tc>
          <w:tcPr>
            <w:tcW w:type="dxa" w:w="1694"/>
            <w:vAlign w:val="center"/>
          </w:tcPr>
          <w:p>
            <w:r>
              <w:rPr>
                <w:sz w:val="16"/>
              </w:rPr>
              <w:t>337,568</w:t>
            </w:r>
          </w:p>
        </w:tc>
        <w:tc>
          <w:tcPr>
            <w:tcW w:type="dxa" w:w="1694"/>
            <w:vAlign w:val="center"/>
          </w:tcPr>
          <w:p>
            <w:r>
              <w:rPr>
                <w:sz w:val="16"/>
              </w:rPr>
              <w:t>GAMES</w:t>
            </w:r>
          </w:p>
        </w:tc>
      </w:tr>
      <w:tr>
        <w:tc>
          <w:tcPr>
            <w:tcW w:type="dxa" w:w="1694"/>
            <w:vAlign w:val="center"/>
          </w:tcPr>
          <w:p>
            <w:r>
              <w:rPr>
                <w:sz w:val="16"/>
              </w:rPr>
              <w:t>D:</w:t>
            </w:r>
          </w:p>
        </w:tc>
        <w:tc>
          <w:tcPr>
            <w:tcW w:type="dxa" w:w="1694"/>
            <w:vAlign w:val="center"/>
          </w:tcPr>
          <w:p>
            <w:r>
              <w:rPr>
                <w:sz w:val="16"/>
              </w:rPr>
              <w:t>137,216</w:t>
            </w:r>
          </w:p>
        </w:tc>
        <w:tc>
          <w:tcPr>
            <w:tcW w:type="dxa" w:w="1694"/>
            <w:vAlign w:val="center"/>
          </w:tcPr>
          <w:p>
            <w:r>
              <w:rPr>
                <w:sz w:val="16"/>
              </w:rPr>
              <w:t>77</w:t>
            </w:r>
          </w:p>
        </w:tc>
        <w:tc>
          <w:tcPr>
            <w:tcW w:type="dxa" w:w="1694"/>
            <w:vAlign w:val="center"/>
          </w:tcPr>
          <w:p>
            <w:r>
              <w:rPr>
                <w:sz w:val="16"/>
              </w:rPr>
              <w:t>32</w:t>
            </w:r>
          </w:p>
        </w:tc>
        <w:tc>
          <w:tcPr>
            <w:tcW w:type="dxa" w:w="1694"/>
            <w:vAlign w:val="center"/>
          </w:tcPr>
          <w:p>
            <w:r>
              <w:rPr>
                <w:sz w:val="16"/>
              </w:rPr>
              <w:t>337,568</w:t>
            </w:r>
          </w:p>
        </w:tc>
        <w:tc>
          <w:tcPr>
            <w:tcW w:type="dxa" w:w="1694"/>
            <w:vAlign w:val="center"/>
          </w:tcPr>
          <w:p>
            <w:r>
              <w:rPr>
                <w:sz w:val="16"/>
              </w:rPr>
              <w:t>WORK</w:t>
            </w:r>
          </w:p>
        </w:tc>
      </w:tr>
    </w:tbl>
    <w:p>
      <w:r>
        <w:t>System-format tracks 0-5 use the shorter physical write threshold described in WRITE-FIX-3. The controller also keeps embedded boot material in FPGA block RAM for deterministic startup behavior.</w:t>
      </w:r>
    </w:p>
    <w:p>
      <w:pPr>
        <w:pStyle w:val="Heading1"/>
      </w:pPr>
      <w:r>
        <w:t>8. WRITE-FIX-3 deep dive</w:t>
      </w:r>
    </w:p>
    <w:p>
      <w:pPr>
        <w:pStyle w:val="Heading2"/>
      </w:pPr>
      <w:r>
        <w:t>WRITE-FIX-1 - asynchronous SD commit race</w:t>
      </w:r>
    </w:p>
    <w:p>
      <w:r>
        <w:t>CMD24 can still be committing after the emulated 137-byte media transfer is logically finished. The final logic allows safe mechanical commands such as STEP/head operations during that in-flight commit. It blocks only a new write-enable/data phase that would conflict with the busy SD block buffer.</w:t>
      </w:r>
    </w:p>
    <w:p>
      <w:pPr>
        <w:pStyle w:val="Heading2"/>
      </w:pPr>
      <w:r>
        <w:t>WRITE-FIX-2 - writable filesystem region</w:t>
      </w:r>
    </w:p>
    <w:p>
      <w:r>
        <w:t>Earlier variants treated too much of the beginning of A: as immutable. The gold active path restricts embedded boot handling to the actual boot tracks, allowing normal CP/M directory/filesystem writes to reach SD-backed tracks.</w:t>
      </w:r>
    </w:p>
    <w:p>
      <w:pPr>
        <w:pStyle w:val="Heading2"/>
      </w:pPr>
      <w:r>
        <w:t>WRITE-FIX-3 - exact write lengths</w:t>
      </w:r>
    </w:p>
    <w:p>
      <w:pPr>
        <w:spacing w:before="60" w:after="100"/>
        <w:ind w:left="360"/>
      </w:pPr>
      <w:r>
        <w:rPr>
          <w:rFonts w:ascii="Liberation Mono" w:hAnsi="Liberation Mono"/>
          <w:sz w:val="16"/>
        </w:rPr>
        <w:t>write_bytes_expected = (track &lt; 6) ? 134 : 137;</w:t>
      </w:r>
    </w:p>
    <w:p>
      <w:r>
        <w:t>This matches the BIOS behavior on system-format versus normal data tracks. A directory update on a system-format track no longer waits for three bytes that the BIOS never sends, so the SD commit launches and the CP/M CLOSE operation can complete.</w:t>
      </w:r>
    </w:p>
    <w:p>
      <w:pPr>
        <w:pStyle w:val="Heading2"/>
      </w:pPr>
      <w:r>
        <w:t>Why this matters</w:t>
      </w:r>
    </w:p>
    <w:p>
      <w:r>
        <w:t>A raw data path can appear healthy while normal CP/M file semantics still fail. PIP and ED exercise create, write, directory update, close, and subsequent readback; those operations are the meaningful gold validation.</w:t>
      </w:r>
    </w:p>
    <w:p>
      <w:pPr>
        <w:pStyle w:val="Heading1"/>
      </w:pPr>
      <w:r>
        <w:t>9. Preparing the microSD card</w:t>
      </w:r>
    </w:p>
    <w:p>
      <w:r>
        <w:t>The gold image is exactly 80 MiB (83,886,080 bytes). Use the release image whose SHA256 is published in the gold table. Do not rely on an old filename.</w:t>
      </w:r>
    </w:p>
    <w:p>
      <w:pPr>
        <w:spacing w:before="60" w:after="100"/>
        <w:ind w:left="360"/>
      </w:pPr>
      <w:r>
        <w:rPr>
          <w:rFonts w:ascii="Liberation Mono" w:hAnsi="Liberation Mono"/>
          <w:sz w:val="16"/>
        </w:rPr>
        <w:t>sudo ./tools/write-gold-sd.sh /dev/sdX</w:t>
      </w:r>
    </w:p>
    <w:p>
      <w:r>
        <w:t>The new release helper writes exactly 20 x 4 MiB and hashes the complete 80 MiB region back from the device. This supersedes older helper behavior intended for earlier 16 MiB images.</w:t>
      </w:r>
    </w:p>
    <w:p>
      <w:pPr>
        <w:pStyle w:val="Heading2"/>
      </w:pPr>
      <w:r>
        <w:t>Safety rules</w:t>
      </w:r>
    </w:p>
    <w:p>
      <w:pPr>
        <w:pStyle w:val="ListBullet"/>
      </w:pPr>
      <w:r>
        <w:t>Use a whole-disk device, not a partition.</w:t>
      </w:r>
    </w:p>
    <w:p>
      <w:pPr>
        <w:pStyle w:val="ListBullet"/>
      </w:pPr>
      <w:r>
        <w:t>Confirm the model/capacity shown before typing the destructive confirmation.</w:t>
      </w:r>
    </w:p>
    <w:p>
      <w:pPr>
        <w:pStyle w:val="ListBullet"/>
      </w:pPr>
      <w:r>
        <w:t>Never target the running system disk.</w:t>
      </w:r>
    </w:p>
    <w:p>
      <w:pPr>
        <w:pStyle w:val="ListBullet"/>
      </w:pPr>
      <w:r>
        <w:t>Require full-region SHA256 readback before calling the card good.</w:t>
      </w:r>
    </w:p>
    <w:p>
      <w:pPr>
        <w:pStyle w:val="Heading1"/>
      </w:pPr>
      <w:r>
        <w:t>10. JTAG test and QSPI programming</w:t>
      </w:r>
    </w:p>
    <w:p>
      <w:pPr>
        <w:pStyle w:val="Heading2"/>
      </w:pPr>
      <w:r>
        <w:t>JTAG first</w:t>
      </w:r>
    </w:p>
    <w:p>
      <w:r>
        <w:t>Load the gold BIT temporarily and prove the complete boot/write path before touching permanent configuration flash.</w:t>
      </w:r>
    </w:p>
    <w:p>
      <w:pPr>
        <w:spacing w:before="60" w:after="100"/>
        <w:ind w:left="360"/>
      </w:pPr>
      <w:r>
        <w:rPr>
          <w:rFonts w:ascii="Liberation Mono" w:hAnsi="Liberation Mono"/>
          <w:sz w:val="16"/>
        </w:rPr>
        <w:t>./tools/jtag-load-gold.sh</w:t>
      </w:r>
    </w:p>
    <w:p>
      <w:r>
        <w:t>The success marker from the original Tcl flow is STAGE7_JTAG_LOAD=PASS.</w:t>
      </w:r>
    </w:p>
    <w:p>
      <w:pPr>
        <w:pStyle w:val="Heading2"/>
      </w:pPr>
      <w:r>
        <w:t>QSPI programming</w:t>
      </w:r>
    </w:p>
    <w:p>
      <w:pPr>
        <w:spacing w:before="60" w:after="100"/>
        <w:ind w:left="360"/>
      </w:pPr>
      <w:r>
        <w:rPr>
          <w:rFonts w:ascii="Liberation Mono" w:hAnsi="Liberation Mono"/>
          <w:sz w:val="16"/>
        </w:rPr>
        <w:t>./tools/flash-gold-qspi.sh</w:t>
      </w:r>
    </w:p>
    <w:p>
      <w:r>
        <w:t>The original flash script requires exactly one XC7A100T, selects the S25FL128S configuration-memory definition, creates the indirect programming bitstream, and enables erase/program/verify. Do not interrupt the operation; wait for STAGE7_QSPI_FLASH_VERIFY=PASS.</w:t>
      </w:r>
    </w:p>
    <w:p>
      <w:pPr>
        <w:pStyle w:val="Heading1"/>
      </w:pPr>
      <w:r>
        <w:t>11. Building from source</w:t>
      </w:r>
    </w:p>
    <w:p>
      <w:r>
        <w:t>The exact source tree is included, but three $readmemh statements use the original absolute development path /home/milo/fpga/mits-altair8800/software/. For an exact-source reproduction attempt, place the repo at ~/fpga/mits-altair8800 rather than editing those lines.</w:t>
      </w:r>
    </w:p>
    <w:p>
      <w:pPr>
        <w:spacing w:before="60" w:after="100"/>
        <w:ind w:left="360"/>
      </w:pPr>
      <w:r>
        <w:rPr>
          <w:rFonts w:ascii="Liberation Mono" w:hAnsi="Liberation Mono"/>
          <w:sz w:val="16"/>
        </w:rPr>
        <w:t>source /data/fpga/AMD/2026.1/Vivado/settings64.sh</w:t>
        <w:br/>
        <w:t>vivado -mode batch -source stage7/build/build.tcl</w:t>
      </w:r>
    </w:p>
    <w:p>
      <w:r>
        <w:t>The build script fails closed on negative timing slack. A successful rebuild is a candidate, not automatically the historical gold binary. Compare hashes and hardware-validate any changed output.</w:t>
      </w:r>
    </w:p>
    <w:p>
      <w:pPr>
        <w:pStyle w:val="Heading1"/>
      </w:pPr>
      <w:r>
        <w:t>12. Gold validation procedure</w:t>
      </w:r>
    </w:p>
    <w:p>
      <w:r>
        <w:t>1. Run gold hash verification.</w:t>
      </w:r>
    </w:p>
    <w:p>
      <w:r>
        <w:t>2. Write and fully readback-verify the 80 MiB SD image.</w:t>
      </w:r>
    </w:p>
    <w:p>
      <w:r>
        <w:t>3. JTAG-load the gold BIT.</w:t>
      </w:r>
    </w:p>
    <w:p>
      <w:r>
        <w:t>4. Confirm the Stage 7.5 fixed-production UART banner.</w:t>
      </w:r>
    </w:p>
    <w:p>
      <w:r>
        <w:t>5. Confirm boot precheck PASS and authentic 2 MHz DBL start.</w:t>
      </w:r>
    </w:p>
    <w:p>
      <w:r>
        <w:t>6. Confirm CP/M reaches A0&gt; under fixed 8 MHz runtime.</w:t>
      </w:r>
    </w:p>
    <w:p>
      <w:r>
        <w:t>7. Create/close/read a file using PIP.</w:t>
      </w:r>
    </w:p>
    <w:p>
      <w:r>
        <w:t>8. Create/save/read a file using ED.</w:t>
      </w:r>
    </w:p>
    <w:p>
      <w:r>
        <w:t>9. Reset/cold boot and confirm persistence.</w:t>
      </w:r>
    </w:p>
    <w:p>
      <w:r>
        <w:t>10. Program and verify the gold QSPI MCS.</w:t>
      </w:r>
    </w:p>
    <w:p>
      <w:r>
        <w:t>11. Cold boot without JTAG loading and repeat persistence verification.</w:t>
      </w:r>
    </w:p>
    <w:p>
      <w:pPr>
        <w:pStyle w:val="Heading1"/>
      </w:pPr>
      <w:r>
        <w:t>13. Recovery</w:t>
      </w:r>
    </w:p>
    <w:p>
      <w:r>
        <w:t>Recovery should move from least invasive to most invasive. First verify hashes; second rewrite the SD image; third JTAG-load the known-good BIT; only after that should QSPI be reprogrammed. The outer release bundle preserves the original pulled master ZIP unchanged so packaging mistakes cannot destroy the source-of-truth snapshot.</w:t>
      </w:r>
    </w:p>
    <w:p>
      <w:pPr>
        <w:pStyle w:val="Heading1"/>
      </w:pPr>
      <w:r>
        <w:t>14. Troubleshooting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6"/>
              </w:rPr>
              <w:t>Symptom</w:t>
            </w:r>
          </w:p>
        </w:tc>
        <w:tc>
          <w:tcPr>
            <w:tcW w:type="dxa" w:w="5083"/>
            <w:vAlign w:val="center"/>
          </w:tcPr>
          <w:p>
            <w:r>
              <w:rPr>
                <w:b/>
                <w:sz w:val="16"/>
              </w:rPr>
              <w:t>Likely first action</w:t>
            </w:r>
          </w:p>
        </w:tc>
      </w:tr>
      <w:tr>
        <w:tc>
          <w:tcPr>
            <w:tcW w:type="dxa" w:w="5083"/>
            <w:vAlign w:val="center"/>
          </w:tcPr>
          <w:p>
            <w:r>
              <w:rPr>
                <w:sz w:val="16"/>
              </w:rPr>
              <w:t>No banner</w:t>
            </w:r>
          </w:p>
        </w:tc>
        <w:tc>
          <w:tcPr>
            <w:tcW w:type="dxa" w:w="5083"/>
            <w:vAlign w:val="center"/>
          </w:tcPr>
          <w:p>
            <w:r>
              <w:rPr>
                <w:sz w:val="16"/>
              </w:rPr>
              <w:t>Verify UART connection/settings and board reset/power.</w:t>
            </w:r>
          </w:p>
        </w:tc>
      </w:tr>
      <w:tr>
        <w:tc>
          <w:tcPr>
            <w:tcW w:type="dxa" w:w="5083"/>
            <w:vAlign w:val="center"/>
          </w:tcPr>
          <w:p>
            <w:r>
              <w:rPr>
                <w:sz w:val="16"/>
              </w:rPr>
              <w:t>SD init error</w:t>
            </w:r>
          </w:p>
        </w:tc>
        <w:tc>
          <w:tcPr>
            <w:tcW w:type="dxa" w:w="5083"/>
            <w:vAlign w:val="center"/>
          </w:tcPr>
          <w:p>
            <w:r>
              <w:rPr>
                <w:sz w:val="16"/>
              </w:rPr>
              <w:t>Reseat card; rewrite gold image; verify full 80 MiB.</w:t>
            </w:r>
          </w:p>
        </w:tc>
      </w:tr>
      <w:tr>
        <w:tc>
          <w:tcPr>
            <w:tcW w:type="dxa" w:w="5083"/>
            <w:vAlign w:val="center"/>
          </w:tcPr>
          <w:p>
            <w:r>
              <w:rPr>
                <w:sz w:val="16"/>
              </w:rPr>
              <w:t>Boot precheck fails</w:t>
            </w:r>
          </w:p>
        </w:tc>
        <w:tc>
          <w:tcPr>
            <w:tcW w:type="dxa" w:w="5083"/>
            <w:vAlign w:val="center"/>
          </w:tcPr>
          <w:p>
            <w:r>
              <w:rPr>
                <w:sz w:val="16"/>
              </w:rPr>
              <w:t>Verify exact SD hash and readable A: base LBA 2048.</w:t>
            </w:r>
          </w:p>
        </w:tc>
      </w:tr>
      <w:tr>
        <w:tc>
          <w:tcPr>
            <w:tcW w:type="dxa" w:w="5083"/>
            <w:vAlign w:val="center"/>
          </w:tcPr>
          <w:p>
            <w:r>
              <w:rPr>
                <w:sz w:val="16"/>
              </w:rPr>
              <w:t>PIP cannot close file</w:t>
            </w:r>
          </w:p>
        </w:tc>
        <w:tc>
          <w:tcPr>
            <w:tcW w:type="dxa" w:w="5083"/>
            <w:vAlign w:val="center"/>
          </w:tcPr>
          <w:p>
            <w:r>
              <w:rPr>
                <w:sz w:val="16"/>
              </w:rPr>
              <w:t>Verify gold DCDD RTL/BIT/MCS hashes; do not use pre-fix binaries.</w:t>
            </w:r>
          </w:p>
        </w:tc>
      </w:tr>
      <w:tr>
        <w:tc>
          <w:tcPr>
            <w:tcW w:type="dxa" w:w="5083"/>
            <w:vAlign w:val="center"/>
          </w:tcPr>
          <w:p>
            <w:r>
              <w:rPr>
                <w:sz w:val="16"/>
              </w:rPr>
              <w:t>File disappears after reboot</w:t>
            </w:r>
          </w:p>
        </w:tc>
        <w:tc>
          <w:tcPr>
            <w:tcW w:type="dxa" w:w="5083"/>
            <w:vAlign w:val="center"/>
          </w:tcPr>
          <w:p>
            <w:r>
              <w:rPr>
                <w:sz w:val="16"/>
              </w:rPr>
              <w:t>Confirm the card, not a stale image/file, received the write and passed readback.</w:t>
            </w:r>
          </w:p>
        </w:tc>
      </w:tr>
      <w:tr>
        <w:tc>
          <w:tcPr>
            <w:tcW w:type="dxa" w:w="5083"/>
            <w:vAlign w:val="center"/>
          </w:tcPr>
          <w:p>
            <w:r>
              <w:rPr>
                <w:sz w:val="16"/>
              </w:rPr>
              <w:t>JTAG is correct but cold boot is old</w:t>
            </w:r>
          </w:p>
        </w:tc>
        <w:tc>
          <w:tcPr>
            <w:tcW w:type="dxa" w:w="5083"/>
            <w:vAlign w:val="center"/>
          </w:tcPr>
          <w:p>
            <w:r>
              <w:rPr>
                <w:sz w:val="16"/>
              </w:rPr>
              <w:t>QSPI flash was not successfully programmed/verified.</w:t>
            </w:r>
          </w:p>
        </w:tc>
      </w:tr>
      <w:tr>
        <w:tc>
          <w:tcPr>
            <w:tcW w:type="dxa" w:w="5083"/>
            <w:vAlign w:val="center"/>
          </w:tcPr>
          <w:p>
            <w:r>
              <w:rPr>
                <w:sz w:val="16"/>
              </w:rPr>
              <w:t>Rebuild hash differs</w:t>
            </w:r>
          </w:p>
        </w:tc>
        <w:tc>
          <w:tcPr>
            <w:tcW w:type="dxa" w:w="5083"/>
            <w:vAlign w:val="center"/>
          </w:tcPr>
          <w:p>
            <w:r>
              <w:rPr>
                <w:sz w:val="16"/>
              </w:rPr>
              <w:t>Treat output as a new candidate; do not overwrite gold artifacts.</w:t>
            </w:r>
          </w:p>
        </w:tc>
      </w:tr>
    </w:tbl>
    <w:p>
      <w:r>
        <w:t>A field note from the gold validation record: if the address LEDs remain static and a cold boot appears stuck, retry reset/power-cycle before assuming the storage or QSPI must be rewritten.</w:t>
      </w:r>
    </w:p>
    <w:p>
      <w:pPr>
        <w:pStyle w:val="Heading1"/>
      </w:pPr>
      <w:r>
        <w:t>15. GitHub publication and licensing</w:t>
      </w:r>
    </w:p>
    <w:p>
      <w:r>
        <w:t>This release bundle is organized for GitHub, but technical completeness does not settle redistribution rights. The vm80a source explicitly carries CC BY 3.0. Historical CP/M, MITS-style boot media, software images, and derived prebuilt artifacts require provenance review before public redistribution. The repository therefore includes a license notice rather than inventing a blanket license.</w:t>
      </w:r>
    </w:p>
    <w:p>
      <w:pPr>
        <w:pStyle w:val="ListBullet"/>
      </w:pPr>
      <w:r>
        <w:t>Keep the four gold hash identities immutable.</w:t>
      </w:r>
    </w:p>
    <w:p>
      <w:pPr>
        <w:pStyle w:val="ListBullet"/>
      </w:pPr>
      <w:r>
        <w:t>Do not commit the outer Master-Archive automatically to a public repository.</w:t>
      </w:r>
    </w:p>
    <w:p>
      <w:pPr>
        <w:pStyle w:val="ListBullet"/>
      </w:pPr>
      <w:r>
        <w:t>Preserve upstream notices in source files.</w:t>
      </w:r>
    </w:p>
    <w:p>
      <w:pPr>
        <w:pStyle w:val="ListBullet"/>
      </w:pPr>
      <w:r>
        <w:t>Select an explicit license for original MILO project work before inviting external reuse.</w:t>
      </w:r>
    </w:p>
    <w:p>
      <w:pPr>
        <w:pStyle w:val="ListBullet"/>
      </w:pPr>
      <w:r>
        <w:t>If third-party software rights are unresolved, publish HDL/docs separately from software/media.</w:t>
      </w:r>
    </w:p>
    <w:p>
      <w:pPr>
        <w:pStyle w:val="Heading1"/>
      </w:pPr>
      <w:r>
        <w:t>Appendix A. Nexys A7 pin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6"/>
              </w:rPr>
              <w:t>Signal</w:t>
            </w:r>
          </w:p>
        </w:tc>
        <w:tc>
          <w:tcPr>
            <w:tcW w:type="dxa" w:w="3389"/>
            <w:vAlign w:val="center"/>
          </w:tcPr>
          <w:p>
            <w:r>
              <w:rPr>
                <w:b/>
                <w:sz w:val="16"/>
              </w:rPr>
              <w:t>Pin</w:t>
            </w:r>
          </w:p>
        </w:tc>
        <w:tc>
          <w:tcPr>
            <w:tcW w:type="dxa" w:w="3389"/>
            <w:vAlign w:val="center"/>
          </w:tcPr>
          <w:p>
            <w:r>
              <w:rPr>
                <w:b/>
                <w:sz w:val="16"/>
              </w:rPr>
              <w:t>Use</w:t>
            </w:r>
          </w:p>
        </w:tc>
      </w:tr>
      <w:tr>
        <w:tc>
          <w:tcPr>
            <w:tcW w:type="dxa" w:w="3389"/>
            <w:vAlign w:val="center"/>
          </w:tcPr>
          <w:p>
            <w:r>
              <w:rPr>
                <w:sz w:val="16"/>
              </w:rPr>
              <w:t>CLK100MHZ</w:t>
            </w:r>
          </w:p>
        </w:tc>
        <w:tc>
          <w:tcPr>
            <w:tcW w:type="dxa" w:w="3389"/>
            <w:vAlign w:val="center"/>
          </w:tcPr>
          <w:p>
            <w:r>
              <w:rPr>
                <w:sz w:val="16"/>
              </w:rPr>
              <w:t>E3</w:t>
            </w:r>
          </w:p>
        </w:tc>
        <w:tc>
          <w:tcPr>
            <w:tcW w:type="dxa" w:w="3389"/>
            <w:vAlign w:val="center"/>
          </w:tcPr>
          <w:p>
            <w:r>
              <w:rPr>
                <w:sz w:val="16"/>
              </w:rPr>
              <w:t>100 MHz oscillator</w:t>
            </w:r>
          </w:p>
        </w:tc>
      </w:tr>
      <w:tr>
        <w:tc>
          <w:tcPr>
            <w:tcW w:type="dxa" w:w="3389"/>
            <w:vAlign w:val="center"/>
          </w:tcPr>
          <w:p>
            <w:r>
              <w:rPr>
                <w:sz w:val="16"/>
              </w:rPr>
              <w:t>CPU_RESETN</w:t>
            </w:r>
          </w:p>
        </w:tc>
        <w:tc>
          <w:tcPr>
            <w:tcW w:type="dxa" w:w="3389"/>
            <w:vAlign w:val="center"/>
          </w:tcPr>
          <w:p>
            <w:r>
              <w:rPr>
                <w:sz w:val="16"/>
              </w:rPr>
              <w:t>C12</w:t>
            </w:r>
          </w:p>
        </w:tc>
        <w:tc>
          <w:tcPr>
            <w:tcW w:type="dxa" w:w="3389"/>
            <w:vAlign w:val="center"/>
          </w:tcPr>
          <w:p>
            <w:r>
              <w:rPr>
                <w:sz w:val="16"/>
              </w:rPr>
              <w:t>active-low reset</w:t>
            </w:r>
          </w:p>
        </w:tc>
      </w:tr>
      <w:tr>
        <w:tc>
          <w:tcPr>
            <w:tcW w:type="dxa" w:w="3389"/>
            <w:vAlign w:val="center"/>
          </w:tcPr>
          <w:p>
            <w:r>
              <w:rPr>
                <w:sz w:val="16"/>
              </w:rPr>
              <w:t>UART_RXD_OUT</w:t>
            </w:r>
          </w:p>
        </w:tc>
        <w:tc>
          <w:tcPr>
            <w:tcW w:type="dxa" w:w="3389"/>
            <w:vAlign w:val="center"/>
          </w:tcPr>
          <w:p>
            <w:r>
              <w:rPr>
                <w:sz w:val="16"/>
              </w:rPr>
              <w:t>C4</w:t>
            </w:r>
          </w:p>
        </w:tc>
        <w:tc>
          <w:tcPr>
            <w:tcW w:type="dxa" w:w="3389"/>
            <w:vAlign w:val="center"/>
          </w:tcPr>
          <w:p>
            <w:r>
              <w:rPr>
                <w:sz w:val="16"/>
              </w:rPr>
              <w:t>PC -&gt; FPGA</w:t>
            </w:r>
          </w:p>
        </w:tc>
      </w:tr>
      <w:tr>
        <w:tc>
          <w:tcPr>
            <w:tcW w:type="dxa" w:w="3389"/>
            <w:vAlign w:val="center"/>
          </w:tcPr>
          <w:p>
            <w:r>
              <w:rPr>
                <w:sz w:val="16"/>
              </w:rPr>
              <w:t>UART_TXD_IN</w:t>
            </w:r>
          </w:p>
        </w:tc>
        <w:tc>
          <w:tcPr>
            <w:tcW w:type="dxa" w:w="3389"/>
            <w:vAlign w:val="center"/>
          </w:tcPr>
          <w:p>
            <w:r>
              <w:rPr>
                <w:sz w:val="16"/>
              </w:rPr>
              <w:t>D4</w:t>
            </w:r>
          </w:p>
        </w:tc>
        <w:tc>
          <w:tcPr>
            <w:tcW w:type="dxa" w:w="3389"/>
            <w:vAlign w:val="center"/>
          </w:tcPr>
          <w:p>
            <w:r>
              <w:rPr>
                <w:sz w:val="16"/>
              </w:rPr>
              <w:t>FPGA -&gt; PC</w:t>
            </w:r>
          </w:p>
        </w:tc>
      </w:tr>
      <w:tr>
        <w:tc>
          <w:tcPr>
            <w:tcW w:type="dxa" w:w="3389"/>
            <w:vAlign w:val="center"/>
          </w:tcPr>
          <w:p>
            <w:r>
              <w:rPr>
                <w:sz w:val="16"/>
              </w:rPr>
              <w:t>LED[0..15]</w:t>
            </w:r>
          </w:p>
        </w:tc>
        <w:tc>
          <w:tcPr>
            <w:tcW w:type="dxa" w:w="3389"/>
            <w:vAlign w:val="center"/>
          </w:tcPr>
          <w:p>
            <w:r>
              <w:rPr>
                <w:sz w:val="16"/>
              </w:rPr>
              <w:t>H17,K15,J13,N14,R18,V17,U17,U16,V16,T15,U14,T16,V15,V14,V12,V11</w:t>
            </w:r>
          </w:p>
        </w:tc>
        <w:tc>
          <w:tcPr>
            <w:tcW w:type="dxa" w:w="3389"/>
            <w:vAlign w:val="center"/>
          </w:tcPr>
          <w:p>
            <w:r>
              <w:rPr>
                <w:sz w:val="16"/>
              </w:rPr>
              <w:t>sampled A0-A15</w:t>
            </w:r>
          </w:p>
        </w:tc>
      </w:tr>
      <w:tr>
        <w:tc>
          <w:tcPr>
            <w:tcW w:type="dxa" w:w="3389"/>
            <w:vAlign w:val="center"/>
          </w:tcPr>
          <w:p>
            <w:r>
              <w:rPr>
                <w:sz w:val="16"/>
              </w:rPr>
              <w:t>LED16_B</w:t>
            </w:r>
          </w:p>
        </w:tc>
        <w:tc>
          <w:tcPr>
            <w:tcW w:type="dxa" w:w="3389"/>
            <w:vAlign w:val="center"/>
          </w:tcPr>
          <w:p>
            <w:r>
              <w:rPr>
                <w:sz w:val="16"/>
              </w:rPr>
              <w:t>R12</w:t>
            </w:r>
          </w:p>
        </w:tc>
        <w:tc>
          <w:tcPr>
            <w:tcW w:type="dxa" w:w="3389"/>
            <w:vAlign w:val="center"/>
          </w:tcPr>
          <w:p>
            <w:r>
              <w:rPr>
                <w:sz w:val="16"/>
              </w:rPr>
              <w:t>disk activity</w:t>
            </w:r>
          </w:p>
        </w:tc>
      </w:tr>
      <w:tr>
        <w:tc>
          <w:tcPr>
            <w:tcW w:type="dxa" w:w="3389"/>
            <w:vAlign w:val="center"/>
          </w:tcPr>
          <w:p>
            <w:r>
              <w:rPr>
                <w:sz w:val="16"/>
              </w:rPr>
              <w:t>SD_RESET</w:t>
            </w:r>
          </w:p>
        </w:tc>
        <w:tc>
          <w:tcPr>
            <w:tcW w:type="dxa" w:w="3389"/>
            <w:vAlign w:val="center"/>
          </w:tcPr>
          <w:p>
            <w:r>
              <w:rPr>
                <w:sz w:val="16"/>
              </w:rPr>
              <w:t>E2</w:t>
            </w:r>
          </w:p>
        </w:tc>
        <w:tc>
          <w:tcPr>
            <w:tcW w:type="dxa" w:w="3389"/>
            <w:vAlign w:val="center"/>
          </w:tcPr>
          <w:p>
            <w:r>
              <w:rPr>
                <w:sz w:val="16"/>
              </w:rPr>
              <w:t>held low</w:t>
            </w:r>
          </w:p>
        </w:tc>
      </w:tr>
      <w:tr>
        <w:tc>
          <w:tcPr>
            <w:tcW w:type="dxa" w:w="3389"/>
            <w:vAlign w:val="center"/>
          </w:tcPr>
          <w:p>
            <w:r>
              <w:rPr>
                <w:sz w:val="16"/>
              </w:rPr>
              <w:t>SD_CD</w:t>
            </w:r>
          </w:p>
        </w:tc>
        <w:tc>
          <w:tcPr>
            <w:tcW w:type="dxa" w:w="3389"/>
            <w:vAlign w:val="center"/>
          </w:tcPr>
          <w:p>
            <w:r>
              <w:rPr>
                <w:sz w:val="16"/>
              </w:rPr>
              <w:t>A1</w:t>
            </w:r>
          </w:p>
        </w:tc>
        <w:tc>
          <w:tcPr>
            <w:tcW w:type="dxa" w:w="3389"/>
            <w:vAlign w:val="center"/>
          </w:tcPr>
          <w:p>
            <w:r>
              <w:rPr>
                <w:sz w:val="16"/>
              </w:rPr>
              <w:t>card detect</w:t>
            </w:r>
          </w:p>
        </w:tc>
      </w:tr>
      <w:tr>
        <w:tc>
          <w:tcPr>
            <w:tcW w:type="dxa" w:w="3389"/>
            <w:vAlign w:val="center"/>
          </w:tcPr>
          <w:p>
            <w:r>
              <w:rPr>
                <w:sz w:val="16"/>
              </w:rPr>
              <w:t>SD_SCK</w:t>
            </w:r>
          </w:p>
        </w:tc>
        <w:tc>
          <w:tcPr>
            <w:tcW w:type="dxa" w:w="3389"/>
            <w:vAlign w:val="center"/>
          </w:tcPr>
          <w:p>
            <w:r>
              <w:rPr>
                <w:sz w:val="16"/>
              </w:rPr>
              <w:t>B1</w:t>
            </w:r>
          </w:p>
        </w:tc>
        <w:tc>
          <w:tcPr>
            <w:tcW w:type="dxa" w:w="3389"/>
            <w:vAlign w:val="center"/>
          </w:tcPr>
          <w:p>
            <w:r>
              <w:rPr>
                <w:sz w:val="16"/>
              </w:rPr>
              <w:t>SPI SCK</w:t>
            </w:r>
          </w:p>
        </w:tc>
      </w:tr>
      <w:tr>
        <w:tc>
          <w:tcPr>
            <w:tcW w:type="dxa" w:w="3389"/>
            <w:vAlign w:val="center"/>
          </w:tcPr>
          <w:p>
            <w:r>
              <w:rPr>
                <w:sz w:val="16"/>
              </w:rPr>
              <w:t>SD_CMD</w:t>
            </w:r>
          </w:p>
        </w:tc>
        <w:tc>
          <w:tcPr>
            <w:tcW w:type="dxa" w:w="3389"/>
            <w:vAlign w:val="center"/>
          </w:tcPr>
          <w:p>
            <w:r>
              <w:rPr>
                <w:sz w:val="16"/>
              </w:rPr>
              <w:t>C1</w:t>
            </w:r>
          </w:p>
        </w:tc>
        <w:tc>
          <w:tcPr>
            <w:tcW w:type="dxa" w:w="3389"/>
            <w:vAlign w:val="center"/>
          </w:tcPr>
          <w:p>
            <w:r>
              <w:rPr>
                <w:sz w:val="16"/>
              </w:rPr>
              <w:t>SPI MOSI</w:t>
            </w:r>
          </w:p>
        </w:tc>
      </w:tr>
      <w:tr>
        <w:tc>
          <w:tcPr>
            <w:tcW w:type="dxa" w:w="3389"/>
            <w:vAlign w:val="center"/>
          </w:tcPr>
          <w:p>
            <w:r>
              <w:rPr>
                <w:sz w:val="16"/>
              </w:rPr>
              <w:t>SD_DAT0</w:t>
            </w:r>
          </w:p>
        </w:tc>
        <w:tc>
          <w:tcPr>
            <w:tcW w:type="dxa" w:w="3389"/>
            <w:vAlign w:val="center"/>
          </w:tcPr>
          <w:p>
            <w:r>
              <w:rPr>
                <w:sz w:val="16"/>
              </w:rPr>
              <w:t>C2</w:t>
            </w:r>
          </w:p>
        </w:tc>
        <w:tc>
          <w:tcPr>
            <w:tcW w:type="dxa" w:w="3389"/>
            <w:vAlign w:val="center"/>
          </w:tcPr>
          <w:p>
            <w:r>
              <w:rPr>
                <w:sz w:val="16"/>
              </w:rPr>
              <w:t>SPI MISO</w:t>
            </w:r>
          </w:p>
        </w:tc>
      </w:tr>
      <w:tr>
        <w:tc>
          <w:tcPr>
            <w:tcW w:type="dxa" w:w="3389"/>
            <w:vAlign w:val="center"/>
          </w:tcPr>
          <w:p>
            <w:r>
              <w:rPr>
                <w:sz w:val="16"/>
              </w:rPr>
              <w:t>SD_DAT3</w:t>
            </w:r>
          </w:p>
        </w:tc>
        <w:tc>
          <w:tcPr>
            <w:tcW w:type="dxa" w:w="3389"/>
            <w:vAlign w:val="center"/>
          </w:tcPr>
          <w:p>
            <w:r>
              <w:rPr>
                <w:sz w:val="16"/>
              </w:rPr>
              <w:t>D2</w:t>
            </w:r>
          </w:p>
        </w:tc>
        <w:tc>
          <w:tcPr>
            <w:tcW w:type="dxa" w:w="3389"/>
            <w:vAlign w:val="center"/>
          </w:tcPr>
          <w:p>
            <w:r>
              <w:rPr>
                <w:sz w:val="16"/>
              </w:rPr>
              <w:t>SPI CS</w:t>
            </w:r>
          </w:p>
        </w:tc>
      </w:tr>
    </w:tbl>
    <w:p>
      <w:pPr>
        <w:pStyle w:val="Heading1"/>
      </w:pPr>
      <w:r>
        <w:t>Appendix B. Implementation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6"/>
              </w:rPr>
              <w:t>Resource</w:t>
            </w:r>
          </w:p>
        </w:tc>
        <w:tc>
          <w:tcPr>
            <w:tcW w:type="dxa" w:w="2541"/>
            <w:vAlign w:val="center"/>
          </w:tcPr>
          <w:p>
            <w:r>
              <w:rPr>
                <w:b/>
                <w:sz w:val="16"/>
              </w:rPr>
              <w:t>Used</w:t>
            </w:r>
          </w:p>
        </w:tc>
        <w:tc>
          <w:tcPr>
            <w:tcW w:type="dxa" w:w="2541"/>
            <w:vAlign w:val="center"/>
          </w:tcPr>
          <w:p>
            <w:r>
              <w:rPr>
                <w:b/>
                <w:sz w:val="16"/>
              </w:rPr>
              <w:t>Available</w:t>
            </w:r>
          </w:p>
        </w:tc>
        <w:tc>
          <w:tcPr>
            <w:tcW w:type="dxa" w:w="2541"/>
            <w:vAlign w:val="center"/>
          </w:tcPr>
          <w:p>
            <w:r>
              <w:rPr>
                <w:b/>
                <w:sz w:val="16"/>
              </w:rPr>
              <w:t>Utilization</w:t>
            </w:r>
          </w:p>
        </w:tc>
      </w:tr>
      <w:tr>
        <w:tc>
          <w:tcPr>
            <w:tcW w:type="dxa" w:w="2541"/>
            <w:vAlign w:val="center"/>
          </w:tcPr>
          <w:p>
            <w:r>
              <w:rPr>
                <w:sz w:val="16"/>
              </w:rPr>
              <w:t>Slice LUTs</w:t>
            </w:r>
          </w:p>
        </w:tc>
        <w:tc>
          <w:tcPr>
            <w:tcW w:type="dxa" w:w="2541"/>
            <w:vAlign w:val="center"/>
          </w:tcPr>
          <w:p>
            <w:r>
              <w:rPr>
                <w:sz w:val="16"/>
              </w:rPr>
              <w:t>8,436</w:t>
            </w:r>
          </w:p>
        </w:tc>
        <w:tc>
          <w:tcPr>
            <w:tcW w:type="dxa" w:w="2541"/>
            <w:vAlign w:val="center"/>
          </w:tcPr>
          <w:p>
            <w:r>
              <w:rPr>
                <w:sz w:val="16"/>
              </w:rPr>
              <w:t>63,400</w:t>
            </w:r>
          </w:p>
        </w:tc>
        <w:tc>
          <w:tcPr>
            <w:tcW w:type="dxa" w:w="2541"/>
            <w:vAlign w:val="center"/>
          </w:tcPr>
          <w:p>
            <w:r>
              <w:rPr>
                <w:sz w:val="16"/>
              </w:rPr>
              <w:t>13.31%</w:t>
            </w:r>
          </w:p>
        </w:tc>
      </w:tr>
      <w:tr>
        <w:tc>
          <w:tcPr>
            <w:tcW w:type="dxa" w:w="2541"/>
            <w:vAlign w:val="center"/>
          </w:tcPr>
          <w:p>
            <w:r>
              <w:rPr>
                <w:sz w:val="16"/>
              </w:rPr>
              <w:t>Slice registers</w:t>
            </w:r>
          </w:p>
        </w:tc>
        <w:tc>
          <w:tcPr>
            <w:tcW w:type="dxa" w:w="2541"/>
            <w:vAlign w:val="center"/>
          </w:tcPr>
          <w:p>
            <w:r>
              <w:rPr>
                <w:sz w:val="16"/>
              </w:rPr>
              <w:t>5,253</w:t>
            </w:r>
          </w:p>
        </w:tc>
        <w:tc>
          <w:tcPr>
            <w:tcW w:type="dxa" w:w="2541"/>
            <w:vAlign w:val="center"/>
          </w:tcPr>
          <w:p>
            <w:r>
              <w:rPr>
                <w:sz w:val="16"/>
              </w:rPr>
              <w:t>126,800</w:t>
            </w:r>
          </w:p>
        </w:tc>
        <w:tc>
          <w:tcPr>
            <w:tcW w:type="dxa" w:w="2541"/>
            <w:vAlign w:val="center"/>
          </w:tcPr>
          <w:p>
            <w:r>
              <w:rPr>
                <w:sz w:val="16"/>
              </w:rPr>
              <w:t>4.14%</w:t>
            </w:r>
          </w:p>
        </w:tc>
      </w:tr>
      <w:tr>
        <w:tc>
          <w:tcPr>
            <w:tcW w:type="dxa" w:w="2541"/>
            <w:vAlign w:val="center"/>
          </w:tcPr>
          <w:p>
            <w:r>
              <w:rPr>
                <w:sz w:val="16"/>
              </w:rPr>
              <w:t>Block RAM tiles</w:t>
            </w:r>
          </w:p>
        </w:tc>
        <w:tc>
          <w:tcPr>
            <w:tcW w:type="dxa" w:w="2541"/>
            <w:vAlign w:val="center"/>
          </w:tcPr>
          <w:p>
            <w:r>
              <w:rPr>
                <w:sz w:val="16"/>
              </w:rPr>
              <w:t>25</w:t>
            </w:r>
          </w:p>
        </w:tc>
        <w:tc>
          <w:tcPr>
            <w:tcW w:type="dxa" w:w="2541"/>
            <w:vAlign w:val="center"/>
          </w:tcPr>
          <w:p>
            <w:r>
              <w:rPr>
                <w:sz w:val="16"/>
              </w:rPr>
              <w:t>135</w:t>
            </w:r>
          </w:p>
        </w:tc>
        <w:tc>
          <w:tcPr>
            <w:tcW w:type="dxa" w:w="2541"/>
            <w:vAlign w:val="center"/>
          </w:tcPr>
          <w:p>
            <w:r>
              <w:rPr>
                <w:sz w:val="16"/>
              </w:rPr>
              <w:t>18.52%</w:t>
            </w:r>
          </w:p>
        </w:tc>
      </w:tr>
      <w:tr>
        <w:tc>
          <w:tcPr>
            <w:tcW w:type="dxa" w:w="2541"/>
            <w:vAlign w:val="center"/>
          </w:tcPr>
          <w:p>
            <w:r>
              <w:rPr>
                <w:sz w:val="16"/>
              </w:rPr>
              <w:t>DSPs</w:t>
            </w:r>
          </w:p>
        </w:tc>
        <w:tc>
          <w:tcPr>
            <w:tcW w:type="dxa" w:w="2541"/>
            <w:vAlign w:val="center"/>
          </w:tcPr>
          <w:p>
            <w:r>
              <w:rPr>
                <w:sz w:val="16"/>
              </w:rPr>
              <w:t>1</w:t>
            </w:r>
          </w:p>
        </w:tc>
        <w:tc>
          <w:tcPr>
            <w:tcW w:type="dxa" w:w="2541"/>
            <w:vAlign w:val="center"/>
          </w:tcPr>
          <w:p>
            <w:r>
              <w:rPr>
                <w:sz w:val="16"/>
              </w:rPr>
              <w:t>240</w:t>
            </w:r>
          </w:p>
        </w:tc>
        <w:tc>
          <w:tcPr>
            <w:tcW w:type="dxa" w:w="2541"/>
            <w:vAlign w:val="center"/>
          </w:tcPr>
          <w:p>
            <w:r>
              <w:rPr>
                <w:sz w:val="16"/>
              </w:rPr>
              <w:t>0.42%</w:t>
            </w:r>
          </w:p>
        </w:tc>
      </w:tr>
      <w:tr>
        <w:tc>
          <w:tcPr>
            <w:tcW w:type="dxa" w:w="2541"/>
            <w:vAlign w:val="center"/>
          </w:tcPr>
          <w:p>
            <w:r>
              <w:rPr>
                <w:sz w:val="16"/>
              </w:rPr>
              <w:t>Bonded I/O</w:t>
            </w:r>
          </w:p>
        </w:tc>
        <w:tc>
          <w:tcPr>
            <w:tcW w:type="dxa" w:w="2541"/>
            <w:vAlign w:val="center"/>
          </w:tcPr>
          <w:p>
            <w:r>
              <w:rPr>
                <w:sz w:val="16"/>
              </w:rPr>
              <w:t>46</w:t>
            </w:r>
          </w:p>
        </w:tc>
        <w:tc>
          <w:tcPr>
            <w:tcW w:type="dxa" w:w="2541"/>
            <w:vAlign w:val="center"/>
          </w:tcPr>
          <w:p>
            <w:r>
              <w:rPr>
                <w:sz w:val="16"/>
              </w:rPr>
              <w:t>210</w:t>
            </w:r>
          </w:p>
        </w:tc>
        <w:tc>
          <w:tcPr>
            <w:tcW w:type="dxa" w:w="2541"/>
            <w:vAlign w:val="center"/>
          </w:tcPr>
          <w:p>
            <w:r>
              <w:rPr>
                <w:sz w:val="16"/>
              </w:rPr>
              <w:t>21.90%</w:t>
            </w:r>
          </w:p>
        </w:tc>
      </w:tr>
      <w:tr>
        <w:tc>
          <w:tcPr>
            <w:tcW w:type="dxa" w:w="2541"/>
            <w:vAlign w:val="center"/>
          </w:tcPr>
          <w:p>
            <w:r>
              <w:rPr>
                <w:sz w:val="16"/>
              </w:rPr>
              <w:t>BUFGCTRL</w:t>
            </w:r>
          </w:p>
        </w:tc>
        <w:tc>
          <w:tcPr>
            <w:tcW w:type="dxa" w:w="2541"/>
            <w:vAlign w:val="center"/>
          </w:tcPr>
          <w:p>
            <w:r>
              <w:rPr>
                <w:sz w:val="16"/>
              </w:rPr>
              <w:t>1</w:t>
            </w:r>
          </w:p>
        </w:tc>
        <w:tc>
          <w:tcPr>
            <w:tcW w:type="dxa" w:w="2541"/>
            <w:vAlign w:val="center"/>
          </w:tcPr>
          <w:p>
            <w:r>
              <w:rPr>
                <w:sz w:val="16"/>
              </w:rPr>
              <w:t>32</w:t>
            </w:r>
          </w:p>
        </w:tc>
        <w:tc>
          <w:tcPr>
            <w:tcW w:type="dxa" w:w="2541"/>
            <w:vAlign w:val="center"/>
          </w:tcPr>
          <w:p>
            <w:r>
              <w:rPr>
                <w:sz w:val="16"/>
              </w:rPr>
              <w:t>3.13%</w:t>
            </w:r>
          </w:p>
        </w:tc>
      </w:tr>
    </w:tbl>
    <w:p>
      <w:r>
        <w:t>Routed timing summary: 100.000 MHz system clock, WNS +0.406 ns, TNS 0.000 ns, zero failing endpoints. All user-specified timing constraints are reported as met.</w:t>
      </w:r>
    </w:p>
    <w:p>
      <w:r>
        <w:t>The DRC report contains warnings rather than errors, including missing CFGBVS/CONFIG_VOLTAGE properties, DSP pipelining suggestions, and incomplete bidirectional buffering warnings on SD_DAT. These warnings are preserved in reports/stage7-drc.txt and did not prevent the validated gold implementation.</w:t>
      </w:r>
    </w:p>
    <w:p>
      <w:pPr>
        <w:pStyle w:val="Heading1"/>
      </w:pPr>
      <w:r>
        <w:t>Appendix C. Gold hashes and file layout</w:t>
      </w:r>
    </w:p>
    <w:p>
      <w:pPr>
        <w:spacing w:before="60" w:after="100"/>
        <w:ind w:left="360"/>
      </w:pPr>
      <w:r>
        <w:rPr>
          <w:rFonts w:ascii="Liberation Mono" w:hAnsi="Liberation Mono"/>
          <w:sz w:val="16"/>
        </w:rPr>
        <w:t>6765a46ece31864903d664d7952efc5c9e5678a16104a5322c85d07bd481fece  stage7/src/altair_dcdd_sd.sv</w:t>
        <w:br/>
        <w:t>68deae429c52cf4711baa7ad417bd6970961beb3d8a0fd33cfeb9b28e52cc828  release/milo-altair8800-stage7-final.bit</w:t>
        <w:br/>
        <w:t>c22c47d6fe426312d4dfd9e2d4916c74cbf9bbe0e39b05958ad3fd59006e3085  release/milo-altair8800-stage7-final-qspi-x4.mcs</w:t>
        <w:br/>
        <w:t>34abb0d6c387f37304379c562c4abb5d5a563348677ea5aa34e44e5cbe6d42c7  release/MILO-ALTAIR8800-STAGE7.5-WRITE-FIX-3.img</w:t>
        <w:br/>
      </w:r>
    </w:p>
    <w:p>
      <w:r>
        <w:t>Key repository directories:</w:t>
      </w:r>
    </w:p>
    <w:p>
      <w:pPr>
        <w:pStyle w:val="ListBullet"/>
      </w:pPr>
      <w:r>
        <w:t>stage7/src - exact active gold RTL and XDC only.</w:t>
      </w:r>
    </w:p>
    <w:p>
      <w:pPr>
        <w:pStyle w:val="ListBullet"/>
      </w:pPr>
      <w:r>
        <w:t>stage7/build - original Vivado build/JTAG/QSPI Tcl scripts.</w:t>
      </w:r>
    </w:p>
    <w:p>
      <w:pPr>
        <w:pStyle w:val="ListBullet"/>
      </w:pPr>
      <w:r>
        <w:t>software - exact memory-init inputs required by active RTL plus authentic DBL reference files.</w:t>
      </w:r>
    </w:p>
    <w:p>
      <w:pPr>
        <w:pStyle w:val="ListBullet"/>
      </w:pPr>
      <w:r>
        <w:t>release - gold BIT, SPIx4 MCS, and 80 MiB SD image.</w:t>
      </w:r>
    </w:p>
    <w:p>
      <w:pPr>
        <w:pStyle w:val="ListBullet"/>
      </w:pPr>
      <w:r>
        <w:t>reports - original routed timing, DRC, and utilization reports.</w:t>
      </w:r>
    </w:p>
    <w:p>
      <w:pPr>
        <w:pStyle w:val="ListBullet"/>
      </w:pPr>
      <w:r>
        <w:t>tools - safer release verification/write/program wrappers.</w:t>
      </w:r>
    </w:p>
    <w:p>
      <w:pPr>
        <w:pStyle w:val="ListBullet"/>
      </w:pPr>
      <w:r>
        <w:t>provenance - original pull environment/manifests.</w:t>
      </w:r>
    </w:p>
    <w:p>
      <w:pPr>
        <w:pStyle w:val="ListBullet"/>
      </w:pPr>
      <w:r>
        <w:t>docs - this manual and focused reference guides.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Gold Release Manual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MILO Altair 8800 FPGA - Stage 7.5 / WRITE-FIX-3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