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基于边际置信度加权的抗隐性遗忘自知识蒸馏</w:t>
      </w:r>
    </w:p>
    <w:p>
      <w:pPr>
        <w:jc w:val="center"/>
      </w:pPr>
      <w:r>
        <w:rPr>
          <w:rFonts w:ascii="Times New Roman" w:hAnsi="Times New Roman" w:eastAsia="宋体"/>
          <w:i/>
          <w:color w:val="666666"/>
          <w:sz w:val="28"/>
        </w:rPr>
        <w:t>—— 方法推导与实现 ——</w:t>
      </w:r>
    </w:p>
    <w:p/>
    <w:p>
      <w:pPr>
        <w:pStyle w:val="Heading1"/>
      </w:pPr>
      <w:r>
        <w:t>1. 问题动机与方法概述</w:t>
      </w:r>
    </w:p>
    <w:p>
      <w:pPr>
        <w:pStyle w:val="Heading2"/>
      </w:pPr>
      <w:r>
        <w:t>1.1 隐性遗忘：一个被忽视的根本问题</w:t>
      </w:r>
    </w:p>
    <w:p>
      <w:pPr>
        <w:ind w:firstLine="420"/>
      </w:pPr>
      <w:r>
        <w:rPr>
          <w:rFonts w:ascii="Times New Roman" w:hAnsi="Times New Roman" w:eastAsia="宋体"/>
          <w:sz w:val="22"/>
        </w:rPr>
        <w:t>自知识蒸馏（Self-Knowledge Distillation, SKD）通过将模型上一轮训练的预测分布 p_old 作为"历史教师"来指导当前轮次的学习，已在多项工作中展现出显著的性能增益。然而，现有研究对 SKD 中的遗忘现象仅关注了最浅层的一面——即当 p_old 分错类时，错误信号会代际传播导致"显性遗忘"。</w:t>
      </w:r>
    </w:p>
    <w:p>
      <w:pPr>
        <w:ind w:firstLine="420"/>
      </w:pPr>
      <w:r>
        <w:rPr>
          <w:rFonts w:ascii="Times New Roman" w:hAnsi="Times New Roman" w:eastAsia="黑体"/>
          <w:b/>
          <w:sz w:val="22"/>
        </w:rPr>
        <w:t>本文揭示了一个更深层、但鲜有文献针对性建模的问题</w:t>
      </w:r>
      <w:r>
        <w:rPr>
          <w:rFonts w:ascii="Times New Roman" w:hAnsi="Times New Roman" w:eastAsia="宋体"/>
          <w:sz w:val="22"/>
        </w:rPr>
        <w:t>：即使在单一任务的常规迭代训练中，模型对同一批样本的判别置信度亦存在显著的非单调退化现象。具体而言，模型虽在后续轮次中仍保持分类正确（即 argmax p_new = y_i），但其决策边界已从高置信度区（如 p(y_i) &gt; 0.9）滑向模糊区（如 p(y_i) ≈ 0.3）。这种"隐性遗忘"（Implicit Forgetting）——分类正确但置信度持续衰退——是导致模型鲁棒性下降的潜在核心诱因，但在 SKD 文献中几乎未被触及。</w:t>
      </w:r>
    </w:p>
    <w:p>
      <w:pPr>
        <w:pStyle w:val="Heading2"/>
      </w:pPr>
      <w:r>
        <w:t>1.2 方法设计哲学</w:t>
      </w:r>
    </w:p>
    <w:p>
      <w:pPr>
        <w:ind w:firstLine="420"/>
      </w:pPr>
      <w:r>
        <w:rPr>
          <w:rFonts w:ascii="Times New Roman" w:hAnsi="Times New Roman" w:eastAsia="宋体"/>
          <w:sz w:val="22"/>
        </w:rPr>
        <w:t>针对上述问题，本文提出一种基于边际置信度加权的抗隐性遗忘自知识蒸馏方法（Margin-Confidence Weighted Anti-Forgetting SKD, MCW-AF-SKD）。其核心设计包含三个层面：</w:t>
      </w:r>
    </w:p>
    <w:p>
      <w:pPr>
        <w:ind w:firstLine="420"/>
      </w:pPr>
      <w:r>
        <w:rPr>
          <w:rFonts w:ascii="Times New Roman" w:hAnsi="Times New Roman" w:eastAsia="黑体"/>
          <w:b/>
          <w:sz w:val="22"/>
        </w:rPr>
        <w:t>（1）"抽奖机制"（Lottery Mechanism）——错误知识的果断放弃。</w:t>
      </w:r>
      <w:r>
        <w:rPr>
          <w:rFonts w:ascii="Times New Roman" w:hAnsi="Times New Roman" w:eastAsia="宋体"/>
          <w:sz w:val="22"/>
        </w:rPr>
        <w:t>对于历史教师明显分错的样本（边际置信度 m_i ≤ 0），本方法完全放弃施加任何知识蒸馏约束，令模型通过标准交叉熵像随机抽奖一样重新探索正确的分类边界。这保证了"错误不被固化"。</w:t>
      </w:r>
    </w:p>
    <w:p>
      <w:pPr>
        <w:ind w:firstLine="420"/>
      </w:pPr>
      <w:r>
        <w:rPr>
          <w:rFonts w:ascii="Times New Roman" w:hAnsi="Times New Roman" w:eastAsia="黑体"/>
          <w:b/>
          <w:sz w:val="22"/>
        </w:rPr>
        <w:t>（2）"指数型动态权重"（Exponential Dynamic Weighting）——正确知识的差异化保护。</w:t>
      </w:r>
      <w:r>
        <w:rPr>
          <w:rFonts w:ascii="Times New Roman" w:hAnsi="Times New Roman" w:eastAsia="宋体"/>
          <w:sz w:val="22"/>
        </w:rPr>
        <w:t>对于历史教师分对的样本，核心挑战在于区分"坚定正确的知识"和"正在退化的知识"：高置信度样本（m_i 大，如 0.85）代表模型从底层特征中找到了决定性差异——这一类分类方法应当被强力锁定；低置信度样本（m_i 小，如 0.05）虽仍正确，但已处于退化边缘——过度保护反而会固化一个已经模糊的边界。因此，我们采用指数型权重 w_i = exp(α·(m_i-τ))，使得边际置信度的微小差异在高置信度区被放大为显著的约束强度差异，精准狙击隐性遗忘。</w:t>
      </w:r>
    </w:p>
    <w:p>
      <w:pPr>
        <w:ind w:firstLine="420"/>
      </w:pPr>
      <w:r>
        <w:rPr>
          <w:rFonts w:ascii="Times New Roman" w:hAnsi="Times New Roman" w:eastAsia="黑体"/>
          <w:b/>
          <w:sz w:val="22"/>
        </w:rPr>
        <w:t>（3）"前向 KL 锚定"（Forward KL Anchoring）——高概率区域的强制继承。</w:t>
      </w:r>
      <w:r>
        <w:rPr>
          <w:rFonts w:ascii="Times New Roman" w:hAnsi="Times New Roman" w:eastAsia="宋体"/>
          <w:sz w:val="22"/>
        </w:rPr>
        <w:t>采用前向 KL 散度 KL(p_old || p_new)，要求新分布必须覆盖旧分布的所有高概率区域。这一选择的物理直觉是：正确的分类方法表现为旧分布中某个类别概率显著突出——前向 KL 确保这一突出在新分布中得以保持，从而防止决策边界在高置信度区发生漂移。</w:t>
      </w:r>
    </w:p>
    <w:p>
      <w:pPr>
        <w:ind w:firstLine="420"/>
      </w:pPr>
      <w:r>
        <w:rPr>
          <w:rFonts w:ascii="Times New Roman" w:hAnsi="Times New Roman" w:eastAsia="宋体"/>
          <w:sz w:val="22"/>
        </w:rPr>
        <w:t>本方法与弹性权重巩固（EWC, Kirkpatrick et al., PNAS 2017）共享"识别重要知识→差异化保护"的逻辑框架。二者的根本区别在于：EWC 在参数空间通过 Fisher 信息矩阵衡量参数重要性，而本方法在输出分布空间通过边际置信度衡量知识可靠性。后者完全避免了 Fisher 信息的计算开销（无需额外前向-反向传播）与存储需求（无需维护参数级重要性矩阵），且天然复用 SKD 已有的历史预测缓存。</w:t>
      </w:r>
    </w:p>
    <w:p>
      <w:pPr>
        <w:pStyle w:val="Heading1"/>
      </w:pPr>
      <w:r>
        <w:t>2. 数学推导</w:t>
      </w:r>
    </w:p>
    <w:p>
      <w:pPr>
        <w:pStyle w:val="Heading2"/>
      </w:pPr>
      <w:r>
        <w:t>2.1 问题形式化</w:t>
      </w:r>
    </w:p>
    <w:p>
      <w:pPr>
        <w:ind w:firstLine="420"/>
      </w:pPr>
      <w:r>
        <w:rPr>
          <w:rFonts w:ascii="Times New Roman" w:hAnsi="Times New Roman" w:eastAsia="宋体"/>
          <w:sz w:val="22"/>
        </w:rPr>
        <w:t>设训练数据集 D = {(x_i, y_i)} (i = 1..N)，其中 y_i ∈ {1, 2, ..., C} 为真实标签。模型 f_θ: X → R^C 输出 logits，经 softmax 归一化后得到类别概率分布：</w:t>
      </w:r>
    </w:p>
    <w:p>
      <w:pPr>
        <w:spacing w:before="120" w:after="120"/>
        <w:jc w:val="center"/>
      </w:pPr>
      <w:r>
        <w:rPr>
          <w:rFonts w:ascii="Times New Roman" w:hAnsi="Times New Roman"/>
          <w:i/>
          <w:sz w:val="24"/>
        </w:rPr>
        <w:t>p_new^(i) = softmax(f_θ(x_i)) ∈ [0,1]^C,   Σ_{c=1}^C p_new^(i)(c) = 1</w:t>
      </w:r>
    </w:p>
    <w:p>
      <w:pPr>
        <w:ind w:firstLine="420"/>
      </w:pPr>
      <w:r>
        <w:rPr>
          <w:rFonts w:ascii="Times New Roman" w:hAnsi="Times New Roman" w:eastAsia="宋体"/>
          <w:sz w:val="22"/>
        </w:rPr>
        <w:t>记上一轮训练结束时的模型参数为 θ_old，对应的输出分布（历史教师）为：</w:t>
      </w:r>
    </w:p>
    <w:p>
      <w:pPr>
        <w:spacing w:before="120" w:after="120"/>
        <w:jc w:val="center"/>
      </w:pPr>
      <w:r>
        <w:rPr>
          <w:rFonts w:ascii="Times New Roman" w:hAnsi="Times New Roman"/>
          <w:i/>
          <w:sz w:val="24"/>
        </w:rPr>
        <w:t>p_old^(i) = softmax(f_{θ_old}(x_i))</w:t>
      </w:r>
    </w:p>
    <w:p>
      <w:pPr>
        <w:ind w:firstLine="420"/>
      </w:pPr>
      <w:r>
        <w:rPr>
          <w:rFonts w:ascii="Times New Roman" w:hAnsi="Times New Roman" w:eastAsia="宋体"/>
          <w:sz w:val="22"/>
        </w:rPr>
        <w:t>标准 SKD 的总损失函数为：</w:t>
      </w:r>
    </w:p>
    <w:p>
      <w:pPr>
        <w:spacing w:before="120" w:after="120"/>
        <w:jc w:val="center"/>
      </w:pPr>
      <w:r>
        <w:rPr>
          <w:rFonts w:ascii="Times New Roman" w:hAnsi="Times New Roman"/>
          <w:i/>
          <w:sz w:val="24"/>
        </w:rPr>
        <w:t>L_SKD = L_CE(p_new^(i), y_i) + α_t · KL(p_old^(i) || p_new^(i))</w:t>
      </w:r>
    </w:p>
    <w:p>
      <w:pPr>
        <w:ind w:firstLine="420"/>
      </w:pPr>
      <w:r>
        <w:rPr>
          <w:rFonts w:ascii="Times New Roman" w:hAnsi="Times New Roman" w:eastAsia="宋体"/>
          <w:sz w:val="22"/>
        </w:rPr>
        <w:t>其中 α_t 为随时间衰减的统一权重。关键问题：当 p_old^(i) 为错误分布时，KL(p_old || p_new) 的梯度会将 p_new 推向错误方向，造成遗忘。</w:t>
      </w:r>
    </w:p>
    <w:p>
      <w:pPr>
        <w:pStyle w:val="Heading2"/>
      </w:pPr>
      <w:r>
        <w:t>2.2 边际置信度：识别"可靠知识"与"噪声"</w:t>
      </w:r>
    </w:p>
    <w:p>
      <w:pPr>
        <w:ind w:firstLine="420"/>
      </w:pPr>
      <w:r>
        <w:rPr>
          <w:rFonts w:ascii="Times New Roman" w:hAnsi="Times New Roman" w:eastAsia="宋体"/>
          <w:sz w:val="22"/>
        </w:rPr>
        <w:t>为区分上一轮预测的可靠性，定义边际置信度（Margin Confidence）：</w:t>
      </w:r>
    </w:p>
    <w:p>
      <w:pPr>
        <w:spacing w:before="160" w:after="80"/>
        <w:jc w:val="center"/>
      </w:pPr>
      <w:r>
        <w:rPr>
          <w:rFonts w:ascii="Times New Roman" w:hAnsi="Times New Roman"/>
          <w:i/>
          <w:sz w:val="24"/>
        </w:rPr>
        <w:t>m_i = p_old^(i)(y_i) − max_{c≠y_i} p_old^(i)(c)</w:t>
      </w:r>
      <w:r>
        <w:rPr>
          <w:rFonts w:ascii="Times New Roman" w:hAnsi="Times New Roman"/>
          <w:i w:val="0"/>
          <w:sz w:val="24"/>
        </w:rPr>
        <w:t xml:space="preserve">    (1)</w:t>
      </w:r>
    </w:p>
    <w:p>
      <w:pPr>
        <w:ind w:firstLine="420"/>
      </w:pPr>
      <w:r>
        <w:rPr>
          <w:rFonts w:ascii="Times New Roman" w:hAnsi="Times New Roman" w:eastAsia="宋体"/>
          <w:sz w:val="22"/>
        </w:rPr>
        <w:t>物理含义：m_i 度量了历史教师将真实类别 y_i 排在首位的"优势幅度"。m_i 的取值范围为 [−1, 1]：</w:t>
      </w:r>
    </w:p>
    <w:p>
      <w:pPr>
        <w:pStyle w:val="ListBullet"/>
      </w:pPr>
      <w:r>
        <w:rPr>
          <w:rFonts w:ascii="Times New Roman" w:hAnsi="Times New Roman"/>
          <w:b/>
          <w:sz w:val="20"/>
        </w:rPr>
        <w:t>m_i &gt; 0：</w:t>
      </w:r>
      <w:r>
        <w:rPr>
          <w:sz w:val="20"/>
        </w:rPr>
        <w:t>教师正确分类。m_i 越接近 1，教师判断越坚定（真实类别的概率远高于其他类别）→ 该样本的"历史知识"可靠，应当施加 KL 约束以保护之。</w:t>
      </w:r>
    </w:p>
    <w:p>
      <w:pPr>
        <w:pStyle w:val="ListBullet"/>
      </w:pPr>
      <w:r>
        <w:rPr>
          <w:rFonts w:ascii="Times New Roman" w:hAnsi="Times New Roman"/>
          <w:b/>
          <w:sz w:val="20"/>
        </w:rPr>
        <w:t>m_i ≤ 0：</w:t>
      </w:r>
      <w:r>
        <w:rPr>
          <w:sz w:val="20"/>
        </w:rPr>
        <w:t>教师错误分类。真实类别的概率被至少一个非真实类别超越 → 该样本的"历史知识"为噪声，应当完全放弃对其施加 KL 约束，避免错误代际传播。</w:t>
      </w:r>
    </w:p>
    <w:p>
      <w:pPr>
        <w:ind w:firstLine="420"/>
      </w:pPr>
      <w:r>
        <w:rPr>
          <w:rFonts w:ascii="Times New Roman" w:hAnsi="Times New Roman" w:eastAsia="宋体"/>
          <w:sz w:val="22"/>
        </w:rPr>
        <w:t>几何直觉：在 C 维概率单纯形（probability simplex）上，m_i 度量了 p_old^(i) 指向真实类别顶点 e_{y_i} 的"净向量分量"——正值表示分布质量重心落在真实类别半空间内，负值表示已偏离至错误半空间。</w:t>
      </w:r>
    </w:p>
    <w:p>
      <w:pPr>
        <w:pStyle w:val="Heading2"/>
      </w:pPr>
      <w:r>
        <w:t>2.3 动态连续权重映射：从"二元筛选"到"指数调节"</w:t>
      </w:r>
    </w:p>
    <w:p>
      <w:pPr>
        <w:ind w:firstLine="420"/>
      </w:pPr>
      <w:r>
        <w:rPr>
          <w:rFonts w:ascii="Times New Roman" w:hAnsi="Times New Roman" w:eastAsia="宋体"/>
          <w:sz w:val="22"/>
        </w:rPr>
        <w:t>对于 m_i &gt; 0 的样本，并非以统一强度施加约束，而是通过指数型权重函数将边际置信度连续地映射为约束强度：</w:t>
      </w:r>
    </w:p>
    <w:p>
      <w:pPr>
        <w:spacing w:before="160" w:after="80"/>
        <w:jc w:val="center"/>
      </w:pPr>
      <w:r>
        <w:rPr>
          <w:rFonts w:ascii="Times New Roman" w:hAnsi="Times New Roman"/>
          <w:i/>
          <w:sz w:val="24"/>
        </w:rPr>
        <w:t>w_i = w(m_i) = exp(α · (m_i − τ)),    m_i &gt; 0</w:t>
      </w:r>
      <w:r>
        <w:rPr>
          <w:rFonts w:ascii="Times New Roman" w:hAnsi="Times New Roman"/>
          <w:i w:val="0"/>
          <w:sz w:val="24"/>
        </w:rPr>
        <w:t xml:space="preserve">    (2)</w:t>
      </w:r>
    </w:p>
    <w:p>
      <w:pPr>
        <w:ind w:firstLine="420"/>
      </w:pPr>
      <w:r>
        <w:rPr>
          <w:rFonts w:ascii="Times New Roman" w:hAnsi="Times New Roman" w:eastAsia="宋体"/>
          <w:sz w:val="22"/>
        </w:rPr>
        <w:t>其中 α &gt; 0 为尺度因子（Scale Factor），τ ∈ (0, 1) 为中性阈值（Neutral Threshold）。</w:t>
      </w:r>
    </w:p>
    <w:p>
      <w:pPr>
        <w:ind w:firstLine="420"/>
      </w:pPr>
      <w:r>
        <w:rPr>
          <w:rFonts w:ascii="Times New Roman" w:hAnsi="Times New Roman" w:eastAsia="宋体"/>
          <w:b/>
          <w:sz w:val="22"/>
        </w:rPr>
        <w:t>式 (2) 的调节行为如下表所示：</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D9E2F3" w:val="clear"/>
          </w:tcPr>
          <w:p>
            <w:pPr>
              <w:jc w:val="center"/>
            </w:pPr>
            <w:r/>
            <w:r>
              <w:rPr>
                <w:rFonts w:ascii="Times New Roman" w:hAnsi="Times New Roman"/>
                <w:b/>
                <w:sz w:val="19"/>
              </w:rPr>
              <w:t>条件</w:t>
            </w:r>
          </w:p>
        </w:tc>
        <w:tc>
          <w:tcPr>
            <w:tcW w:type="dxa" w:w="1134"/>
            <w:shd w:fill="D9E2F3" w:val="clear"/>
          </w:tcPr>
          <w:p>
            <w:pPr>
              <w:jc w:val="center"/>
            </w:pPr>
            <w:r/>
            <w:r>
              <w:rPr>
                <w:rFonts w:ascii="Times New Roman" w:hAnsi="Times New Roman"/>
                <w:b/>
                <w:sz w:val="19"/>
              </w:rPr>
              <w:t>w_i 范围</w:t>
            </w:r>
          </w:p>
        </w:tc>
        <w:tc>
          <w:tcPr>
            <w:tcW w:type="dxa" w:w="850"/>
            <w:shd w:fill="D9E2F3" w:val="clear"/>
          </w:tcPr>
          <w:p>
            <w:pPr>
              <w:jc w:val="center"/>
            </w:pPr>
            <w:r/>
            <w:r>
              <w:rPr>
                <w:rFonts w:ascii="Times New Roman" w:hAnsi="Times New Roman"/>
                <w:b/>
                <w:sz w:val="19"/>
              </w:rPr>
              <w:t>效应</w:t>
            </w:r>
          </w:p>
        </w:tc>
        <w:tc>
          <w:tcPr>
            <w:tcW w:type="dxa" w:w="5386"/>
            <w:shd w:fill="D9E2F3" w:val="clear"/>
          </w:tcPr>
          <w:p>
            <w:pPr>
              <w:jc w:val="center"/>
            </w:pPr>
            <w:r/>
            <w:r>
              <w:rPr>
                <w:rFonts w:ascii="Times New Roman" w:hAnsi="Times New Roman"/>
                <w:b/>
                <w:sz w:val="19"/>
              </w:rPr>
              <w:t>直觉</w:t>
            </w:r>
          </w:p>
        </w:tc>
      </w:tr>
      <w:tr>
        <w:tc>
          <w:tcPr>
            <w:tcW w:type="dxa" w:w="1701"/>
          </w:tcPr>
          <w:p>
            <w:pPr>
              <w:jc w:val="center"/>
            </w:pPr>
            <w:r/>
            <w:r>
              <w:rPr>
                <w:rFonts w:ascii="Times New Roman" w:hAnsi="Times New Roman"/>
                <w:sz w:val="19"/>
              </w:rPr>
              <w:t>0 &lt; m_i &lt; τ</w:t>
            </w:r>
          </w:p>
        </w:tc>
        <w:tc>
          <w:tcPr>
            <w:tcW w:type="dxa" w:w="1134"/>
          </w:tcPr>
          <w:p>
            <w:pPr>
              <w:jc w:val="center"/>
            </w:pPr>
            <w:r/>
            <w:r>
              <w:rPr>
                <w:rFonts w:ascii="Times New Roman" w:hAnsi="Times New Roman"/>
                <w:sz w:val="19"/>
              </w:rPr>
              <w:t>(0, 1)</w:t>
            </w:r>
          </w:p>
        </w:tc>
        <w:tc>
          <w:tcPr>
            <w:tcW w:type="dxa" w:w="850"/>
          </w:tcPr>
          <w:p>
            <w:pPr>
              <w:jc w:val="center"/>
            </w:pPr>
            <w:r/>
            <w:r>
              <w:rPr>
                <w:rFonts w:ascii="Times New Roman" w:hAnsi="Times New Roman"/>
                <w:sz w:val="19"/>
              </w:rPr>
              <w:t>降权</w:t>
            </w:r>
          </w:p>
        </w:tc>
        <w:tc>
          <w:tcPr>
            <w:tcW w:type="dxa" w:w="5386"/>
          </w:tcPr>
          <w:p>
            <w:pPr>
              <w:jc w:val="center"/>
            </w:pPr>
            <w:r/>
            <w:r>
              <w:rPr>
                <w:rFonts w:ascii="Times New Roman" w:hAnsi="Times New Roman"/>
                <w:sz w:val="19"/>
              </w:rPr>
              <w:t>教师分对了但不够自信 → 放松约束, 允许本轮微调</w:t>
            </w:r>
          </w:p>
        </w:tc>
      </w:tr>
      <w:tr>
        <w:tc>
          <w:tcPr>
            <w:tcW w:type="dxa" w:w="1701"/>
          </w:tcPr>
          <w:p>
            <w:pPr>
              <w:jc w:val="center"/>
            </w:pPr>
            <w:r/>
            <w:r>
              <w:rPr>
                <w:rFonts w:ascii="Times New Roman" w:hAnsi="Times New Roman"/>
                <w:sz w:val="19"/>
              </w:rPr>
              <w:t>m_i = τ</w:t>
            </w:r>
          </w:p>
        </w:tc>
        <w:tc>
          <w:tcPr>
            <w:tcW w:type="dxa" w:w="1134"/>
          </w:tcPr>
          <w:p>
            <w:pPr>
              <w:jc w:val="center"/>
            </w:pPr>
            <w:r/>
            <w:r>
              <w:rPr>
                <w:rFonts w:ascii="Times New Roman" w:hAnsi="Times New Roman"/>
                <w:sz w:val="19"/>
              </w:rPr>
              <w:t>1</w:t>
            </w:r>
          </w:p>
        </w:tc>
        <w:tc>
          <w:tcPr>
            <w:tcW w:type="dxa" w:w="850"/>
          </w:tcPr>
          <w:p>
            <w:pPr>
              <w:jc w:val="center"/>
            </w:pPr>
            <w:r/>
            <w:r>
              <w:rPr>
                <w:rFonts w:ascii="Times New Roman" w:hAnsi="Times New Roman"/>
                <w:sz w:val="19"/>
              </w:rPr>
              <w:t>中性</w:t>
            </w:r>
          </w:p>
        </w:tc>
        <w:tc>
          <w:tcPr>
            <w:tcW w:type="dxa" w:w="5386"/>
          </w:tcPr>
          <w:p>
            <w:pPr>
              <w:jc w:val="center"/>
            </w:pPr>
            <w:r/>
            <w:r>
              <w:rPr>
                <w:rFonts w:ascii="Times New Roman" w:hAnsi="Times New Roman"/>
                <w:sz w:val="19"/>
              </w:rPr>
              <w:t>恰好处于阈值 → 施加标准强度的 KL 约束</w:t>
            </w:r>
          </w:p>
        </w:tc>
      </w:tr>
      <w:tr>
        <w:tc>
          <w:tcPr>
            <w:tcW w:type="dxa" w:w="1701"/>
          </w:tcPr>
          <w:p>
            <w:pPr>
              <w:jc w:val="center"/>
            </w:pPr>
            <w:r/>
            <w:r>
              <w:rPr>
                <w:rFonts w:ascii="Times New Roman" w:hAnsi="Times New Roman"/>
                <w:sz w:val="19"/>
              </w:rPr>
              <w:t>m_i &gt; τ</w:t>
            </w:r>
          </w:p>
        </w:tc>
        <w:tc>
          <w:tcPr>
            <w:tcW w:type="dxa" w:w="1134"/>
          </w:tcPr>
          <w:p>
            <w:pPr>
              <w:jc w:val="center"/>
            </w:pPr>
            <w:r/>
            <w:r>
              <w:rPr>
                <w:rFonts w:ascii="Times New Roman" w:hAnsi="Times New Roman"/>
                <w:sz w:val="19"/>
              </w:rPr>
              <w:t>(1, +∞)</w:t>
            </w:r>
          </w:p>
        </w:tc>
        <w:tc>
          <w:tcPr>
            <w:tcW w:type="dxa" w:w="850"/>
          </w:tcPr>
          <w:p>
            <w:pPr>
              <w:jc w:val="center"/>
            </w:pPr>
            <w:r/>
            <w:r>
              <w:rPr>
                <w:rFonts w:ascii="Times New Roman" w:hAnsi="Times New Roman"/>
                <w:sz w:val="19"/>
              </w:rPr>
              <w:t>提权</w:t>
            </w:r>
          </w:p>
        </w:tc>
        <w:tc>
          <w:tcPr>
            <w:tcW w:type="dxa" w:w="5386"/>
          </w:tcPr>
          <w:p>
            <w:pPr>
              <w:jc w:val="center"/>
            </w:pPr>
            <w:r/>
            <w:r>
              <w:rPr>
                <w:rFonts w:ascii="Times New Roman" w:hAnsi="Times New Roman"/>
                <w:sz w:val="19"/>
              </w:rPr>
              <w:t>教师高度自信地分对 → 加强约束, 锁定最优分类方法</w:t>
            </w:r>
          </w:p>
        </w:tc>
      </w:tr>
    </w:tbl>
    <w:p/>
    <w:p>
      <w:pPr>
        <w:ind w:firstLine="420"/>
      </w:pPr>
      <w:r>
        <w:rPr>
          <w:rFonts w:ascii="Times New Roman" w:hAnsi="Times New Roman" w:eastAsia="宋体"/>
          <w:sz w:val="22"/>
        </w:rPr>
        <w:t>选择指数函数的理由：（1）对 m_i 的变化高度敏感——边际置信度的微小提升在高置信度区域会被放大（指数函数的凸性），符合"越确定越要保护"的直觉；（2）非负性——权重始终为正，避免负权重导致的梯度反转问题；（3）单调递增——保证"更可靠的知识获得更强保护"的一致性。</w:t>
      </w:r>
    </w:p>
    <w:p>
      <w:pPr>
        <w:ind w:firstLine="420"/>
      </w:pPr>
      <w:r>
        <w:rPr>
          <w:rFonts w:ascii="Times New Roman" w:hAnsi="Times New Roman" w:eastAsia="宋体"/>
          <w:sz w:val="22"/>
        </w:rPr>
        <w:t>对于 m_i ≤ 0 的样本，直接令 w_i = 0，等价于从 KL 约束中完全移除该样本——此即"抽奖机制"的核心：让模型在该样本上仅依赖交叉熵损失自由探索，如同从随机初始状态出发重新"抽奖"一般，寻找正确的分类边界。</w:t>
      </w:r>
    </w:p>
    <w:p>
      <w:pPr>
        <w:pStyle w:val="Heading2"/>
      </w:pPr>
      <w:r>
        <w:t>2.4 总损失函数</w:t>
      </w:r>
    </w:p>
    <w:p>
      <w:pPr>
        <w:ind w:firstLine="420"/>
      </w:pPr>
      <w:r>
        <w:rPr>
          <w:rFonts w:ascii="Times New Roman" w:hAnsi="Times New Roman" w:eastAsia="宋体"/>
          <w:sz w:val="22"/>
        </w:rPr>
        <w:t>将选择性加权 KL 散度与标准交叉熵结合，得到本方法的完整优化目标：</w:t>
      </w:r>
    </w:p>
    <w:p>
      <w:pPr>
        <w:spacing w:before="200" w:after="200"/>
        <w:jc w:val="center"/>
        <w:pBdr>
          <w:top w:val="single" w:sz="4" w:space="4" w:color="333333"/>
          <w:left w:val="single" w:sz="4" w:space="4" w:color="333333"/>
          <w:bottom w:val="single" w:sz="4" w:space="4" w:color="333333"/>
          <w:right w:val="single" w:sz="4" w:space="4" w:color="333333"/>
        </w:pBdr>
      </w:pPr>
      <w:r>
        <w:rPr>
          <w:rFonts w:ascii="Times New Roman" w:hAnsi="Times New Roman"/>
          <w:b/>
          <w:i/>
          <w:sz w:val="24"/>
        </w:rPr>
        <w:t>L_total = (1/N) Σ_i L_CE(p_new^(i), y_i)  +  λ · (1/N) Σ_i w_i · KL(p_old^(i) || p_new^(i))</w:t>
      </w:r>
      <w:r>
        <w:rPr>
          <w:rFonts w:ascii="Times New Roman" w:hAnsi="Times New Roman"/>
          <w:b/>
          <w:i w:val="0"/>
          <w:sz w:val="24"/>
        </w:rPr>
        <w:t xml:space="preserve">    (3)</w:t>
      </w:r>
    </w:p>
    <w:p>
      <w:pPr>
        <w:jc w:val="center"/>
      </w:pPr>
      <w:r>
        <w:rPr>
          <w:rFonts w:ascii="Times New Roman" w:hAnsi="Times New Roman"/>
          <w:color w:val="666666"/>
          <w:sz w:val="16"/>
        </w:rPr>
        <w:t xml:space="preserve">                 基础学习能力                                    置信度加权的抗遗忘约束</w:t>
      </w:r>
    </w:p>
    <w:p>
      <w:pPr>
        <w:ind w:firstLine="420"/>
      </w:pPr>
      <w:r>
        <w:rPr>
          <w:rFonts w:ascii="Times New Roman" w:hAnsi="Times New Roman" w:eastAsia="宋体"/>
          <w:b/>
          <w:sz w:val="22"/>
        </w:rPr>
        <w:t>式 (3) 的各组件详解：</w:t>
      </w:r>
    </w:p>
    <w:p>
      <w:pPr>
        <w:pStyle w:val="ListBullet"/>
        <w:spacing w:after="40"/>
      </w:pPr>
      <w:r>
        <w:rPr>
          <w:rFonts w:ascii="Times New Roman" w:hAnsi="Times New Roman"/>
          <w:b/>
          <w:sz w:val="20"/>
        </w:rPr>
        <w:t>L_CE(p_new, y) = −log p_new(y)：</w:t>
      </w:r>
      <w:r>
        <w:rPr>
          <w:rFonts w:ascii="Times New Roman" w:hAnsi="Times New Roman"/>
          <w:sz w:val="20"/>
        </w:rPr>
        <w:t>标准交叉熵损失，保证模型从真实标签中学习分类能力，是所有约束的基础。</w:t>
      </w:r>
    </w:p>
    <w:p>
      <w:pPr>
        <w:pStyle w:val="ListBullet"/>
        <w:spacing w:after="40"/>
      </w:pPr>
      <w:r>
        <w:rPr>
          <w:rFonts w:ascii="Times New Roman" w:hAnsi="Times New Roman"/>
          <w:b/>
          <w:sz w:val="20"/>
        </w:rPr>
        <w:t>KL(p_old || p_new) = Σ_c p_old(c) · log(p_old(c)/p_new(c))：</w:t>
      </w:r>
      <w:r>
        <w:rPr>
          <w:rFonts w:ascii="Times New Roman" w:hAnsi="Times New Roman"/>
          <w:sz w:val="20"/>
        </w:rPr>
        <w:t>前向 KL 散度（Forward KL Divergence），即用旧分布去"检查"新分布。选择此方向（而非反向 KL(p_new || p_old)）的理由是：前向 KL 在 p_old(c) 大的区域对 p_new(c) 施加极强的惩罚——若旧分布在某类别上概率很高而新分布在该类别上概率很低，log(p_old/p_new) 项会爆涨，迫使新分布覆盖旧分布的所有高概率区域。这恰好契合"抗遗忘"的需求：已掌握的分类知识（旧分布的高概率区域）必须被新分布继承。形象地讲，前向 KL 像一只"锚"——用旧分布的高置信度区域死死拽住新分布，防止其在参数更新中漂移。</w:t>
      </w:r>
    </w:p>
    <w:p>
      <w:pPr>
        <w:pStyle w:val="ListBullet"/>
        <w:spacing w:after="40"/>
      </w:pPr>
      <w:r>
        <w:rPr>
          <w:rFonts w:ascii="Times New Roman" w:hAnsi="Times New Roman"/>
          <w:b/>
          <w:sz w:val="20"/>
        </w:rPr>
        <w:t>λ ≥ 0：</w:t>
      </w:r>
      <w:r>
        <w:rPr>
          <w:rFonts w:ascii="Times New Roman" w:hAnsi="Times New Roman"/>
          <w:sz w:val="20"/>
        </w:rPr>
        <w:t>权衡系数，控制抗遗忘约束的整体强度。λ = 0 时退化为标准交叉熵训练；λ 过大时模型将被过度束缚在历史状态上，丧失学习新知识的能力。</w:t>
      </w:r>
    </w:p>
    <w:p>
      <w:pPr>
        <w:pStyle w:val="ListBullet"/>
        <w:spacing w:after="40"/>
      </w:pPr>
      <w:r>
        <w:rPr>
          <w:rFonts w:ascii="Times New Roman" w:hAnsi="Times New Roman"/>
          <w:b/>
          <w:sz w:val="20"/>
        </w:rPr>
        <w:t>w_i：</w:t>
      </w:r>
      <w:r>
        <w:rPr>
          <w:rFonts w:ascii="Times New Roman" w:hAnsi="Times New Roman"/>
          <w:sz w:val="20"/>
        </w:rPr>
        <w:t>式 (2) 定义的样本级动态权重，仅在 m_i &gt; 0 时非零。注意当所有 w_i = 0 时（极端情况：上轮全错），KL 项整体退化为零，模型完全依赖交叉熵从头学习——这保证了方法在最坏情况下至少不会比标准训练更差。</w:t>
      </w:r>
    </w:p>
    <w:p>
      <w:pPr>
        <w:pStyle w:val="Heading2"/>
      </w:pPr>
      <w:r>
        <w:t>2.5 与 EWC 的形式化类比</w:t>
      </w:r>
    </w:p>
    <w:p>
      <w:pPr>
        <w:ind w:firstLine="420"/>
      </w:pPr>
      <w:r>
        <w:rPr>
          <w:rFonts w:ascii="Times New Roman" w:hAnsi="Times New Roman" w:eastAsia="宋体"/>
          <w:sz w:val="22"/>
        </w:rPr>
        <w:t>为阐明本方法的理论渊源，表 1 将其与经典 EWC 进行逐项对照：</w:t>
      </w:r>
    </w:p>
    <w:tbl>
      <w:tblPr>
        <w:tblStyle w:val="TableGrid"/>
        <w:tblW w:type="auto" w:w="0"/>
        <w:jc w:val="center"/>
        <w:tblLook w:firstColumn="1" w:firstRow="1" w:lastColumn="0" w:lastRow="0" w:noHBand="0" w:noVBand="1" w:val="04A0"/>
      </w:tblPr>
      <w:tblGrid>
        <w:gridCol w:w="2880"/>
        <w:gridCol w:w="2880"/>
        <w:gridCol w:w="2880"/>
      </w:tblGrid>
      <w:tr>
        <w:tc>
          <w:tcPr>
            <w:tcW w:type="dxa" w:w="1587"/>
            <w:shd w:fill="D9E2F3" w:val="clear"/>
          </w:tcPr>
          <w:p>
            <w:pPr>
              <w:jc w:val="center"/>
            </w:pPr>
            <w:r/>
            <w:r>
              <w:rPr>
                <w:rFonts w:ascii="Times New Roman" w:hAnsi="Times New Roman"/>
                <w:b/>
                <w:sz w:val="19"/>
              </w:rPr>
              <w:t>维度</w:t>
            </w:r>
          </w:p>
        </w:tc>
        <w:tc>
          <w:tcPr>
            <w:tcW w:type="dxa" w:w="3288"/>
            <w:shd w:fill="D9E2F3" w:val="clear"/>
          </w:tcPr>
          <w:p>
            <w:pPr>
              <w:jc w:val="center"/>
            </w:pPr>
            <w:r/>
            <w:r>
              <w:rPr>
                <w:rFonts w:ascii="Times New Roman" w:hAnsi="Times New Roman"/>
                <w:b/>
                <w:sz w:val="19"/>
              </w:rPr>
              <w:t>EWC (Kirkpatrick et al., 2017)</w:t>
            </w:r>
          </w:p>
        </w:tc>
        <w:tc>
          <w:tcPr>
            <w:tcW w:type="dxa" w:w="3288"/>
            <w:shd w:fill="D9E2F3" w:val="clear"/>
          </w:tcPr>
          <w:p>
            <w:pPr>
              <w:jc w:val="center"/>
            </w:pPr>
            <w:r/>
            <w:r>
              <w:rPr>
                <w:rFonts w:ascii="Times New Roman" w:hAnsi="Times New Roman"/>
                <w:b/>
                <w:sz w:val="19"/>
              </w:rPr>
              <w:t>本方法 (Ours)</w:t>
            </w:r>
          </w:p>
        </w:tc>
      </w:tr>
      <w:tr>
        <w:tc>
          <w:tcPr>
            <w:tcW w:type="dxa" w:w="1587"/>
          </w:tcPr>
          <w:p>
            <w:pPr>
              <w:jc w:val="center"/>
            </w:pPr>
            <w:r/>
            <w:r>
              <w:rPr>
                <w:rFonts w:ascii="Times New Roman" w:hAnsi="Times New Roman"/>
                <w:sz w:val="19"/>
              </w:rPr>
              <w:t>约束空间</w:t>
            </w:r>
          </w:p>
        </w:tc>
        <w:tc>
          <w:tcPr>
            <w:tcW w:type="dxa" w:w="3288"/>
          </w:tcPr>
          <w:p>
            <w:pPr>
              <w:jc w:val="center"/>
            </w:pPr>
            <w:r/>
            <w:r>
              <w:rPr>
                <w:rFonts w:ascii="Times New Roman" w:hAnsi="Times New Roman"/>
                <w:sz w:val="19"/>
              </w:rPr>
              <w:t>参数空间 θ</w:t>
            </w:r>
          </w:p>
        </w:tc>
        <w:tc>
          <w:tcPr>
            <w:tcW w:type="dxa" w:w="3288"/>
          </w:tcPr>
          <w:p>
            <w:pPr>
              <w:jc w:val="center"/>
            </w:pPr>
            <w:r/>
            <w:r>
              <w:rPr>
                <w:rFonts w:ascii="Times New Roman" w:hAnsi="Times New Roman"/>
                <w:sz w:val="19"/>
              </w:rPr>
              <w:t>输出分布空间 p</w:t>
            </w:r>
          </w:p>
        </w:tc>
      </w:tr>
      <w:tr>
        <w:tc>
          <w:tcPr>
            <w:tcW w:type="dxa" w:w="1587"/>
          </w:tcPr>
          <w:p>
            <w:pPr>
              <w:jc w:val="center"/>
            </w:pPr>
            <w:r/>
            <w:r>
              <w:rPr>
                <w:rFonts w:ascii="Times New Roman" w:hAnsi="Times New Roman"/>
                <w:sz w:val="19"/>
              </w:rPr>
              <w:t>重要性度量</w:t>
            </w:r>
          </w:p>
        </w:tc>
        <w:tc>
          <w:tcPr>
            <w:tcW w:type="dxa" w:w="3288"/>
          </w:tcPr>
          <w:p>
            <w:pPr>
              <w:jc w:val="center"/>
            </w:pPr>
            <w:r/>
            <w:r>
              <w:rPr>
                <w:rFonts w:ascii="Times New Roman" w:hAnsi="Times New Roman"/>
                <w:sz w:val="19"/>
              </w:rPr>
              <w:t>Fisher 信息 F_i = E[(∂log p/∂θ_i)²]</w:t>
            </w:r>
          </w:p>
        </w:tc>
        <w:tc>
          <w:tcPr>
            <w:tcW w:type="dxa" w:w="3288"/>
          </w:tcPr>
          <w:p>
            <w:pPr>
              <w:jc w:val="center"/>
            </w:pPr>
            <w:r/>
            <w:r>
              <w:rPr>
                <w:rFonts w:ascii="Times New Roman" w:hAnsi="Times New Roman"/>
                <w:sz w:val="19"/>
              </w:rPr>
              <w:t>边际置信度 m_i</w:t>
            </w:r>
          </w:p>
        </w:tc>
      </w:tr>
      <w:tr>
        <w:tc>
          <w:tcPr>
            <w:tcW w:type="dxa" w:w="1587"/>
          </w:tcPr>
          <w:p>
            <w:pPr>
              <w:jc w:val="center"/>
            </w:pPr>
            <w:r/>
            <w:r>
              <w:rPr>
                <w:rFonts w:ascii="Times New Roman" w:hAnsi="Times New Roman"/>
                <w:sz w:val="19"/>
              </w:rPr>
              <w:t>约束形式</w:t>
            </w:r>
          </w:p>
        </w:tc>
        <w:tc>
          <w:tcPr>
            <w:tcW w:type="dxa" w:w="3288"/>
          </w:tcPr>
          <w:p>
            <w:pPr>
              <w:jc w:val="center"/>
            </w:pPr>
            <w:r/>
            <w:r>
              <w:rPr>
                <w:rFonts w:ascii="Times New Roman" w:hAnsi="Times New Roman"/>
                <w:sz w:val="19"/>
              </w:rPr>
              <w:t>(λ/2) Σ_i F_i(θ_i−θ_i*)²</w:t>
            </w:r>
          </w:p>
        </w:tc>
        <w:tc>
          <w:tcPr>
            <w:tcW w:type="dxa" w:w="3288"/>
          </w:tcPr>
          <w:p>
            <w:pPr>
              <w:jc w:val="center"/>
            </w:pPr>
            <w:r/>
            <w:r>
              <w:rPr>
                <w:rFonts w:ascii="Times New Roman" w:hAnsi="Times New Roman"/>
                <w:sz w:val="19"/>
              </w:rPr>
              <w:t>w_i · KL(p_old || p_new)</w:t>
            </w:r>
          </w:p>
        </w:tc>
      </w:tr>
      <w:tr>
        <w:tc>
          <w:tcPr>
            <w:tcW w:type="dxa" w:w="1587"/>
          </w:tcPr>
          <w:p>
            <w:pPr>
              <w:jc w:val="center"/>
            </w:pPr>
            <w:r/>
            <w:r>
              <w:rPr>
                <w:rFonts w:ascii="Times New Roman" w:hAnsi="Times New Roman"/>
                <w:sz w:val="19"/>
              </w:rPr>
              <w:t>选择性</w:t>
            </w:r>
          </w:p>
        </w:tc>
        <w:tc>
          <w:tcPr>
            <w:tcW w:type="dxa" w:w="3288"/>
          </w:tcPr>
          <w:p>
            <w:pPr>
              <w:jc w:val="center"/>
            </w:pPr>
            <w:r/>
            <w:r>
              <w:rPr>
                <w:rFonts w:ascii="Times New Roman" w:hAnsi="Times New Roman"/>
                <w:sz w:val="19"/>
              </w:rPr>
              <w:t>所有参数（无样本级区分）</w:t>
            </w:r>
          </w:p>
        </w:tc>
        <w:tc>
          <w:tcPr>
            <w:tcW w:type="dxa" w:w="3288"/>
          </w:tcPr>
          <w:p>
            <w:pPr>
              <w:jc w:val="center"/>
            </w:pPr>
            <w:r/>
            <w:r>
              <w:rPr>
                <w:rFonts w:ascii="Times New Roman" w:hAnsi="Times New Roman"/>
                <w:sz w:val="19"/>
              </w:rPr>
              <w:t>仅对 m_i &gt; 0 的样本施加约束</w:t>
            </w:r>
          </w:p>
        </w:tc>
      </w:tr>
      <w:tr>
        <w:tc>
          <w:tcPr>
            <w:tcW w:type="dxa" w:w="1587"/>
          </w:tcPr>
          <w:p>
            <w:pPr>
              <w:jc w:val="center"/>
            </w:pPr>
            <w:r/>
            <w:r>
              <w:rPr>
                <w:rFonts w:ascii="Times New Roman" w:hAnsi="Times New Roman"/>
                <w:sz w:val="19"/>
              </w:rPr>
              <w:t>重要性量化逻辑</w:t>
            </w:r>
          </w:p>
        </w:tc>
        <w:tc>
          <w:tcPr>
            <w:tcW w:type="dxa" w:w="3288"/>
          </w:tcPr>
          <w:p>
            <w:pPr>
              <w:jc w:val="center"/>
            </w:pPr>
            <w:r/>
            <w:r>
              <w:rPr>
                <w:rFonts w:ascii="Times New Roman" w:hAnsi="Times New Roman"/>
                <w:sz w:val="19"/>
              </w:rPr>
              <w:t>参数对似然的敏感度</w:t>
            </w:r>
          </w:p>
        </w:tc>
        <w:tc>
          <w:tcPr>
            <w:tcW w:type="dxa" w:w="3288"/>
          </w:tcPr>
          <w:p>
            <w:pPr>
              <w:jc w:val="center"/>
            </w:pPr>
            <w:r/>
            <w:r>
              <w:rPr>
                <w:rFonts w:ascii="Times New Roman" w:hAnsi="Times New Roman"/>
                <w:sz w:val="19"/>
              </w:rPr>
              <w:t>历史教师对真实类别的确信度</w:t>
            </w:r>
          </w:p>
        </w:tc>
      </w:tr>
      <w:tr>
        <w:tc>
          <w:tcPr>
            <w:tcW w:type="dxa" w:w="1587"/>
          </w:tcPr>
          <w:p>
            <w:pPr>
              <w:jc w:val="center"/>
            </w:pPr>
            <w:r/>
            <w:r>
              <w:rPr>
                <w:rFonts w:ascii="Times New Roman" w:hAnsi="Times New Roman"/>
                <w:sz w:val="19"/>
              </w:rPr>
              <w:t>额外存储</w:t>
            </w:r>
          </w:p>
        </w:tc>
        <w:tc>
          <w:tcPr>
            <w:tcW w:type="dxa" w:w="3288"/>
          </w:tcPr>
          <w:p>
            <w:pPr>
              <w:jc w:val="center"/>
            </w:pPr>
            <w:r/>
            <w:r>
              <w:rPr>
                <w:rFonts w:ascii="Times New Roman" w:hAnsi="Times New Roman"/>
                <w:sz w:val="19"/>
              </w:rPr>
              <w:t>θ* 和 F（各 ~|θ| 维）</w:t>
            </w:r>
          </w:p>
        </w:tc>
        <w:tc>
          <w:tcPr>
            <w:tcW w:type="dxa" w:w="3288"/>
          </w:tcPr>
          <w:p>
            <w:pPr>
              <w:jc w:val="center"/>
            </w:pPr>
            <w:r/>
            <w:r>
              <w:rPr>
                <w:rFonts w:ascii="Times New Roman" w:hAnsi="Times New Roman"/>
                <w:sz w:val="19"/>
              </w:rPr>
              <w:t>p_old（已由 SKD 自动维护）</w:t>
            </w:r>
          </w:p>
        </w:tc>
      </w:tr>
    </w:tbl>
    <w:p/>
    <w:p>
      <w:pPr>
        <w:ind w:firstLine="420"/>
      </w:pPr>
      <w:r>
        <w:rPr>
          <w:rFonts w:ascii="Times New Roman" w:hAnsi="Times New Roman" w:eastAsia="宋体"/>
          <w:sz w:val="22"/>
        </w:rPr>
        <w:t>二者的核心共享洞察是：并非所有知识同等重要——重要的知识需要更强的保护。EWC 通过 Fisher 信息在参数空间实现这一点，本方法通过边际置信度在输出空间实现这一点。后者的优势在于无需额外计算和存储，天然与 SKD 的历史预测缓存机制适配。</w:t>
      </w:r>
    </w:p>
    <w:p>
      <w:pPr>
        <w:pStyle w:val="Heading2"/>
      </w:pPr>
      <w:r>
        <w:t>2.6 迭代更新与历史教师缓存</w:t>
      </w:r>
    </w:p>
    <w:p>
      <w:pPr>
        <w:ind w:firstLine="420"/>
      </w:pPr>
      <w:r>
        <w:rPr>
          <w:rFonts w:ascii="Times New Roman" w:hAnsi="Times New Roman" w:eastAsia="宋体"/>
          <w:sz w:val="22"/>
        </w:rPr>
        <w:t>每一轮训练（epoch）结束后，执行历史教师缓存更新：</w:t>
      </w:r>
    </w:p>
    <w:p>
      <w:pPr>
        <w:spacing w:before="120" w:after="120"/>
        <w:jc w:val="center"/>
      </w:pPr>
      <w:r>
        <w:rPr>
          <w:rFonts w:ascii="Times New Roman" w:hAnsi="Times New Roman"/>
          <w:i/>
          <w:sz w:val="24"/>
        </w:rPr>
        <w:t>∀i ∈ {1, ..., N}:   p_old^(i) ← p_new^(i) |_{θ_t}</w:t>
      </w:r>
    </w:p>
    <w:p>
      <w:pPr>
        <w:ind w:firstLine="420"/>
      </w:pPr>
      <w:r>
        <w:rPr>
          <w:rFonts w:ascii="Times New Roman" w:hAnsi="Times New Roman" w:eastAsia="宋体"/>
          <w:sz w:val="22"/>
        </w:rPr>
        <w:t>即用当前轮次训练得到的模型参数 θ_t 重新对全体训练样本进行前向传播，将输出的概率分布保存为下一轮的 p_old。这一步骤是 SKD 框架的标准操作，本方法不引入任何额外的前向传播开销——仅改变了历史分布被利用时的权重计算方式。</w:t>
      </w:r>
    </w:p>
    <w:p>
      <w:pPr>
        <w:pStyle w:val="Heading1"/>
      </w:pPr>
      <w:r>
        <w:t>3. 训练伪代码</w:t>
      </w:r>
    </w:p>
    <w:p>
      <w:pPr>
        <w:jc w:val="left"/>
      </w:pPr>
      <w:r>
        <w:rPr>
          <w:rFonts w:ascii="Times New Roman" w:hAnsi="Times New Roman" w:eastAsia="宋体"/>
          <w:b/>
          <w:sz w:val="22"/>
        </w:rPr>
        <w:t>算法 1: 置信度加权抗遗忘自知识蒸馏 (Confidence-Weighted Anti-Forgetting SKD)</w:t>
      </w:r>
    </w:p>
    <w:p>
      <w:pPr>
        <w:spacing w:before="0" w:after="0" w:line="276" w:lineRule="auto"/>
        <w:shd w:fill="F0F0F0" w:val="clear"/>
      </w:pPr>
      <w:r>
        <w:rPr>
          <w:rFonts w:ascii="Consolas" w:hAnsi="Consolas"/>
          <w:sz w:val="17"/>
        </w:rPr>
        <w:t>输入: D_train = {(x_i, y_i)}_{i=1}^N, 模型 f_θ,</w:t>
      </w:r>
    </w:p>
    <w:p>
      <w:pPr>
        <w:spacing w:before="0" w:after="0" w:line="276" w:lineRule="auto"/>
        <w:shd w:fill="F0F0F0" w:val="clear"/>
      </w:pPr>
      <w:r>
        <w:rPr>
          <w:rFonts w:ascii="Consolas" w:hAnsi="Consolas"/>
          <w:sz w:val="17"/>
        </w:rPr>
        <w:t xml:space="preserve">       总训练轮数 E, 超参数 α (尺度因子), τ (中性阈值), λ (约束强度)</w:t>
      </w:r>
    </w:p>
    <w:p>
      <w:pPr>
        <w:spacing w:before="0" w:after="0" w:line="276" w:lineRule="auto"/>
        <w:shd w:fill="F0F0F0" w:val="clear"/>
      </w:pPr>
      <w:r>
        <w:rPr>
          <w:rFonts w:ascii="Consolas" w:hAnsi="Consolas"/>
          <w:sz w:val="17"/>
        </w:rPr>
        <w:t>输出: 训练完成的模型 f_θ</w:t>
      </w:r>
    </w:p>
    <w:p>
      <w:pPr>
        <w:spacing w:before="0" w:after="0" w:line="276" w:lineRule="auto"/>
        <w:shd w:fill="F0F0F0" w:val="clear"/>
      </w:pPr>
      <w:r>
        <w:rPr>
          <w:rFonts w:ascii="Consolas" w:hAnsi="Consolas"/>
          <w:sz w:val="17"/>
        </w:rPr>
        <w:t xml:space="preserve"> </w:t>
      </w:r>
    </w:p>
    <w:p>
      <w:pPr>
        <w:spacing w:before="0" w:after="0" w:line="276" w:lineRule="auto"/>
        <w:shd w:fill="F0F0F0" w:val="clear"/>
      </w:pPr>
      <w:r>
        <w:rPr>
          <w:rFonts w:ascii="Consolas" w:hAnsi="Consolas"/>
          <w:sz w:val="17"/>
        </w:rPr>
        <w:t xml:space="preserve"> 1:  ▷ 初始化历史预测缓存 (SKD 标准操作)</w:t>
      </w:r>
    </w:p>
    <w:p>
      <w:pPr>
        <w:spacing w:before="0" w:after="0" w:line="276" w:lineRule="auto"/>
        <w:shd w:fill="F0F0F0" w:val="clear"/>
      </w:pPr>
      <w:r>
        <w:rPr>
          <w:rFonts w:ascii="Consolas" w:hAnsi="Consolas"/>
          <w:sz w:val="17"/>
        </w:rPr>
        <w:t xml:space="preserve"> 2:  all_predictions ← [one_hot(y_i) for i = 1..N]</w:t>
      </w:r>
    </w:p>
    <w:p>
      <w:pPr>
        <w:spacing w:before="0" w:after="0" w:line="276" w:lineRule="auto"/>
        <w:shd w:fill="F0F0F0" w:val="clear"/>
      </w:pPr>
      <w:r>
        <w:rPr>
          <w:rFonts w:ascii="Consolas" w:hAnsi="Consolas"/>
          <w:sz w:val="17"/>
        </w:rPr>
        <w:t xml:space="preserve"> 3:</w:t>
      </w:r>
    </w:p>
    <w:p>
      <w:pPr>
        <w:spacing w:before="0" w:after="0" w:line="276" w:lineRule="auto"/>
        <w:shd w:fill="F0F0F0" w:val="clear"/>
      </w:pPr>
      <w:r>
        <w:rPr>
          <w:rFonts w:ascii="Consolas" w:hAnsi="Consolas"/>
          <w:sz w:val="17"/>
        </w:rPr>
        <w:t xml:space="preserve"> 4:  for epoch = 1 to E do</w:t>
      </w:r>
    </w:p>
    <w:p>
      <w:pPr>
        <w:spacing w:before="0" w:after="0" w:line="276" w:lineRule="auto"/>
        <w:shd w:fill="F0F0F0" w:val="clear"/>
      </w:pPr>
      <w:r>
        <w:rPr>
          <w:rFonts w:ascii="Consolas" w:hAnsi="Consolas"/>
          <w:sz w:val="17"/>
        </w:rPr>
        <w:t xml:space="preserve"> 5:      ▷ 训练阶段</w:t>
      </w:r>
    </w:p>
    <w:p>
      <w:pPr>
        <w:spacing w:before="0" w:after="0" w:line="276" w:lineRule="auto"/>
        <w:shd w:fill="F0F0F0" w:val="clear"/>
      </w:pPr>
      <w:r>
        <w:rPr>
          <w:rFonts w:ascii="Consolas" w:hAnsi="Consolas"/>
          <w:sz w:val="17"/>
        </w:rPr>
        <w:t xml:space="preserve"> 6:      for each mini-batch (x_b, y_b) in D_train do</w:t>
      </w:r>
    </w:p>
    <w:p>
      <w:pPr>
        <w:spacing w:before="0" w:after="0" w:line="276" w:lineRule="auto"/>
        <w:shd w:fill="F0F0F0" w:val="clear"/>
      </w:pPr>
      <w:r>
        <w:rPr>
          <w:rFonts w:ascii="Consolas" w:hAnsi="Consolas"/>
          <w:sz w:val="17"/>
        </w:rPr>
        <w:t xml:space="preserve"> 7:          ▷ 前向传播: 获取当前模型输出</w:t>
      </w:r>
    </w:p>
    <w:p>
      <w:pPr>
        <w:spacing w:before="0" w:after="0" w:line="276" w:lineRule="auto"/>
        <w:shd w:fill="F0F0F0" w:val="clear"/>
      </w:pPr>
      <w:r>
        <w:rPr>
          <w:rFonts w:ascii="Consolas" w:hAnsi="Consolas"/>
          <w:sz w:val="17"/>
        </w:rPr>
        <w:t xml:space="preserve"> 8:          logits_new ← f_θ(x_b)</w:t>
      </w:r>
    </w:p>
    <w:p>
      <w:pPr>
        <w:spacing w:before="0" w:after="0" w:line="276" w:lineRule="auto"/>
        <w:shd w:fill="F0F0F0" w:val="clear"/>
      </w:pPr>
      <w:r>
        <w:rPr>
          <w:rFonts w:ascii="Consolas" w:hAnsi="Consolas"/>
          <w:sz w:val="17"/>
        </w:rPr>
        <w:t xml:space="preserve"> 9:          p_new ← softmax(logits_new)</w:t>
      </w:r>
    </w:p>
    <w:p>
      <w:pPr>
        <w:spacing w:before="0" w:after="0" w:line="276" w:lineRule="auto"/>
        <w:shd w:fill="F0F0F0" w:val="clear"/>
      </w:pPr>
      <w:r>
        <w:rPr>
          <w:rFonts w:ascii="Consolas" w:hAnsi="Consolas"/>
          <w:sz w:val="17"/>
        </w:rPr>
        <w:t>10:</w:t>
      </w:r>
    </w:p>
    <w:p>
      <w:pPr>
        <w:spacing w:before="0" w:after="0" w:line="276" w:lineRule="auto"/>
        <w:shd w:fill="F0F0F0" w:val="clear"/>
      </w:pPr>
      <w:r>
        <w:rPr>
          <w:rFonts w:ascii="Consolas" w:hAnsi="Consolas"/>
          <w:sz w:val="17"/>
        </w:rPr>
        <w:t>11:          ▷ 从缓存中读取历史分布</w:t>
      </w:r>
    </w:p>
    <w:p>
      <w:pPr>
        <w:spacing w:before="0" w:after="0" w:line="276" w:lineRule="auto"/>
        <w:shd w:fill="F0F0F0" w:val="clear"/>
      </w:pPr>
      <w:r>
        <w:rPr>
          <w:rFonts w:ascii="Consolas" w:hAnsi="Consolas"/>
          <w:sz w:val="17"/>
        </w:rPr>
        <w:t>12:          p_old ← all_predictions[indices_of(x_b)]</w:t>
      </w:r>
    </w:p>
    <w:p>
      <w:pPr>
        <w:spacing w:before="0" w:after="0" w:line="276" w:lineRule="auto"/>
        <w:shd w:fill="F0F0F0" w:val="clear"/>
      </w:pPr>
      <w:r>
        <w:rPr>
          <w:rFonts w:ascii="Consolas" w:hAnsi="Consolas"/>
          <w:sz w:val="17"/>
        </w:rPr>
        <w:t>13:</w:t>
      </w:r>
    </w:p>
    <w:p>
      <w:pPr>
        <w:spacing w:before="0" w:after="0" w:line="276" w:lineRule="auto"/>
        <w:shd w:fill="F0F0F0" w:val="clear"/>
      </w:pPr>
      <w:r>
        <w:rPr>
          <w:rFonts w:ascii="Consolas" w:hAnsi="Consolas"/>
          <w:sz w:val="17"/>
        </w:rPr>
        <w:t>14:          ▷ 计算标准交叉熵 (基础学习能力)</w:t>
      </w:r>
    </w:p>
    <w:p>
      <w:pPr>
        <w:spacing w:before="0" w:after="0" w:line="276" w:lineRule="auto"/>
        <w:shd w:fill="F0F0F0" w:val="clear"/>
      </w:pPr>
      <w:r>
        <w:rPr>
          <w:rFonts w:ascii="Consolas" w:hAnsi="Consolas"/>
          <w:sz w:val="17"/>
        </w:rPr>
        <w:t>15:          L_CE ← CrossEntropyLoss(logits_new, y_b)</w:t>
      </w:r>
    </w:p>
    <w:p>
      <w:pPr>
        <w:spacing w:before="0" w:after="0" w:line="276" w:lineRule="auto"/>
        <w:shd w:fill="F0F0F0" w:val="clear"/>
      </w:pPr>
      <w:r>
        <w:rPr>
          <w:rFonts w:ascii="Consolas" w:hAnsi="Consolas"/>
          <w:sz w:val="17"/>
        </w:rPr>
        <w:t>16:</w:t>
      </w:r>
    </w:p>
    <w:p>
      <w:pPr>
        <w:spacing w:before="0" w:after="0" w:line="276" w:lineRule="auto"/>
        <w:shd w:fill="F0F0F0" w:val="clear"/>
      </w:pPr>
      <w:r>
        <w:rPr>
          <w:rFonts w:ascii="Consolas" w:hAnsi="Consolas"/>
          <w:sz w:val="17"/>
        </w:rPr>
        <w:t>17:          ▷ 计算样本级边际置信度 (式1)</w:t>
      </w:r>
    </w:p>
    <w:p>
      <w:pPr>
        <w:spacing w:before="0" w:after="0" w:line="276" w:lineRule="auto"/>
        <w:shd w:fill="F0F0F0" w:val="clear"/>
      </w:pPr>
      <w:r>
        <w:rPr>
          <w:rFonts w:ascii="Consolas" w:hAnsi="Consolas"/>
          <w:sz w:val="17"/>
        </w:rPr>
        <w:t>18:          for i = 1 to |B| do</w:t>
      </w:r>
    </w:p>
    <w:p>
      <w:pPr>
        <w:spacing w:before="0" w:after="0" w:line="276" w:lineRule="auto"/>
        <w:shd w:fill="F0F0F0" w:val="clear"/>
      </w:pPr>
      <w:r>
        <w:rPr>
          <w:rFonts w:ascii="Consolas" w:hAnsi="Consolas"/>
          <w:sz w:val="17"/>
        </w:rPr>
        <w:t>19:              p_old_correct ← p_old[i, y_b[i]]</w:t>
      </w:r>
    </w:p>
    <w:p>
      <w:pPr>
        <w:spacing w:before="0" w:after="0" w:line="276" w:lineRule="auto"/>
        <w:shd w:fill="F0F0F0" w:val="clear"/>
      </w:pPr>
      <w:r>
        <w:rPr>
          <w:rFonts w:ascii="Consolas" w:hAnsi="Consolas"/>
          <w:sz w:val="17"/>
        </w:rPr>
        <w:t>20:              p_old_max_wrong ← max_{c≠y_b[i]} p_old[i, c]</w:t>
      </w:r>
    </w:p>
    <w:p>
      <w:pPr>
        <w:spacing w:before="0" w:after="0" w:line="276" w:lineRule="auto"/>
        <w:shd w:fill="F0F0F0" w:val="clear"/>
      </w:pPr>
      <w:r>
        <w:rPr>
          <w:rFonts w:ascii="Consolas" w:hAnsi="Consolas"/>
          <w:sz w:val="17"/>
        </w:rPr>
        <w:t>21:              m_i ← p_old_correct - p_old_max_wrong</w:t>
      </w:r>
    </w:p>
    <w:p>
      <w:pPr>
        <w:spacing w:before="0" w:after="0" w:line="276" w:lineRule="auto"/>
        <w:shd w:fill="F0F0F0" w:val="clear"/>
      </w:pPr>
      <w:r>
        <w:rPr>
          <w:rFonts w:ascii="Consolas" w:hAnsi="Consolas"/>
          <w:sz w:val="17"/>
        </w:rPr>
        <w:t>22:</w:t>
      </w:r>
    </w:p>
    <w:p>
      <w:pPr>
        <w:spacing w:before="0" w:after="0" w:line="276" w:lineRule="auto"/>
        <w:shd w:fill="F0F0F0" w:val="clear"/>
      </w:pPr>
      <w:r>
        <w:rPr>
          <w:rFonts w:ascii="Consolas" w:hAnsi="Consolas"/>
          <w:sz w:val="17"/>
        </w:rPr>
        <w:t>23:              ▷ "抽奖机制": 分错的样本完全抛弃 (不施加KL约束)</w:t>
      </w:r>
    </w:p>
    <w:p>
      <w:pPr>
        <w:spacing w:before="0" w:after="0" w:line="276" w:lineRule="auto"/>
        <w:shd w:fill="F0F0F0" w:val="clear"/>
      </w:pPr>
      <w:r>
        <w:rPr>
          <w:rFonts w:ascii="Consolas" w:hAnsi="Consolas"/>
          <w:sz w:val="17"/>
        </w:rPr>
        <w:t>24:              if m_i ≤ 0 then</w:t>
      </w:r>
    </w:p>
    <w:p>
      <w:pPr>
        <w:spacing w:before="0" w:after="0" w:line="276" w:lineRule="auto"/>
        <w:shd w:fill="F0F0F0" w:val="clear"/>
      </w:pPr>
      <w:r>
        <w:rPr>
          <w:rFonts w:ascii="Consolas" w:hAnsi="Consolas"/>
          <w:sz w:val="17"/>
        </w:rPr>
        <w:t>25:                  w_i ← 0</w:t>
      </w:r>
    </w:p>
    <w:p>
      <w:pPr>
        <w:spacing w:before="0" w:after="0" w:line="276" w:lineRule="auto"/>
        <w:shd w:fill="F0F0F0" w:val="clear"/>
      </w:pPr>
      <w:r>
        <w:rPr>
          <w:rFonts w:ascii="Consolas" w:hAnsi="Consolas"/>
          <w:sz w:val="17"/>
        </w:rPr>
        <w:t>26:              else</w:t>
      </w:r>
    </w:p>
    <w:p>
      <w:pPr>
        <w:spacing w:before="0" w:after="0" w:line="276" w:lineRule="auto"/>
        <w:shd w:fill="F0F0F0" w:val="clear"/>
      </w:pPr>
      <w:r>
        <w:rPr>
          <w:rFonts w:ascii="Consolas" w:hAnsi="Consolas"/>
          <w:sz w:val="17"/>
        </w:rPr>
        <w:t>27:                  ▷ 动态权重映射 (式2)</w:t>
      </w:r>
    </w:p>
    <w:p>
      <w:pPr>
        <w:spacing w:before="0" w:after="0" w:line="276" w:lineRule="auto"/>
        <w:shd w:fill="F0F0F0" w:val="clear"/>
      </w:pPr>
      <w:r>
        <w:rPr>
          <w:rFonts w:ascii="Consolas" w:hAnsi="Consolas"/>
          <w:sz w:val="17"/>
        </w:rPr>
        <w:t>28:                  w_i ← exp(α × (m_i - τ))</w:t>
      </w:r>
    </w:p>
    <w:p>
      <w:pPr>
        <w:spacing w:before="0" w:after="0" w:line="276" w:lineRule="auto"/>
        <w:shd w:fill="F0F0F0" w:val="clear"/>
      </w:pPr>
      <w:r>
        <w:rPr>
          <w:rFonts w:ascii="Consolas" w:hAnsi="Consolas"/>
          <w:sz w:val="17"/>
        </w:rPr>
        <w:t>29:              end if</w:t>
      </w:r>
    </w:p>
    <w:p>
      <w:pPr>
        <w:spacing w:before="0" w:after="0" w:line="276" w:lineRule="auto"/>
        <w:shd w:fill="F0F0F0" w:val="clear"/>
      </w:pPr>
      <w:r>
        <w:rPr>
          <w:rFonts w:ascii="Consolas" w:hAnsi="Consolas"/>
          <w:sz w:val="17"/>
        </w:rPr>
        <w:t>30:          end for</w:t>
      </w:r>
    </w:p>
    <w:p>
      <w:pPr>
        <w:spacing w:before="0" w:after="0" w:line="276" w:lineRule="auto"/>
        <w:shd w:fill="F0F0F0" w:val="clear"/>
      </w:pPr>
      <w:r>
        <w:rPr>
          <w:rFonts w:ascii="Consolas" w:hAnsi="Consolas"/>
          <w:sz w:val="17"/>
        </w:rPr>
        <w:t>31:</w:t>
      </w:r>
    </w:p>
    <w:p>
      <w:pPr>
        <w:spacing w:before="0" w:after="0" w:line="276" w:lineRule="auto"/>
        <w:shd w:fill="F0F0F0" w:val="clear"/>
      </w:pPr>
      <w:r>
        <w:rPr>
          <w:rFonts w:ascii="Consolas" w:hAnsi="Consolas"/>
          <w:sz w:val="17"/>
        </w:rPr>
        <w:t>32:          ▷ 计算前向KL散度 (要求新分布覆盖旧分布的高概率区域)</w:t>
      </w:r>
    </w:p>
    <w:p>
      <w:pPr>
        <w:spacing w:before="0" w:after="0" w:line="276" w:lineRule="auto"/>
        <w:shd w:fill="F0F0F0" w:val="clear"/>
      </w:pPr>
      <w:r>
        <w:rPr>
          <w:rFonts w:ascii="Consolas" w:hAnsi="Consolas"/>
          <w:sz w:val="17"/>
        </w:rPr>
        <w:t>33:          KL_per_sample ← KLDivLoss(p_old, p_new, reduction='none').sum(dim=1)</w:t>
      </w:r>
    </w:p>
    <w:p>
      <w:pPr>
        <w:spacing w:before="0" w:after="0" w:line="276" w:lineRule="auto"/>
        <w:shd w:fill="F0F0F0" w:val="clear"/>
      </w:pPr>
      <w:r>
        <w:rPr>
          <w:rFonts w:ascii="Consolas" w:hAnsi="Consolas"/>
          <w:sz w:val="17"/>
        </w:rPr>
        <w:t>34:</w:t>
      </w:r>
    </w:p>
    <w:p>
      <w:pPr>
        <w:spacing w:before="0" w:after="0" w:line="276" w:lineRule="auto"/>
        <w:shd w:fill="F0F0F0" w:val="clear"/>
      </w:pPr>
      <w:r>
        <w:rPr>
          <w:rFonts w:ascii="Consolas" w:hAnsi="Consolas"/>
          <w:sz w:val="17"/>
        </w:rPr>
        <w:t>35:          ▷ 构建总损失 (式3)</w:t>
      </w:r>
    </w:p>
    <w:p>
      <w:pPr>
        <w:spacing w:before="0" w:after="0" w:line="276" w:lineRule="auto"/>
        <w:shd w:fill="F0F0F0" w:val="clear"/>
      </w:pPr>
      <w:r>
        <w:rPr>
          <w:rFonts w:ascii="Consolas" w:hAnsi="Consolas"/>
          <w:sz w:val="17"/>
        </w:rPr>
        <w:t>36:          w ← tensor([w_1, ..., w_{|B|}])</w:t>
      </w:r>
    </w:p>
    <w:p>
      <w:pPr>
        <w:spacing w:before="0" w:after="0" w:line="276" w:lineRule="auto"/>
        <w:shd w:fill="F0F0F0" w:val="clear"/>
      </w:pPr>
      <w:r>
        <w:rPr>
          <w:rFonts w:ascii="Consolas" w:hAnsi="Consolas"/>
          <w:sz w:val="17"/>
        </w:rPr>
        <w:t>37:          L_anti_forget ← mean(w × KL_per_sample)</w:t>
      </w:r>
    </w:p>
    <w:p>
      <w:pPr>
        <w:spacing w:before="0" w:after="0" w:line="276" w:lineRule="auto"/>
        <w:shd w:fill="F0F0F0" w:val="clear"/>
      </w:pPr>
      <w:r>
        <w:rPr>
          <w:rFonts w:ascii="Consolas" w:hAnsi="Consolas"/>
          <w:sz w:val="17"/>
        </w:rPr>
        <w:t>38:          L_total ← L_CE + λ × L_anti_forget</w:t>
      </w:r>
    </w:p>
    <w:p>
      <w:pPr>
        <w:spacing w:before="0" w:after="0" w:line="276" w:lineRule="auto"/>
        <w:shd w:fill="F0F0F0" w:val="clear"/>
      </w:pPr>
      <w:r>
        <w:rPr>
          <w:rFonts w:ascii="Consolas" w:hAnsi="Consolas"/>
          <w:sz w:val="17"/>
        </w:rPr>
        <w:t>39:</w:t>
      </w:r>
    </w:p>
    <w:p>
      <w:pPr>
        <w:spacing w:before="0" w:after="0" w:line="276" w:lineRule="auto"/>
        <w:shd w:fill="F0F0F0" w:val="clear"/>
      </w:pPr>
      <w:r>
        <w:rPr>
          <w:rFonts w:ascii="Consolas" w:hAnsi="Consolas"/>
          <w:sz w:val="17"/>
        </w:rPr>
        <w:t>40:          ▷ 反向传播与参数更新</w:t>
      </w:r>
    </w:p>
    <w:p>
      <w:pPr>
        <w:spacing w:before="0" w:after="0" w:line="276" w:lineRule="auto"/>
        <w:shd w:fill="F0F0F0" w:val="clear"/>
      </w:pPr>
      <w:r>
        <w:rPr>
          <w:rFonts w:ascii="Consolas" w:hAnsi="Consolas"/>
          <w:sz w:val="17"/>
        </w:rPr>
        <w:t>41:          L_total.backward()</w:t>
      </w:r>
    </w:p>
    <w:p>
      <w:pPr>
        <w:spacing w:before="0" w:after="0" w:line="276" w:lineRule="auto"/>
        <w:shd w:fill="F0F0F0" w:val="clear"/>
      </w:pPr>
      <w:r>
        <w:rPr>
          <w:rFonts w:ascii="Consolas" w:hAnsi="Consolas"/>
          <w:sz w:val="17"/>
        </w:rPr>
        <w:t>42:          optimizer.step()</w:t>
      </w:r>
    </w:p>
    <w:p>
      <w:pPr>
        <w:spacing w:before="0" w:after="0" w:line="276" w:lineRule="auto"/>
        <w:shd w:fill="F0F0F0" w:val="clear"/>
      </w:pPr>
      <w:r>
        <w:rPr>
          <w:rFonts w:ascii="Consolas" w:hAnsi="Consolas"/>
          <w:sz w:val="17"/>
        </w:rPr>
        <w:t>43:          optimizer.zero_grad()</w:t>
      </w:r>
    </w:p>
    <w:p>
      <w:pPr>
        <w:spacing w:before="0" w:after="0" w:line="276" w:lineRule="auto"/>
        <w:shd w:fill="F0F0F0" w:val="clear"/>
      </w:pPr>
      <w:r>
        <w:rPr>
          <w:rFonts w:ascii="Consolas" w:hAnsi="Consolas"/>
          <w:sz w:val="17"/>
        </w:rPr>
        <w:t>44:</w:t>
      </w:r>
    </w:p>
    <w:p>
      <w:pPr>
        <w:spacing w:before="0" w:after="0" w:line="276" w:lineRule="auto"/>
        <w:shd w:fill="F0F0F0" w:val="clear"/>
      </w:pPr>
      <w:r>
        <w:rPr>
          <w:rFonts w:ascii="Consolas" w:hAnsi="Consolas"/>
          <w:sz w:val="17"/>
        </w:rPr>
        <w:t>45:          ▷ 更新历史预测缓存 (与标准 HSKD 一致, 无额外开销)</w:t>
      </w:r>
    </w:p>
    <w:p>
      <w:pPr>
        <w:spacing w:before="0" w:after="0" w:line="276" w:lineRule="auto"/>
        <w:shd w:fill="F0F0F0" w:val="clear"/>
      </w:pPr>
      <w:r>
        <w:rPr>
          <w:rFonts w:ascii="Consolas" w:hAnsi="Consolas"/>
          <w:sz w:val="17"/>
        </w:rPr>
        <w:t>46:          all_predictions[indices_of(x_b)] ← p_new.detach()</w:t>
      </w:r>
    </w:p>
    <w:p>
      <w:pPr>
        <w:spacing w:before="0" w:after="0" w:line="276" w:lineRule="auto"/>
        <w:shd w:fill="F0F0F0" w:val="clear"/>
      </w:pPr>
      <w:r>
        <w:rPr>
          <w:rFonts w:ascii="Consolas" w:hAnsi="Consolas"/>
          <w:sz w:val="17"/>
        </w:rPr>
        <w:t>47:      end for</w:t>
      </w:r>
    </w:p>
    <w:p>
      <w:pPr>
        <w:spacing w:before="0" w:after="0" w:line="276" w:lineRule="auto"/>
        <w:shd w:fill="F0F0F0" w:val="clear"/>
      </w:pPr>
      <w:r>
        <w:rPr>
          <w:rFonts w:ascii="Consolas" w:hAnsi="Consolas"/>
          <w:sz w:val="17"/>
        </w:rPr>
        <w:t>48:</w:t>
      </w:r>
    </w:p>
    <w:p>
      <w:pPr>
        <w:spacing w:before="0" w:after="0" w:line="276" w:lineRule="auto"/>
        <w:shd w:fill="F0F0F0" w:val="clear"/>
      </w:pPr>
      <w:r>
        <w:rPr>
          <w:rFonts w:ascii="Consolas" w:hAnsi="Consolas"/>
          <w:sz w:val="17"/>
        </w:rPr>
        <w:t>49:      ▷ (可选) 每 k 轮执行验证</w:t>
      </w:r>
    </w:p>
    <w:p>
      <w:pPr>
        <w:spacing w:before="0" w:after="0" w:line="276" w:lineRule="auto"/>
        <w:shd w:fill="F0F0F0" w:val="clear"/>
      </w:pPr>
      <w:r>
        <w:rPr>
          <w:rFonts w:ascii="Consolas" w:hAnsi="Consolas"/>
          <w:sz w:val="17"/>
        </w:rPr>
        <w:t>50:      if epoch mod k_val == 0 then</w:t>
      </w:r>
    </w:p>
    <w:p>
      <w:pPr>
        <w:spacing w:before="0" w:after="0" w:line="276" w:lineRule="auto"/>
        <w:shd w:fill="F0F0F0" w:val="clear"/>
      </w:pPr>
      <w:r>
        <w:rPr>
          <w:rFonts w:ascii="Consolas" w:hAnsi="Consolas"/>
          <w:sz w:val="17"/>
        </w:rPr>
        <w:t>51:          val_acc, forget_frac ← validate(f_θ, D_val, all_predictions)</w:t>
      </w:r>
    </w:p>
    <w:p>
      <w:pPr>
        <w:spacing w:before="0" w:after="0" w:line="276" w:lineRule="auto"/>
        <w:shd w:fill="F0F0F0" w:val="clear"/>
      </w:pPr>
      <w:r>
        <w:rPr>
          <w:rFonts w:ascii="Consolas" w:hAnsi="Consolas"/>
          <w:sz w:val="17"/>
        </w:rPr>
        <w:t>52:          log(epoch, val_acc, forget_frac)</w:t>
      </w:r>
    </w:p>
    <w:p>
      <w:pPr>
        <w:spacing w:before="0" w:after="0" w:line="276" w:lineRule="auto"/>
        <w:shd w:fill="F0F0F0" w:val="clear"/>
      </w:pPr>
      <w:r>
        <w:rPr>
          <w:rFonts w:ascii="Consolas" w:hAnsi="Consolas"/>
          <w:sz w:val="17"/>
        </w:rPr>
        <w:t>53:      end if</w:t>
      </w:r>
    </w:p>
    <w:p>
      <w:pPr>
        <w:spacing w:before="0" w:after="0" w:line="276" w:lineRule="auto"/>
        <w:shd w:fill="F0F0F0" w:val="clear"/>
      </w:pPr>
      <w:r>
        <w:rPr>
          <w:rFonts w:ascii="Consolas" w:hAnsi="Consolas"/>
          <w:sz w:val="17"/>
        </w:rPr>
        <w:t>54:  end for</w:t>
      </w:r>
    </w:p>
    <w:p>
      <w:pPr>
        <w:spacing w:before="0" w:after="0" w:line="276" w:lineRule="auto"/>
        <w:shd w:fill="F0F0F0" w:val="clear"/>
      </w:pPr>
      <w:r>
        <w:rPr>
          <w:rFonts w:ascii="Consolas" w:hAnsi="Consolas"/>
          <w:sz w:val="17"/>
        </w:rPr>
        <w:t>55:</w:t>
      </w:r>
    </w:p>
    <w:p>
      <w:pPr>
        <w:spacing w:before="0" w:after="0" w:line="276" w:lineRule="auto"/>
        <w:shd w:fill="F0F0F0" w:val="clear"/>
      </w:pPr>
      <w:r>
        <w:rPr>
          <w:rFonts w:ascii="Consolas" w:hAnsi="Consolas"/>
          <w:sz w:val="17"/>
        </w:rPr>
        <w:t>56:  return f_θ</w:t>
      </w:r>
    </w:p>
    <w:p>
      <w:pPr>
        <w:spacing w:before="160"/>
      </w:pPr>
      <w:r>
        <w:rPr>
          <w:rFonts w:ascii="Times New Roman" w:hAnsi="Times New Roman" w:eastAsia="宋体"/>
          <w:b/>
          <w:sz w:val="19"/>
        </w:rPr>
        <w:t>注：</w:t>
      </w:r>
      <w:r>
        <w:rPr>
          <w:rFonts w:ascii="Times New Roman" w:hAnsi="Times New Roman" w:eastAsia="宋体"/>
          <w:sz w:val="19"/>
        </w:rPr>
        <w:t>算法第 2 行用 one-hot 标签初始化缓存等价于假设"第 0 轮教师完美分对所有样本"。第 46 行的缓存更新与标准 HSKD 完全一致，不引入额外计算开销。</w:t>
      </w:r>
    </w:p>
    <w:p>
      <w:pPr>
        <w:pStyle w:val="Heading1"/>
      </w:pPr>
      <w:r>
        <w:t>4. 超参数讨论</w:t>
      </w:r>
    </w:p>
    <w:p>
      <w:pPr>
        <w:ind w:firstLine="420"/>
      </w:pPr>
      <w:r>
        <w:rPr>
          <w:rFonts w:ascii="Times New Roman" w:hAnsi="Times New Roman" w:eastAsia="宋体"/>
          <w:sz w:val="22"/>
        </w:rPr>
        <w:t>本方法引入三个可调超参数：α（尺度因子）、τ（中性阈值）和 λ（约束强度）。以下基于常规图像分类任务（如 CIFAR-100 + ResNet-18）给出调参逻辑与取值建议。</w:t>
      </w:r>
    </w:p>
    <w:p>
      <w:pPr>
        <w:pStyle w:val="Heading2"/>
      </w:pPr>
      <w:r>
        <w:t>4.1 尺度因子 α</w:t>
      </w:r>
    </w:p>
    <w:p>
      <w:pPr>
        <w:ind w:firstLine="420"/>
      </w:pPr>
      <w:r>
        <w:rPr>
          <w:rFonts w:ascii="Times New Roman" w:hAnsi="Times New Roman" w:eastAsia="宋体"/>
          <w:sz w:val="22"/>
        </w:rPr>
        <w:t>作用：控制边际置信度到约束权重的"放大倍数"。α 越大，高置信度样本与低置信度样本之间的权重差距越悬殊。</w:t>
      </w:r>
    </w:p>
    <w:p>
      <w:pPr>
        <w:ind w:firstLine="420"/>
      </w:pPr>
      <w:r>
        <w:rPr>
          <w:rFonts w:ascii="Times New Roman" w:hAnsi="Times New Roman" w:eastAsia="宋体"/>
          <w:b/>
          <w:sz w:val="22"/>
        </w:rPr>
        <w:t>取值建议：</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D9E2F3" w:val="clear"/>
          </w:tcPr>
          <w:p>
            <w:pPr>
              <w:jc w:val="center"/>
            </w:pPr>
            <w:r/>
            <w:r>
              <w:rPr>
                <w:rFonts w:ascii="Times New Roman" w:hAnsi="Times New Roman"/>
                <w:b/>
                <w:sz w:val="19"/>
              </w:rPr>
              <w:t>α 范围</w:t>
            </w:r>
          </w:p>
        </w:tc>
        <w:tc>
          <w:tcPr>
            <w:tcW w:type="dxa" w:w="3969"/>
            <w:shd w:fill="D9E2F3" w:val="clear"/>
          </w:tcPr>
          <w:p>
            <w:pPr>
              <w:jc w:val="center"/>
            </w:pPr>
            <w:r/>
            <w:r>
              <w:rPr>
                <w:rFonts w:ascii="Times New Roman" w:hAnsi="Times New Roman"/>
                <w:b/>
                <w:sz w:val="19"/>
              </w:rPr>
              <w:t>效应</w:t>
            </w:r>
          </w:p>
        </w:tc>
        <w:tc>
          <w:tcPr>
            <w:tcW w:type="dxa" w:w="2835"/>
            <w:shd w:fill="D9E2F3" w:val="clear"/>
          </w:tcPr>
          <w:p>
            <w:pPr>
              <w:jc w:val="center"/>
            </w:pPr>
            <w:r/>
            <w:r>
              <w:rPr>
                <w:rFonts w:ascii="Times New Roman" w:hAnsi="Times New Roman"/>
                <w:b/>
                <w:sz w:val="19"/>
              </w:rPr>
              <w:t>适用场景</w:t>
            </w:r>
          </w:p>
        </w:tc>
      </w:tr>
      <w:tr>
        <w:tc>
          <w:tcPr>
            <w:tcW w:type="dxa" w:w="1417"/>
          </w:tcPr>
          <w:p>
            <w:pPr>
              <w:jc w:val="center"/>
            </w:pPr>
            <w:r/>
            <w:r>
              <w:rPr>
                <w:rFonts w:ascii="Times New Roman" w:hAnsi="Times New Roman"/>
                <w:sz w:val="19"/>
              </w:rPr>
              <w:t>[0.5, 1.0]</w:t>
            </w:r>
          </w:p>
        </w:tc>
        <w:tc>
          <w:tcPr>
            <w:tcW w:type="dxa" w:w="3969"/>
          </w:tcPr>
          <w:p>
            <w:pPr>
              <w:jc w:val="center"/>
            </w:pPr>
            <w:r/>
            <w:r>
              <w:rPr>
                <w:rFonts w:ascii="Times New Roman" w:hAnsi="Times New Roman"/>
                <w:sz w:val="19"/>
              </w:rPr>
              <w:t>温和调节：权重在 [e^{-0.5τ}, e^{0.5(1−τ)}] 范围内平滑变化</w:t>
            </w:r>
          </w:p>
        </w:tc>
        <w:tc>
          <w:tcPr>
            <w:tcW w:type="dxa" w:w="2835"/>
          </w:tcPr>
          <w:p>
            <w:pPr>
              <w:jc w:val="center"/>
            </w:pPr>
            <w:r/>
            <w:r>
              <w:rPr>
                <w:rFonts w:ascii="Times New Roman" w:hAnsi="Times New Roman"/>
                <w:sz w:val="19"/>
              </w:rPr>
              <w:t>教师质量一般、边际置信度分布分散时</w:t>
            </w:r>
          </w:p>
        </w:tc>
      </w:tr>
      <w:tr>
        <w:tc>
          <w:tcPr>
            <w:tcW w:type="dxa" w:w="1417"/>
          </w:tcPr>
          <w:p>
            <w:pPr>
              <w:jc w:val="center"/>
            </w:pPr>
            <w:r/>
            <w:r>
              <w:rPr>
                <w:rFonts w:ascii="Times New Roman" w:hAnsi="Times New Roman"/>
                <w:sz w:val="19"/>
              </w:rPr>
              <w:t>[1.0, 3.0]</w:t>
            </w:r>
          </w:p>
        </w:tc>
        <w:tc>
          <w:tcPr>
            <w:tcW w:type="dxa" w:w="3969"/>
          </w:tcPr>
          <w:p>
            <w:pPr>
              <w:jc w:val="center"/>
            </w:pPr>
            <w:r/>
            <w:r>
              <w:rPr>
                <w:rFonts w:ascii="Times New Roman" w:hAnsi="Times New Roman"/>
                <w:sz w:val="19"/>
              </w:rPr>
              <w:t>推荐区间：显著区分高/低置信度样本</w:t>
            </w:r>
          </w:p>
        </w:tc>
        <w:tc>
          <w:tcPr>
            <w:tcW w:type="dxa" w:w="2835"/>
          </w:tcPr>
          <w:p>
            <w:pPr>
              <w:jc w:val="center"/>
            </w:pPr>
            <w:r/>
            <w:r>
              <w:rPr>
                <w:rFonts w:ascii="Times New Roman" w:hAnsi="Times New Roman"/>
                <w:sz w:val="19"/>
              </w:rPr>
              <w:t>常规分类任务，教师准确率 &gt; 60% 时</w:t>
            </w:r>
          </w:p>
        </w:tc>
      </w:tr>
      <w:tr>
        <w:tc>
          <w:tcPr>
            <w:tcW w:type="dxa" w:w="1417"/>
          </w:tcPr>
          <w:p>
            <w:pPr>
              <w:jc w:val="center"/>
            </w:pPr>
            <w:r/>
            <w:r>
              <w:rPr>
                <w:rFonts w:ascii="Times New Roman" w:hAnsi="Times New Roman"/>
                <w:sz w:val="19"/>
              </w:rPr>
              <w:t>[3.0, 5.0]</w:t>
            </w:r>
          </w:p>
        </w:tc>
        <w:tc>
          <w:tcPr>
            <w:tcW w:type="dxa" w:w="3969"/>
          </w:tcPr>
          <w:p>
            <w:pPr>
              <w:jc w:val="center"/>
            </w:pPr>
            <w:r/>
            <w:r>
              <w:rPr>
                <w:rFonts w:ascii="Times New Roman" w:hAnsi="Times New Roman"/>
                <w:sz w:val="19"/>
              </w:rPr>
              <w:t>激进调节：高置信度样本获得极强约束，几乎无法被改变</w:t>
            </w:r>
          </w:p>
        </w:tc>
        <w:tc>
          <w:tcPr>
            <w:tcW w:type="dxa" w:w="2835"/>
          </w:tcPr>
          <w:p>
            <w:pPr>
              <w:jc w:val="center"/>
            </w:pPr>
            <w:r/>
            <w:r>
              <w:rPr>
                <w:rFonts w:ascii="Times New Roman" w:hAnsi="Times New Roman"/>
                <w:sz w:val="19"/>
              </w:rPr>
              <w:t>教师质量很高、仅需微调时</w:t>
            </w:r>
          </w:p>
        </w:tc>
      </w:tr>
    </w:tbl>
    <w:p/>
    <w:p>
      <w:pPr>
        <w:ind w:firstLine="420"/>
      </w:pPr>
      <w:r>
        <w:rPr>
          <w:rFonts w:ascii="Times New Roman" w:hAnsi="Times New Roman" w:eastAsia="宋体"/>
          <w:sz w:val="22"/>
        </w:rPr>
        <w:t>调参策略：建议从 α = 2.0 起步。若观察到遗忘率下降但验证精度同步下降（过度约束），适当减小 α；若遗忘率下降不明显，适当增大 α。可在训练过程中监控 w_i 的均值与方差以判断权重分布是否合理——均值过小说明大部分样本被弱化，均值过大说明少数样本过度主导约束。</w:t>
      </w:r>
    </w:p>
    <w:p>
      <w:pPr>
        <w:pStyle w:val="Heading2"/>
      </w:pPr>
      <w:r>
        <w:t>4.2 中性阈值 τ</w:t>
      </w:r>
    </w:p>
    <w:p>
      <w:pPr>
        <w:ind w:firstLine="420"/>
      </w:pPr>
      <w:r>
        <w:rPr>
          <w:rFonts w:ascii="Times New Roman" w:hAnsi="Times New Roman" w:eastAsia="宋体"/>
          <w:sz w:val="22"/>
        </w:rPr>
        <w:t>作用：定义"标准强度"的基准线。m_i = τ 时，w_i = 1（KL 约束强度等同于不加权的标准 SKD）。</w:t>
      </w:r>
    </w:p>
    <w:p>
      <w:pPr>
        <w:ind w:firstLine="420"/>
      </w:pPr>
      <w:r>
        <w:rPr>
          <w:rFonts w:ascii="Times New Roman" w:hAnsi="Times New Roman" w:eastAsia="宋体"/>
          <w:b/>
          <w:sz w:val="22"/>
        </w:rPr>
        <w:t>取值建议：</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D9E2F3" w:val="clear"/>
          </w:tcPr>
          <w:p>
            <w:pPr>
              <w:jc w:val="center"/>
            </w:pPr>
            <w:r/>
            <w:r>
              <w:rPr>
                <w:rFonts w:ascii="Times New Roman" w:hAnsi="Times New Roman"/>
                <w:b/>
                <w:sz w:val="19"/>
              </w:rPr>
              <w:t>τ 范围</w:t>
            </w:r>
          </w:p>
        </w:tc>
        <w:tc>
          <w:tcPr>
            <w:tcW w:type="dxa" w:w="3969"/>
            <w:shd w:fill="D9E2F3" w:val="clear"/>
          </w:tcPr>
          <w:p>
            <w:pPr>
              <w:jc w:val="center"/>
            </w:pPr>
            <w:r/>
            <w:r>
              <w:rPr>
                <w:rFonts w:ascii="Times New Roman" w:hAnsi="Times New Roman"/>
                <w:b/>
                <w:sz w:val="19"/>
              </w:rPr>
              <w:t>效应</w:t>
            </w:r>
          </w:p>
        </w:tc>
        <w:tc>
          <w:tcPr>
            <w:tcW w:type="dxa" w:w="2835"/>
            <w:shd w:fill="D9E2F3" w:val="clear"/>
          </w:tcPr>
          <w:p>
            <w:pPr>
              <w:jc w:val="center"/>
            </w:pPr>
            <w:r/>
            <w:r>
              <w:rPr>
                <w:rFonts w:ascii="Times New Roman" w:hAnsi="Times New Roman"/>
                <w:b/>
                <w:sz w:val="19"/>
              </w:rPr>
              <w:t>适用场景</w:t>
            </w:r>
          </w:p>
        </w:tc>
      </w:tr>
      <w:tr>
        <w:tc>
          <w:tcPr>
            <w:tcW w:type="dxa" w:w="1417"/>
          </w:tcPr>
          <w:p>
            <w:pPr>
              <w:jc w:val="center"/>
            </w:pPr>
            <w:r/>
            <w:r>
              <w:rPr>
                <w:rFonts w:ascii="Times New Roman" w:hAnsi="Times New Roman"/>
                <w:sz w:val="19"/>
              </w:rPr>
              <w:t>[0.05, 0.15]</w:t>
            </w:r>
          </w:p>
        </w:tc>
        <w:tc>
          <w:tcPr>
            <w:tcW w:type="dxa" w:w="3969"/>
          </w:tcPr>
          <w:p>
            <w:pPr>
              <w:jc w:val="center"/>
            </w:pPr>
            <w:r/>
            <w:r>
              <w:rPr>
                <w:rFonts w:ascii="Times New Roman" w:hAnsi="Times New Roman"/>
                <w:sz w:val="19"/>
              </w:rPr>
              <w:t>"宽松型"：仅有极低置信度的正确样本会被降权，绝大多数样本获得提权</w:t>
            </w:r>
          </w:p>
        </w:tc>
        <w:tc>
          <w:tcPr>
            <w:tcW w:type="dxa" w:w="2835"/>
          </w:tcPr>
          <w:p>
            <w:pPr>
              <w:jc w:val="center"/>
            </w:pPr>
            <w:r/>
            <w:r>
              <w:rPr>
                <w:rFonts w:ascii="Times New Roman" w:hAnsi="Times New Roman"/>
                <w:sz w:val="19"/>
              </w:rPr>
              <w:t>教师性能优异、期望大力保护时</w:t>
            </w:r>
          </w:p>
        </w:tc>
      </w:tr>
      <w:tr>
        <w:tc>
          <w:tcPr>
            <w:tcW w:type="dxa" w:w="1417"/>
          </w:tcPr>
          <w:p>
            <w:pPr>
              <w:jc w:val="center"/>
            </w:pPr>
            <w:r/>
            <w:r>
              <w:rPr>
                <w:rFonts w:ascii="Times New Roman" w:hAnsi="Times New Roman"/>
                <w:sz w:val="19"/>
              </w:rPr>
              <w:t>[0.15, 0.30]</w:t>
            </w:r>
          </w:p>
        </w:tc>
        <w:tc>
          <w:tcPr>
            <w:tcW w:type="dxa" w:w="3969"/>
          </w:tcPr>
          <w:p>
            <w:pPr>
              <w:jc w:val="center"/>
            </w:pPr>
            <w:r/>
            <w:r>
              <w:rPr>
                <w:rFonts w:ascii="Times New Roman" w:hAnsi="Times New Roman"/>
                <w:sz w:val="19"/>
              </w:rPr>
              <w:t>推荐区间：适中的分界线</w:t>
            </w:r>
          </w:p>
        </w:tc>
        <w:tc>
          <w:tcPr>
            <w:tcW w:type="dxa" w:w="2835"/>
          </w:tcPr>
          <w:p>
            <w:pPr>
              <w:jc w:val="center"/>
            </w:pPr>
            <w:r/>
            <w:r>
              <w:rPr>
                <w:rFonts w:ascii="Times New Roman" w:hAnsi="Times New Roman"/>
                <w:sz w:val="19"/>
              </w:rPr>
              <w:t>常规任务</w:t>
            </w:r>
          </w:p>
        </w:tc>
      </w:tr>
      <w:tr>
        <w:tc>
          <w:tcPr>
            <w:tcW w:type="dxa" w:w="1417"/>
          </w:tcPr>
          <w:p>
            <w:pPr>
              <w:jc w:val="center"/>
            </w:pPr>
            <w:r/>
            <w:r>
              <w:rPr>
                <w:rFonts w:ascii="Times New Roman" w:hAnsi="Times New Roman"/>
                <w:sz w:val="19"/>
              </w:rPr>
              <w:t>[0.30, 0.50]</w:t>
            </w:r>
          </w:p>
        </w:tc>
        <w:tc>
          <w:tcPr>
            <w:tcW w:type="dxa" w:w="3969"/>
          </w:tcPr>
          <w:p>
            <w:pPr>
              <w:jc w:val="center"/>
            </w:pPr>
            <w:r/>
            <w:r>
              <w:rPr>
                <w:rFonts w:ascii="Times New Roman" w:hAnsi="Times New Roman"/>
                <w:sz w:val="19"/>
              </w:rPr>
              <w:t>"严苛型"：需要较高的边际置信度才能获得提权</w:t>
            </w:r>
          </w:p>
        </w:tc>
        <w:tc>
          <w:tcPr>
            <w:tcW w:type="dxa" w:w="2835"/>
          </w:tcPr>
          <w:p>
            <w:pPr>
              <w:jc w:val="center"/>
            </w:pPr>
            <w:r/>
            <w:r>
              <w:rPr>
                <w:rFonts w:ascii="Times New Roman" w:hAnsi="Times New Roman"/>
                <w:sz w:val="19"/>
              </w:rPr>
              <w:t>教师噪声较大、期望谨慎继承时</w:t>
            </w:r>
          </w:p>
        </w:tc>
      </w:tr>
    </w:tbl>
    <w:p/>
    <w:p>
      <w:pPr>
        <w:ind w:firstLine="420"/>
      </w:pPr>
      <w:r>
        <w:rPr>
          <w:rFonts w:ascii="Times New Roman" w:hAnsi="Times New Roman" w:eastAsia="宋体"/>
          <w:sz w:val="22"/>
        </w:rPr>
        <w:t>调参策略：建议从 τ = 0.2 起步。可在训练早期观察被降权（0 &lt; m_i &lt; τ）和被提权（m_i &gt; τ）的样本比例，理想情况下应大致相当。若被降权的样本比例超过 70%，说明 τ 偏高，应适当降低；若被提权样本比例超过 80%，说明 τ 偏低，教师的大部分判断尚未达到"值得保护"的门槛就已获得增强约束。</w:t>
      </w:r>
    </w:p>
    <w:p>
      <w:pPr>
        <w:pStyle w:val="Heading2"/>
      </w:pPr>
      <w:r>
        <w:t>4.3 约束强度 λ</w:t>
      </w:r>
    </w:p>
    <w:p>
      <w:pPr>
        <w:ind w:firstLine="420"/>
      </w:pPr>
      <w:r>
        <w:rPr>
          <w:rFonts w:ascii="Times New Roman" w:hAnsi="Times New Roman" w:eastAsia="宋体"/>
          <w:sz w:val="22"/>
        </w:rPr>
        <w:t>作用：控制抗遗忘约束项在总损失中的相对权重。λ = 0 退化为标准交叉熵训练（无遗忘保护）；λ 过大时模型创新不足。</w:t>
      </w:r>
    </w:p>
    <w:p>
      <w:pPr>
        <w:ind w:firstLine="420"/>
      </w:pPr>
      <w:r>
        <w:rPr>
          <w:rFonts w:ascii="Times New Roman" w:hAnsi="Times New Roman" w:eastAsia="宋体"/>
          <w:b/>
          <w:sz w:val="22"/>
        </w:rPr>
        <w:t>取值建议：</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D9E2F3" w:val="clear"/>
          </w:tcPr>
          <w:p>
            <w:pPr>
              <w:jc w:val="center"/>
            </w:pPr>
            <w:r/>
            <w:r>
              <w:rPr>
                <w:rFonts w:ascii="Times New Roman" w:hAnsi="Times New Roman"/>
                <w:b/>
                <w:sz w:val="19"/>
              </w:rPr>
              <w:t>λ 范围</w:t>
            </w:r>
          </w:p>
        </w:tc>
        <w:tc>
          <w:tcPr>
            <w:tcW w:type="dxa" w:w="3969"/>
            <w:shd w:fill="D9E2F3" w:val="clear"/>
          </w:tcPr>
          <w:p>
            <w:pPr>
              <w:jc w:val="center"/>
            </w:pPr>
            <w:r/>
            <w:r>
              <w:rPr>
                <w:rFonts w:ascii="Times New Roman" w:hAnsi="Times New Roman"/>
                <w:b/>
                <w:sz w:val="19"/>
              </w:rPr>
              <w:t>效应</w:t>
            </w:r>
          </w:p>
        </w:tc>
        <w:tc>
          <w:tcPr>
            <w:tcW w:type="dxa" w:w="2835"/>
            <w:shd w:fill="D9E2F3" w:val="clear"/>
          </w:tcPr>
          <w:p>
            <w:pPr>
              <w:jc w:val="center"/>
            </w:pPr>
            <w:r/>
            <w:r>
              <w:rPr>
                <w:rFonts w:ascii="Times New Roman" w:hAnsi="Times New Roman"/>
                <w:b/>
                <w:sz w:val="19"/>
              </w:rPr>
              <w:t>适用场景</w:t>
            </w:r>
          </w:p>
        </w:tc>
      </w:tr>
      <w:tr>
        <w:tc>
          <w:tcPr>
            <w:tcW w:type="dxa" w:w="1417"/>
          </w:tcPr>
          <w:p>
            <w:pPr>
              <w:jc w:val="center"/>
            </w:pPr>
            <w:r/>
            <w:r>
              <w:rPr>
                <w:rFonts w:ascii="Times New Roman" w:hAnsi="Times New Roman"/>
                <w:sz w:val="19"/>
              </w:rPr>
              <w:t>[0.01, 0.1]</w:t>
            </w:r>
          </w:p>
        </w:tc>
        <w:tc>
          <w:tcPr>
            <w:tcW w:type="dxa" w:w="3969"/>
          </w:tcPr>
          <w:p>
            <w:pPr>
              <w:jc w:val="center"/>
            </w:pPr>
            <w:r/>
            <w:r>
              <w:rPr>
                <w:rFonts w:ascii="Times New Roman" w:hAnsi="Times New Roman"/>
                <w:sz w:val="19"/>
              </w:rPr>
              <w:t>弱约束：仅对极高置信度样本产生微弱保护</w:t>
            </w:r>
          </w:p>
        </w:tc>
        <w:tc>
          <w:tcPr>
            <w:tcW w:type="dxa" w:w="2835"/>
          </w:tcPr>
          <w:p>
            <w:pPr>
              <w:jc w:val="center"/>
            </w:pPr>
            <w:r/>
            <w:r>
              <w:rPr>
                <w:rFonts w:ascii="Times New Roman" w:hAnsi="Times New Roman"/>
                <w:sz w:val="19"/>
              </w:rPr>
              <w:t>教师变化剧烈、约束需谨慎时</w:t>
            </w:r>
          </w:p>
        </w:tc>
      </w:tr>
      <w:tr>
        <w:tc>
          <w:tcPr>
            <w:tcW w:type="dxa" w:w="1417"/>
          </w:tcPr>
          <w:p>
            <w:pPr>
              <w:jc w:val="center"/>
            </w:pPr>
            <w:r/>
            <w:r>
              <w:rPr>
                <w:rFonts w:ascii="Times New Roman" w:hAnsi="Times New Roman"/>
                <w:sz w:val="19"/>
              </w:rPr>
              <w:t>[0.1, 1.0]</w:t>
            </w:r>
          </w:p>
        </w:tc>
        <w:tc>
          <w:tcPr>
            <w:tcW w:type="dxa" w:w="3969"/>
          </w:tcPr>
          <w:p>
            <w:pPr>
              <w:jc w:val="center"/>
            </w:pPr>
            <w:r/>
            <w:r>
              <w:rPr>
                <w:rFonts w:ascii="Times New Roman" w:hAnsi="Times New Roman"/>
                <w:sz w:val="19"/>
              </w:rPr>
              <w:t>推荐区间：在遗忘抑制与学习灵活性之间取得平衡</w:t>
            </w:r>
          </w:p>
        </w:tc>
        <w:tc>
          <w:tcPr>
            <w:tcW w:type="dxa" w:w="2835"/>
          </w:tcPr>
          <w:p>
            <w:pPr>
              <w:jc w:val="center"/>
            </w:pPr>
            <w:r/>
            <w:r>
              <w:rPr>
                <w:rFonts w:ascii="Times New Roman" w:hAnsi="Times New Roman"/>
                <w:sz w:val="19"/>
              </w:rPr>
              <w:t>常规分类任务</w:t>
            </w:r>
          </w:p>
        </w:tc>
      </w:tr>
      <w:tr>
        <w:tc>
          <w:tcPr>
            <w:tcW w:type="dxa" w:w="1417"/>
          </w:tcPr>
          <w:p>
            <w:pPr>
              <w:jc w:val="center"/>
            </w:pPr>
            <w:r/>
            <w:r>
              <w:rPr>
                <w:rFonts w:ascii="Times New Roman" w:hAnsi="Times New Roman"/>
                <w:sz w:val="19"/>
              </w:rPr>
              <w:t>[1.0, 5.0]</w:t>
            </w:r>
          </w:p>
        </w:tc>
        <w:tc>
          <w:tcPr>
            <w:tcW w:type="dxa" w:w="3969"/>
          </w:tcPr>
          <w:p>
            <w:pPr>
              <w:jc w:val="center"/>
            </w:pPr>
            <w:r/>
            <w:r>
              <w:rPr>
                <w:rFonts w:ascii="Times New Roman" w:hAnsi="Times New Roman"/>
                <w:sz w:val="19"/>
              </w:rPr>
              <w:t>强约束：强力锁定已掌握的知识</w:t>
            </w:r>
          </w:p>
        </w:tc>
        <w:tc>
          <w:tcPr>
            <w:tcW w:type="dxa" w:w="2835"/>
          </w:tcPr>
          <w:p>
            <w:pPr>
              <w:jc w:val="center"/>
            </w:pPr>
            <w:r/>
            <w:r>
              <w:rPr>
                <w:rFonts w:ascii="Times New Roman" w:hAnsi="Times New Roman"/>
                <w:sz w:val="19"/>
              </w:rPr>
              <w:t>遗忘问题严重、或训练后期仅需精调时</w:t>
            </w:r>
          </w:p>
        </w:tc>
      </w:tr>
    </w:tbl>
    <w:p/>
    <w:p>
      <w:pPr>
        <w:ind w:firstLine="420"/>
      </w:pPr>
      <w:r>
        <w:rPr>
          <w:rFonts w:ascii="Times New Roman" w:hAnsi="Times New Roman" w:eastAsia="宋体"/>
          <w:sz w:val="22"/>
        </w:rPr>
        <w:t>调参策略：建议从 λ = 0.1 起步，观察遗忘曲线（Forget Fraction vs. Epoch）与验证精度曲线的相对关系。理想状态下，遗忘率相比基线（如 CE Only 或标准 HSKD）降低 10%–30%，而最终验证精度不下降或仅微弱下降（&lt;0.5%）。若验证精度显著下降（&gt;1%），降低 λ；若遗忘率未得到有效抑制，提高 λ。</w:t>
      </w:r>
    </w:p>
    <w:p>
      <w:pPr>
        <w:pStyle w:val="Heading2"/>
      </w:pPr>
      <w:r>
        <w:t>4.4 联合调参流程（推荐）</w:t>
      </w:r>
    </w:p>
    <w:p>
      <w:pPr>
        <w:spacing w:before="0" w:after="0" w:line="276" w:lineRule="auto"/>
        <w:shd w:fill="F0F0F0" w:val="clear"/>
      </w:pPr>
      <w:r>
        <w:rPr>
          <w:rFonts w:ascii="Consolas" w:hAnsi="Consolas"/>
          <w:sz w:val="17"/>
        </w:rPr>
        <w:t>1. 固定 α = 2.0, τ = 0.2, λ = 0.1 (默认设置)</w:t>
      </w:r>
    </w:p>
    <w:p>
      <w:pPr>
        <w:spacing w:before="0" w:after="0" w:line="276" w:lineRule="auto"/>
        <w:shd w:fill="F0F0F0" w:val="clear"/>
      </w:pPr>
      <w:r>
        <w:rPr>
          <w:rFonts w:ascii="Consolas" w:hAnsi="Consolas"/>
          <w:sz w:val="17"/>
        </w:rPr>
        <w:t>2. 运行 30-50 轮探索性训练:</w:t>
      </w:r>
    </w:p>
    <w:p>
      <w:pPr>
        <w:spacing w:before="0" w:after="0" w:line="276" w:lineRule="auto"/>
        <w:shd w:fill="F0F0F0" w:val="clear"/>
      </w:pPr>
      <w:r>
        <w:rPr>
          <w:rFonts w:ascii="Consolas" w:hAnsi="Consolas"/>
          <w:sz w:val="17"/>
        </w:rPr>
        <w:t xml:space="preserve">   a. 监控 w_i 分布 → 调节 τ (确保权重在 [0.1, 5.0] 范围内覆盖多数样本)</w:t>
      </w:r>
    </w:p>
    <w:p>
      <w:pPr>
        <w:spacing w:before="0" w:after="0" w:line="276" w:lineRule="auto"/>
        <w:shd w:fill="F0F0F0" w:val="clear"/>
      </w:pPr>
      <w:r>
        <w:rPr>
          <w:rFonts w:ascii="Consolas" w:hAnsi="Consolas"/>
          <w:sz w:val="17"/>
        </w:rPr>
        <w:t xml:space="preserve">   b. 监控 Forget Fraction → 调节 λ (确保遗忘率下降 ≥ 10%)</w:t>
      </w:r>
    </w:p>
    <w:p>
      <w:pPr>
        <w:spacing w:before="0" w:after="0" w:line="276" w:lineRule="auto"/>
        <w:shd w:fill="F0F0F0" w:val="clear"/>
      </w:pPr>
      <w:r>
        <w:rPr>
          <w:rFonts w:ascii="Consolas" w:hAnsi="Consolas"/>
          <w:sz w:val="17"/>
        </w:rPr>
        <w:t>3. 细调 α: 若高置信度 (m_i &gt; 0.5) 样本仍出现遗忘 → 增大 α</w:t>
      </w:r>
    </w:p>
    <w:p>
      <w:pPr>
        <w:spacing w:before="0" w:after="0" w:line="276" w:lineRule="auto"/>
        <w:shd w:fill="F0F0F0" w:val="clear"/>
      </w:pPr>
      <w:r>
        <w:rPr>
          <w:rFonts w:ascii="Consolas" w:hAnsi="Consolas"/>
          <w:sz w:val="17"/>
        </w:rPr>
        <w:t>4. 细调 λ: 在验证精度可接受的前提下, 最大化 λ 以抑制遗忘</w:t>
      </w:r>
    </w:p>
    <w:p>
      <w:pPr>
        <w:spacing w:before="0" w:after="0" w:line="276" w:lineRule="auto"/>
        <w:shd w:fill="F0F0F0" w:val="clear"/>
      </w:pPr>
      <w:r>
        <w:rPr>
          <w:rFonts w:ascii="Consolas" w:hAnsi="Consolas"/>
          <w:sz w:val="17"/>
        </w:rPr>
        <w:t>5. 最终运行完整训练 (300 epoch) 并报告结果</w:t>
      </w:r>
    </w:p>
    <w:p>
      <w:pPr>
        <w:pStyle w:val="Heading1"/>
      </w:pPr>
      <w:r>
        <w:t>5. 方法特性总结</w:t>
      </w:r>
    </w:p>
    <w:tbl>
      <w:tblPr>
        <w:tblStyle w:val="TableGrid"/>
        <w:tblW w:type="auto" w:w="0"/>
        <w:jc w:val="center"/>
        <w:tblLook w:firstColumn="1" w:firstRow="1" w:lastColumn="0" w:lastRow="0" w:noHBand="0" w:noVBand="1" w:val="04A0"/>
      </w:tblPr>
      <w:tblGrid>
        <w:gridCol w:w="4320"/>
        <w:gridCol w:w="4320"/>
      </w:tblGrid>
      <w:tr>
        <w:tc>
          <w:tcPr>
            <w:tcW w:type="dxa" w:w="1701"/>
            <w:shd w:fill="D9E2F3" w:val="clear"/>
          </w:tcPr>
          <w:p>
            <w:pPr>
              <w:jc w:val="center"/>
            </w:pPr>
            <w:r/>
            <w:r>
              <w:rPr>
                <w:rFonts w:ascii="Times New Roman" w:hAnsi="Times New Roman"/>
                <w:b/>
                <w:sz w:val="19"/>
              </w:rPr>
              <w:t>特性</w:t>
            </w:r>
          </w:p>
        </w:tc>
        <w:tc>
          <w:tcPr>
            <w:tcW w:type="dxa" w:w="7370"/>
            <w:shd w:fill="D9E2F3" w:val="clear"/>
          </w:tcPr>
          <w:p>
            <w:pPr>
              <w:jc w:val="center"/>
            </w:pPr>
            <w:r/>
            <w:r>
              <w:rPr>
                <w:rFonts w:ascii="Times New Roman" w:hAnsi="Times New Roman"/>
                <w:b/>
                <w:sz w:val="19"/>
              </w:rPr>
              <w:t>说明</w:t>
            </w:r>
          </w:p>
        </w:tc>
      </w:tr>
      <w:tr>
        <w:tc>
          <w:tcPr>
            <w:tcW w:type="dxa" w:w="1701"/>
          </w:tcPr>
          <w:p>
            <w:pPr>
              <w:jc w:val="center"/>
            </w:pPr>
            <w:r/>
            <w:r>
              <w:rPr>
                <w:rFonts w:ascii="Times New Roman" w:hAnsi="Times New Roman"/>
                <w:sz w:val="19"/>
              </w:rPr>
              <w:t>选择性</w:t>
            </w:r>
          </w:p>
        </w:tc>
        <w:tc>
          <w:tcPr>
            <w:tcW w:type="dxa" w:w="7370"/>
          </w:tcPr>
          <w:p>
            <w:pPr>
              <w:jc w:val="center"/>
            </w:pPr>
            <w:r/>
            <w:r>
              <w:rPr>
                <w:rFonts w:ascii="Times New Roman" w:hAnsi="Times New Roman"/>
                <w:sz w:val="19"/>
              </w:rPr>
              <w:t>仅对 m_i &gt; 0 的样本施加 KL 约束，错误知识不被继承</w:t>
            </w:r>
          </w:p>
        </w:tc>
      </w:tr>
      <w:tr>
        <w:tc>
          <w:tcPr>
            <w:tcW w:type="dxa" w:w="1701"/>
          </w:tcPr>
          <w:p>
            <w:pPr>
              <w:jc w:val="center"/>
            </w:pPr>
            <w:r/>
            <w:r>
              <w:rPr>
                <w:rFonts w:ascii="Times New Roman" w:hAnsi="Times New Roman"/>
                <w:sz w:val="19"/>
              </w:rPr>
              <w:t>连续性</w:t>
            </w:r>
          </w:p>
        </w:tc>
        <w:tc>
          <w:tcPr>
            <w:tcW w:type="dxa" w:w="7370"/>
          </w:tcPr>
          <w:p>
            <w:pPr>
              <w:jc w:val="center"/>
            </w:pPr>
            <w:r/>
            <w:r>
              <w:rPr>
                <w:rFonts w:ascii="Times New Roman" w:hAnsi="Times New Roman"/>
                <w:sz w:val="19"/>
              </w:rPr>
              <w:t>指数型权重实现置信度→约束强度的平滑映射，无硬阈值断层</w:t>
            </w:r>
          </w:p>
        </w:tc>
      </w:tr>
      <w:tr>
        <w:tc>
          <w:tcPr>
            <w:tcW w:type="dxa" w:w="1701"/>
          </w:tcPr>
          <w:p>
            <w:pPr>
              <w:jc w:val="center"/>
            </w:pPr>
            <w:r/>
            <w:r>
              <w:rPr>
                <w:rFonts w:ascii="Times New Roman" w:hAnsi="Times New Roman"/>
                <w:sz w:val="19"/>
              </w:rPr>
              <w:t>无额外开销</w:t>
            </w:r>
          </w:p>
        </w:tc>
        <w:tc>
          <w:tcPr>
            <w:tcW w:type="dxa" w:w="7370"/>
          </w:tcPr>
          <w:p>
            <w:pPr>
              <w:jc w:val="center"/>
            </w:pPr>
            <w:r/>
            <w:r>
              <w:rPr>
                <w:rFonts w:ascii="Times New Roman" w:hAnsi="Times New Roman"/>
                <w:sz w:val="19"/>
              </w:rPr>
              <w:t>所有计算均复用 SKD 已有的历史预测缓存和前向传播</w:t>
            </w:r>
          </w:p>
        </w:tc>
      </w:tr>
      <w:tr>
        <w:tc>
          <w:tcPr>
            <w:tcW w:type="dxa" w:w="1701"/>
          </w:tcPr>
          <w:p>
            <w:pPr>
              <w:jc w:val="center"/>
            </w:pPr>
            <w:r/>
            <w:r>
              <w:rPr>
                <w:rFonts w:ascii="Times New Roman" w:hAnsi="Times New Roman"/>
                <w:sz w:val="19"/>
              </w:rPr>
              <w:t>方向正确性</w:t>
            </w:r>
          </w:p>
        </w:tc>
        <w:tc>
          <w:tcPr>
            <w:tcW w:type="dxa" w:w="7370"/>
          </w:tcPr>
          <w:p>
            <w:pPr>
              <w:jc w:val="center"/>
            </w:pPr>
            <w:r/>
            <w:r>
              <w:rPr>
                <w:rFonts w:ascii="Times New Roman" w:hAnsi="Times New Roman"/>
                <w:sz w:val="19"/>
              </w:rPr>
              <w:t>前向 KL(p_old || p_new) 保证新分布被旧分布的高概率区域"锚定"</w:t>
            </w:r>
          </w:p>
        </w:tc>
      </w:tr>
      <w:tr>
        <w:tc>
          <w:tcPr>
            <w:tcW w:type="dxa" w:w="1701"/>
          </w:tcPr>
          <w:p>
            <w:pPr>
              <w:jc w:val="center"/>
            </w:pPr>
            <w:r/>
            <w:r>
              <w:rPr>
                <w:rFonts w:ascii="Times New Roman" w:hAnsi="Times New Roman"/>
                <w:sz w:val="19"/>
              </w:rPr>
              <w:t>理论根基</w:t>
            </w:r>
          </w:p>
        </w:tc>
        <w:tc>
          <w:tcPr>
            <w:tcW w:type="dxa" w:w="7370"/>
          </w:tcPr>
          <w:p>
            <w:pPr>
              <w:jc w:val="center"/>
            </w:pPr>
            <w:r/>
            <w:r>
              <w:rPr>
                <w:rFonts w:ascii="Times New Roman" w:hAnsi="Times New Roman"/>
                <w:sz w:val="19"/>
              </w:rPr>
              <w:t>与 EWC 共享"重要性加权的知识保护"范式，但在更自然的输出空间操作</w:t>
            </w:r>
          </w:p>
        </w:tc>
      </w:tr>
      <w:tr>
        <w:tc>
          <w:tcPr>
            <w:tcW w:type="dxa" w:w="1701"/>
          </w:tcPr>
          <w:p>
            <w:pPr>
              <w:jc w:val="center"/>
            </w:pPr>
            <w:r/>
            <w:r>
              <w:rPr>
                <w:rFonts w:ascii="Times New Roman" w:hAnsi="Times New Roman"/>
                <w:sz w:val="19"/>
              </w:rPr>
              <w:t>安全保障</w:t>
            </w:r>
          </w:p>
        </w:tc>
        <w:tc>
          <w:tcPr>
            <w:tcW w:type="dxa" w:w="7370"/>
          </w:tcPr>
          <w:p>
            <w:pPr>
              <w:jc w:val="center"/>
            </w:pPr>
            <w:r/>
            <w:r>
              <w:rPr>
                <w:rFonts w:ascii="Times New Roman" w:hAnsi="Times New Roman"/>
                <w:sz w:val="19"/>
              </w:rPr>
              <w:t>最坏情况（上轮全错）退化为标准交叉熵，不会比基线更差</w:t>
            </w:r>
          </w:p>
        </w:tc>
      </w:tr>
      <w:tr>
        <w:tc>
          <w:tcPr>
            <w:tcW w:type="dxa" w:w="1701"/>
          </w:tcPr>
          <w:p>
            <w:pPr>
              <w:jc w:val="center"/>
            </w:pPr>
            <w:r/>
            <w:r>
              <w:rPr>
                <w:rFonts w:ascii="Times New Roman" w:hAnsi="Times New Roman"/>
                <w:sz w:val="19"/>
              </w:rPr>
              <w:t>可插拔性</w:t>
            </w:r>
          </w:p>
        </w:tc>
        <w:tc>
          <w:tcPr>
            <w:tcW w:type="dxa" w:w="7370"/>
          </w:tcPr>
          <w:p>
            <w:pPr>
              <w:jc w:val="center"/>
            </w:pPr>
            <w:r/>
            <w:r>
              <w:rPr>
                <w:rFonts w:ascii="Times New Roman" w:hAnsi="Times New Roman"/>
                <w:sz w:val="19"/>
              </w:rPr>
              <w:t>可独立使用（替代 HSKD），也可与 StructKD、EWC-SKD 等组合</w:t>
            </w:r>
          </w:p>
        </w:tc>
      </w:tr>
    </w:tbl>
    <w:p/>
    <w:p/>
    <w:p>
      <w:pPr>
        <w:jc w:val="center"/>
      </w:pPr>
      <w:r>
        <w:rPr>
          <w:rFonts w:ascii="Times New Roman" w:hAnsi="Times New Roman"/>
          <w:i/>
          <w:color w:val="999999"/>
          <w:sz w:val="18"/>
        </w:rPr>
        <w:t>—— 文档版本 v1.0，生成于 2026-06-25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