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E2327">
      <w:pPr>
        <w:pStyle w:val="31"/>
        <w:jc w:val="center"/>
        <w:rPr>
          <w:rFonts w:hint="eastAsia" w:ascii="微软雅黑" w:hAnsi="微软雅黑" w:eastAsia="微软雅黑" w:cs="微软雅黑"/>
        </w:rPr>
      </w:pPr>
      <w:r>
        <w:rPr>
          <w:rFonts w:hint="eastAsia" w:ascii="微软雅黑" w:hAnsi="微软雅黑" w:eastAsia="微软雅黑" w:cs="微软雅黑"/>
        </w:rPr>
        <w:t>基于边际置信度加权的抗隐性遗忘自知识蒸馏</w:t>
      </w:r>
    </w:p>
    <w:p w14:paraId="246ABDC2">
      <w:pPr>
        <w:jc w:val="center"/>
        <w:rPr>
          <w:rFonts w:hint="eastAsia" w:ascii="微软雅黑" w:hAnsi="微软雅黑" w:eastAsia="微软雅黑" w:cs="微软雅黑"/>
        </w:rPr>
      </w:pPr>
      <w:r>
        <w:rPr>
          <w:rFonts w:hint="eastAsia" w:ascii="微软雅黑" w:hAnsi="微软雅黑" w:eastAsia="微软雅黑" w:cs="微软雅黑"/>
          <w:sz w:val="28"/>
        </w:rPr>
        <w:t>—— 开题报告 ——</w:t>
      </w:r>
    </w:p>
    <w:p w14:paraId="5E306F93">
      <w:pPr>
        <w:rPr>
          <w:rFonts w:hint="eastAsia" w:ascii="微软雅黑" w:hAnsi="微软雅黑" w:eastAsia="微软雅黑" w:cs="微软雅黑"/>
        </w:rPr>
      </w:pPr>
    </w:p>
    <w:p w14:paraId="78440F73">
      <w:pPr>
        <w:rPr>
          <w:rFonts w:hint="eastAsia" w:ascii="微软雅黑" w:hAnsi="微软雅黑" w:eastAsia="微软雅黑" w:cs="微软雅黑"/>
        </w:rPr>
      </w:pPr>
    </w:p>
    <w:p w14:paraId="474FE132">
      <w:pPr>
        <w:pStyle w:val="3"/>
        <w:rPr>
          <w:rFonts w:hint="eastAsia" w:ascii="微软雅黑" w:hAnsi="微软雅黑" w:eastAsia="微软雅黑" w:cs="微软雅黑"/>
        </w:rPr>
      </w:pPr>
      <w:r>
        <w:rPr>
          <w:rFonts w:hint="eastAsia" w:ascii="微软雅黑" w:hAnsi="微软雅黑" w:eastAsia="微软雅黑" w:cs="微软雅黑"/>
        </w:rPr>
        <w:t>1. 研究背景与问题</w:t>
      </w:r>
    </w:p>
    <w:p w14:paraId="5AB52FDC">
      <w:pPr>
        <w:pStyle w:val="4"/>
        <w:rPr>
          <w:rFonts w:hint="eastAsia" w:ascii="微软雅黑" w:hAnsi="微软雅黑" w:eastAsia="微软雅黑" w:cs="微软雅黑"/>
        </w:rPr>
      </w:pPr>
      <w:r>
        <w:rPr>
          <w:rFonts w:hint="eastAsia" w:ascii="微软雅黑" w:hAnsi="微软雅黑" w:eastAsia="微软雅黑" w:cs="微软雅黑"/>
        </w:rPr>
        <w:t>1.1 自知识蒸馏及其局限性</w:t>
      </w:r>
    </w:p>
    <w:p w14:paraId="76992578">
      <w:pPr>
        <w:ind w:firstLine="420"/>
        <w:rPr>
          <w:rFonts w:hint="eastAsia" w:ascii="微软雅黑" w:hAnsi="微软雅黑" w:eastAsia="微软雅黑" w:cs="微软雅黑"/>
        </w:rPr>
      </w:pPr>
      <w:r>
        <w:rPr>
          <w:rFonts w:hint="eastAsia" w:ascii="微软雅黑" w:hAnsi="微软雅黑" w:eastAsia="微软雅黑" w:cs="微软雅黑"/>
          <w:sz w:val="22"/>
        </w:rPr>
        <w:t>自知识蒸馏（Self-Knowledge Distillation, SKD）是一类无需外部教师模型的知识蒸馏范式，其核心思想是将模型自身在先前训练阶段的预测作为"历史教师"来指导当前阶段的训练。代表性工作 DTSKD（Dual Teachers for Self-Knowledge Distillation, PR 2024）通过维护历史预测矩阵并采用指数移动平均的方式将历史知识与结构知识融合，在 CIFAR-100 上取得了超越传统 KD 的性能。</w:t>
      </w:r>
    </w:p>
    <w:p w14:paraId="5AD2E9C3">
      <w:pPr>
        <w:ind w:firstLine="420"/>
        <w:rPr>
          <w:rFonts w:hint="eastAsia" w:ascii="微软雅黑" w:hAnsi="微软雅黑" w:eastAsia="微软雅黑" w:cs="微软雅黑"/>
        </w:rPr>
      </w:pPr>
      <w:r>
        <w:rPr>
          <w:rFonts w:hint="eastAsia" w:ascii="微软雅黑" w:hAnsi="微软雅黑" w:eastAsia="微软雅黑" w:cs="微软雅黑"/>
          <w:sz w:val="22"/>
        </w:rPr>
        <w:t>然而，SKD 范式隐含着一个根本性风险：历史教师的预测分布可能包含错误或退化的知识。已有研究（Wu et al., ICML 2026）揭示了 SKD 中"信号遗忘"与"噪声去噪"的权衡——历史蒸馏在去除噪声的同时，也会错误地削弱正确的分类信号。这一问题在现有 SKD 文献中主要通过统一衰减系数 α_t 来被动缓解，缺乏样本级的主动干预机制。</w:t>
      </w:r>
    </w:p>
    <w:p w14:paraId="0B2352AF">
      <w:pPr>
        <w:pStyle w:val="4"/>
        <w:rPr>
          <w:rFonts w:hint="eastAsia" w:ascii="微软雅黑" w:hAnsi="微软雅黑" w:eastAsia="微软雅黑" w:cs="微软雅黑"/>
        </w:rPr>
      </w:pPr>
      <w:r>
        <w:rPr>
          <w:rFonts w:hint="eastAsia" w:ascii="微软雅黑" w:hAnsi="微软雅黑" w:eastAsia="微软雅黑" w:cs="微软雅黑"/>
        </w:rPr>
        <w:t>1.2 隐性遗忘：核心研究问题</w:t>
      </w:r>
    </w:p>
    <w:p w14:paraId="38F2AC25">
      <w:pPr>
        <w:ind w:firstLine="420"/>
        <w:rPr>
          <w:rFonts w:hint="eastAsia" w:ascii="微软雅黑" w:hAnsi="微软雅黑" w:eastAsia="微软雅黑" w:cs="微软雅黑"/>
        </w:rPr>
      </w:pPr>
      <w:r>
        <w:rPr>
          <w:rFonts w:hint="eastAsia" w:ascii="微软雅黑" w:hAnsi="微软雅黑" w:eastAsia="微软雅黑" w:cs="微软雅黑"/>
          <w:b w:val="0"/>
          <w:bCs/>
          <w:sz w:val="22"/>
        </w:rPr>
        <w:t>本研究进一步揭示了一个更深层但鲜有文献针对性建模的问题：即使在单一任务的常规迭代训练中，模型对同一批样本的判别置信度亦存在显著的非单调退化现象。具体而言，模型虽在后续轮次中仍保持分类正确（即 argmax p_new = y_i），但其决策边界已从高置信度区（如 p(y_i) &gt; 0.9）滑向模糊区（如 p(y_i) ≈ 0.3）。这种"隐性遗忘"（Implicit Forgetting）——分类正确但置信度持续衰退——是导致模型鲁棒性下降的潜在核心诱因。现有 SKD 方法由于对所有正确分类样本施加无差别的知识继承约束，无法有效区分"坚定正确的知识"与"正在退化的知识"，因而难以针对性地抑制隐性遗忘。</w:t>
      </w:r>
    </w:p>
    <w:p w14:paraId="2E70692A">
      <w:pPr>
        <w:pStyle w:val="3"/>
        <w:rPr>
          <w:rFonts w:hint="eastAsia" w:ascii="微软雅黑" w:hAnsi="微软雅黑" w:eastAsia="微软雅黑" w:cs="微软雅黑"/>
        </w:rPr>
      </w:pPr>
      <w:r>
        <w:rPr>
          <w:rFonts w:hint="eastAsia" w:ascii="微软雅黑" w:hAnsi="微软雅黑" w:eastAsia="微软雅黑" w:cs="微软雅黑"/>
        </w:rPr>
        <w:t>2. 方法设计</w:t>
      </w:r>
      <w:bookmarkStart w:id="0" w:name="_GoBack"/>
      <w:bookmarkEnd w:id="0"/>
    </w:p>
    <w:p w14:paraId="7C1C26E2">
      <w:pPr>
        <w:pStyle w:val="4"/>
        <w:rPr>
          <w:rFonts w:hint="eastAsia" w:ascii="微软雅黑" w:hAnsi="微软雅黑" w:eastAsia="微软雅黑" w:cs="微软雅黑"/>
        </w:rPr>
      </w:pPr>
      <w:r>
        <w:rPr>
          <w:rFonts w:hint="eastAsia" w:ascii="微软雅黑" w:hAnsi="微软雅黑" w:eastAsia="微软雅黑" w:cs="微软雅黑"/>
        </w:rPr>
        <w:t>2.1 核心思想</w:t>
      </w:r>
    </w:p>
    <w:p w14:paraId="0CB82672">
      <w:pPr>
        <w:ind w:firstLine="420"/>
        <w:rPr>
          <w:rFonts w:hint="eastAsia" w:ascii="微软雅黑" w:hAnsi="微软雅黑" w:eastAsia="微软雅黑" w:cs="微软雅黑"/>
        </w:rPr>
      </w:pPr>
      <w:r>
        <w:rPr>
          <w:rFonts w:hint="eastAsia" w:ascii="微软雅黑" w:hAnsi="微软雅黑" w:eastAsia="微软雅黑" w:cs="微软雅黑"/>
          <w:sz w:val="22"/>
        </w:rPr>
        <w:t>本研究的核心假设是：正确的分类方法不会给出模糊的答案，而是从底层样本差异中寻找到决定性的不同。基于此，我们提出一种基于边际置信度加权的抗隐性遗忘自知识蒸馏方法（Margin-Confidence Weighted Anti-Forgetting SKD, MCW-AF-SKD）。方法的核心设计包含三个机制：</w:t>
      </w:r>
    </w:p>
    <w:p w14:paraId="54E47075">
      <w:pPr>
        <w:ind w:firstLine="420"/>
        <w:rPr>
          <w:rFonts w:hint="eastAsia" w:ascii="微软雅黑" w:hAnsi="微软雅黑" w:eastAsia="微软雅黑" w:cs="微软雅黑"/>
        </w:rPr>
      </w:pPr>
      <w:r>
        <w:rPr>
          <w:rFonts w:hint="eastAsia" w:ascii="微软雅黑" w:hAnsi="微软雅黑" w:eastAsia="微软雅黑" w:cs="微软雅黑"/>
          <w:sz w:val="22"/>
        </w:rPr>
        <w:t>（1）抽奖机制（Lottery Mechanism）：对于历史教师明显分错的样本（边际置信度 m_i ≤ 0），完全放弃施加任何知识蒸馏约束，令模型通过标准交叉熵像随机抽奖一样重新探索正确的分类边界。这一机制确保错误知识不会被固化。</w:t>
      </w:r>
    </w:p>
    <w:p w14:paraId="2D4E81F2">
      <w:pPr>
        <w:ind w:firstLine="420"/>
        <w:rPr>
          <w:rFonts w:hint="eastAsia" w:ascii="微软雅黑" w:hAnsi="微软雅黑" w:eastAsia="微软雅黑" w:cs="微软雅黑"/>
        </w:rPr>
      </w:pPr>
      <w:r>
        <w:rPr>
          <w:rFonts w:hint="eastAsia" w:ascii="微软雅黑" w:hAnsi="微软雅黑" w:eastAsia="微软雅黑" w:cs="微软雅黑"/>
          <w:sz w:val="22"/>
        </w:rPr>
        <w:t>（2）指数型动态权重（Exponential Dynamic Weighting）：对于历史教师分对的样本，通过边际置信度 m_i = p_old(y_i) - max_{c≠y_i} p_old(c) 量化知识的可靠性，并采用指数函数 w_i = exp(α·(m_i-τ)) 将置信度连续映射为约束强度。高置信度样本获得指数级增强的保护（预防隐性遗忘），低置信度样本获得降权（避免固化模糊边界）。无硬阈值——权重随置信度平滑变化。</w:t>
      </w:r>
    </w:p>
    <w:p w14:paraId="12F5DFCC">
      <w:pPr>
        <w:ind w:firstLine="420"/>
        <w:rPr>
          <w:rFonts w:hint="eastAsia" w:ascii="微软雅黑" w:hAnsi="微软雅黑" w:eastAsia="微软雅黑" w:cs="微软雅黑"/>
        </w:rPr>
      </w:pPr>
      <w:r>
        <w:rPr>
          <w:rFonts w:hint="eastAsia" w:ascii="微软雅黑" w:hAnsi="微软雅黑" w:eastAsia="微软雅黑" w:cs="微软雅黑"/>
          <w:sz w:val="22"/>
        </w:rPr>
        <w:t>（3）前向 KL 锚定（Forward KL Anchoring）：采用 KL(p_old || p_new) 前向 KL 散度，要求新分布必须覆盖旧分布的所有高概率区域。这一方向选择确保正确分类方法的核心特征（旧分布中某个类别概率显著突出）在新分布中得以保持。</w:t>
      </w:r>
    </w:p>
    <w:p w14:paraId="70D5FE2E">
      <w:pPr>
        <w:pStyle w:val="4"/>
        <w:rPr>
          <w:rFonts w:hint="eastAsia" w:ascii="微软雅黑" w:hAnsi="微软雅黑" w:eastAsia="微软雅黑" w:cs="微软雅黑"/>
        </w:rPr>
      </w:pPr>
      <w:r>
        <w:rPr>
          <w:rFonts w:hint="eastAsia" w:ascii="微软雅黑" w:hAnsi="微软雅黑" w:eastAsia="微软雅黑" w:cs="微软雅黑"/>
        </w:rPr>
        <w:t>2.2 数学形式</w:t>
      </w:r>
    </w:p>
    <w:p w14:paraId="66D2CFB3">
      <w:pPr>
        <w:jc w:val="center"/>
        <w:rPr>
          <w:rFonts w:hint="eastAsia" w:ascii="微软雅黑" w:hAnsi="微软雅黑" w:eastAsia="微软雅黑" w:cs="微软雅黑"/>
        </w:rPr>
      </w:pPr>
      <w:r>
        <w:rPr>
          <w:rFonts w:hint="eastAsia" w:ascii="微软雅黑" w:hAnsi="微软雅黑" w:eastAsia="微软雅黑" w:cs="微软雅黑"/>
          <w:b/>
          <w:sz w:val="24"/>
        </w:rPr>
        <w:t>式(1) 边际置信度:  m_i = p_old(y_i) − max_{c≠y_i} p_old(c)</w:t>
      </w:r>
    </w:p>
    <w:p w14:paraId="6EF8C02E">
      <w:pPr>
        <w:jc w:val="center"/>
        <w:rPr>
          <w:rFonts w:hint="eastAsia" w:ascii="微软雅黑" w:hAnsi="微软雅黑" w:eastAsia="微软雅黑" w:cs="微软雅黑"/>
        </w:rPr>
      </w:pPr>
      <w:r>
        <w:rPr>
          <w:rFonts w:hint="eastAsia" w:ascii="微软雅黑" w:hAnsi="微软雅黑" w:eastAsia="微软雅黑" w:cs="微软雅黑"/>
          <w:sz w:val="18"/>
        </w:rPr>
        <w:t>m_i ∈ [−1, 1]。m_i &gt; 0 表示教师正确分类，m_i ≤ 0 表示教师错误分类。</w:t>
      </w:r>
    </w:p>
    <w:p w14:paraId="42A5E39E">
      <w:pPr>
        <w:jc w:val="center"/>
        <w:rPr>
          <w:rFonts w:hint="eastAsia" w:ascii="微软雅黑" w:hAnsi="微软雅黑" w:eastAsia="微软雅黑" w:cs="微软雅黑"/>
        </w:rPr>
      </w:pPr>
      <w:r>
        <w:rPr>
          <w:rFonts w:hint="eastAsia" w:ascii="微软雅黑" w:hAnsi="微软雅黑" w:eastAsia="微软雅黑" w:cs="微软雅黑"/>
          <w:b/>
          <w:sz w:val="24"/>
        </w:rPr>
        <w:t>式(2) 动态权重:  w_i = exp(α · (m_i − τ)),  m_i &gt; 0;  w_i = 0,  m_i ≤ 0</w:t>
      </w:r>
    </w:p>
    <w:p w14:paraId="00E1F1C0">
      <w:pPr>
        <w:jc w:val="center"/>
        <w:rPr>
          <w:rFonts w:hint="eastAsia" w:ascii="微软雅黑" w:hAnsi="微软雅黑" w:eastAsia="微软雅黑" w:cs="微软雅黑"/>
        </w:rPr>
      </w:pPr>
      <w:r>
        <w:rPr>
          <w:rFonts w:hint="eastAsia" w:ascii="微软雅黑" w:hAnsi="微软雅黑" w:eastAsia="微软雅黑" w:cs="微软雅黑"/>
          <w:sz w:val="18"/>
        </w:rPr>
        <w:t>α: 尺度因子; τ: 中性阈值。指数函数确保高置信度获得指数级增强保护。</w:t>
      </w:r>
    </w:p>
    <w:p w14:paraId="4290A93E">
      <w:pPr>
        <w:jc w:val="center"/>
        <w:rPr>
          <w:rFonts w:hint="eastAsia" w:ascii="微软雅黑" w:hAnsi="微软雅黑" w:eastAsia="微软雅黑" w:cs="微软雅黑"/>
        </w:rPr>
      </w:pPr>
      <w:r>
        <w:rPr>
          <w:rFonts w:hint="eastAsia" w:ascii="微软雅黑" w:hAnsi="微软雅黑" w:eastAsia="微软雅黑" w:cs="微软雅黑"/>
          <w:b/>
          <w:sz w:val="24"/>
        </w:rPr>
        <w:t>式(3) 总损失:  L_total = L_CE + λ · (1/N) Σ_i w_i · KL(p_old || p_new)</w:t>
      </w:r>
    </w:p>
    <w:p w14:paraId="1AD00870">
      <w:pPr>
        <w:jc w:val="center"/>
        <w:rPr>
          <w:rFonts w:hint="eastAsia" w:ascii="微软雅黑" w:hAnsi="微软雅黑" w:eastAsia="微软雅黑" w:cs="微软雅黑"/>
        </w:rPr>
      </w:pPr>
      <w:r>
        <w:rPr>
          <w:rFonts w:hint="eastAsia" w:ascii="微软雅黑" w:hAnsi="微软雅黑" w:eastAsia="微软雅黑" w:cs="微软雅黑"/>
          <w:sz w:val="18"/>
        </w:rPr>
        <w:t>λ: 约束强度。前向 KL 强制新分布继承旧分布的高概率区域。</w:t>
      </w:r>
    </w:p>
    <w:p w14:paraId="4365EFEB">
      <w:pPr>
        <w:pStyle w:val="4"/>
        <w:rPr>
          <w:rFonts w:hint="eastAsia" w:ascii="微软雅黑" w:hAnsi="微软雅黑" w:eastAsia="微软雅黑" w:cs="微软雅黑"/>
        </w:rPr>
      </w:pPr>
      <w:r>
        <w:rPr>
          <w:rFonts w:hint="eastAsia" w:ascii="微软雅黑" w:hAnsi="微软雅黑" w:eastAsia="微软雅黑" w:cs="微软雅黑"/>
        </w:rPr>
        <w:t>2.3 与 EWC 的关系</w:t>
      </w:r>
    </w:p>
    <w:p w14:paraId="02F1F6BA">
      <w:pPr>
        <w:ind w:firstLine="420"/>
        <w:rPr>
          <w:rFonts w:hint="eastAsia" w:ascii="微软雅黑" w:hAnsi="微软雅黑" w:eastAsia="微软雅黑" w:cs="微软雅黑"/>
        </w:rPr>
      </w:pPr>
      <w:r>
        <w:rPr>
          <w:rFonts w:hint="eastAsia" w:ascii="微软雅黑" w:hAnsi="微软雅黑" w:eastAsia="微软雅黑" w:cs="微软雅黑"/>
          <w:sz w:val="22"/>
        </w:rPr>
        <w:t>本方法与弹性权重巩固（EWC, Kirkpatrick et al., PNAS 2017）共享"识别重要知识→差异化保护"的逻辑框架。根本区别在于操作空间：EWC 在参数空间通过 Fisher 信息矩阵实施约束，而本方法在输出分布空间通过边际置信度实施约束。后者的关键优势包括：（1）无需 Fisher 信息的额外前向-反向传播；（2）无需存储参数级重要性矩阵；（3）天然复用 SKD 已有的历史预测缓存；（4）样本级粒度而非参数级粒度。</w:t>
      </w:r>
    </w:p>
    <w:p w14:paraId="5FC59C29">
      <w:pPr>
        <w:pStyle w:val="3"/>
        <w:rPr>
          <w:rFonts w:hint="eastAsia" w:ascii="微软雅黑" w:hAnsi="微软雅黑" w:eastAsia="微软雅黑" w:cs="微软雅黑"/>
        </w:rPr>
      </w:pPr>
      <w:r>
        <w:rPr>
          <w:rFonts w:hint="eastAsia" w:ascii="微软雅黑" w:hAnsi="微软雅黑" w:eastAsia="微软雅黑" w:cs="微软雅黑"/>
        </w:rPr>
        <w:t>3. 实验设计</w:t>
      </w:r>
    </w:p>
    <w:p w14:paraId="7B5492C8">
      <w:pPr>
        <w:pStyle w:val="4"/>
        <w:rPr>
          <w:rFonts w:hint="eastAsia" w:ascii="微软雅黑" w:hAnsi="微软雅黑" w:eastAsia="微软雅黑" w:cs="微软雅黑"/>
        </w:rPr>
      </w:pPr>
      <w:r>
        <w:rPr>
          <w:rFonts w:hint="eastAsia" w:ascii="微软雅黑" w:hAnsi="微软雅黑" w:eastAsia="微软雅黑" w:cs="微软雅黑"/>
        </w:rPr>
        <w:t>3.1 实验设置</w:t>
      </w:r>
    </w:p>
    <w:p w14:paraId="60451B6F">
      <w:pPr>
        <w:ind w:firstLine="420"/>
        <w:rPr>
          <w:rFonts w:hint="eastAsia" w:ascii="微软雅黑" w:hAnsi="微软雅黑" w:eastAsia="微软雅黑" w:cs="微软雅黑"/>
        </w:rPr>
      </w:pPr>
      <w:r>
        <w:rPr>
          <w:rFonts w:hint="eastAsia" w:ascii="微软雅黑" w:hAnsi="微软雅黑" w:eastAsia="微软雅黑" w:cs="微软雅黑"/>
          <w:sz w:val="22"/>
        </w:rPr>
        <w:t>数据集：CIFAR-100。模型：ResNet-18 DTSKD 架构（4 输出头：backbone + 3 branches）。训练配置：200 epoch，batch size 64，初始学习率 0.1（epoch 100/150 各衰减 10×），SGD optimizer，余弦 α_t 调度（0.9→0.0）。所有实验使用随机种子 27。</w:t>
      </w:r>
    </w:p>
    <w:p w14:paraId="7EE0995D">
      <w:pPr>
        <w:pStyle w:val="4"/>
        <w:rPr>
          <w:rFonts w:hint="eastAsia" w:ascii="微软雅黑" w:hAnsi="微软雅黑" w:eastAsia="微软雅黑" w:cs="微软雅黑"/>
        </w:rPr>
      </w:pPr>
      <w:r>
        <w:rPr>
          <w:rFonts w:hint="eastAsia" w:ascii="微软雅黑" w:hAnsi="微软雅黑" w:eastAsia="微软雅黑" w:cs="微软雅黑"/>
        </w:rPr>
        <w:t>3.2 实验方案</w:t>
      </w:r>
    </w:p>
    <w:p w14:paraId="60C4AFCB">
      <w:pPr>
        <w:ind w:firstLine="420"/>
        <w:rPr>
          <w:rFonts w:hint="eastAsia" w:ascii="微软雅黑" w:hAnsi="微软雅黑" w:eastAsia="微软雅黑" w:cs="微软雅黑"/>
        </w:rPr>
      </w:pPr>
      <w:r>
        <w:rPr>
          <w:rFonts w:hint="eastAsia" w:ascii="微软雅黑" w:hAnsi="微软雅黑" w:eastAsia="微软雅黑" w:cs="微软雅黑"/>
          <w:b/>
          <w:sz w:val="22"/>
        </w:rPr>
        <w:t>Phase 1: 遗忘基线测量（3 方法 × 1 seed，200 epoch）</w:t>
      </w:r>
    </w:p>
    <w:p w14:paraId="27CED9FB">
      <w:pPr>
        <w:rPr>
          <w:rFonts w:hint="eastAsia" w:ascii="微软雅黑" w:hAnsi="微软雅黑" w:eastAsia="微软雅黑" w:cs="微软雅黑"/>
        </w:rPr>
      </w:pPr>
      <w:r>
        <w:rPr>
          <w:rFonts w:hint="eastAsia" w:ascii="微软雅黑" w:hAnsi="微软雅黑" w:eastAsia="微软雅黑" w:cs="微软雅黑"/>
          <w:sz w:val="22"/>
        </w:rPr>
        <w:t>（a）CE Only：纯交叉熵训练，无任何蒸馏约束。（b）HistKD Only：DTSKD 的历史蒸馏分支（HSKD=1, ce_weight=1.0, kd_weight=0.0），无结构蒸馏。（c）MCW-AF-SKD (Ours)：在 HistKD 基础上增加置信度加权 KL 约束。</w:t>
      </w:r>
    </w:p>
    <w:p w14:paraId="1E0FAF4F">
      <w:pPr>
        <w:ind w:firstLine="420"/>
        <w:rPr>
          <w:rFonts w:hint="eastAsia" w:ascii="微软雅黑" w:hAnsi="微软雅黑" w:eastAsia="微软雅黑" w:cs="微软雅黑"/>
        </w:rPr>
      </w:pPr>
      <w:r>
        <w:rPr>
          <w:rFonts w:hint="eastAsia" w:ascii="微软雅黑" w:hAnsi="微软雅黑" w:eastAsia="微软雅黑" w:cs="微软雅黑"/>
          <w:b/>
          <w:sz w:val="22"/>
        </w:rPr>
        <w:t>Phase 2: 超参数筛选（7 组合 × 20 epoch 网格搜索）</w:t>
      </w:r>
    </w:p>
    <w:p w14:paraId="2F9373ED">
      <w:pPr>
        <w:rPr>
          <w:rFonts w:hint="eastAsia" w:ascii="微软雅黑" w:hAnsi="微软雅黑" w:eastAsia="微软雅黑" w:cs="微软雅黑"/>
        </w:rPr>
      </w:pPr>
      <w:r>
        <w:rPr>
          <w:rFonts w:hint="eastAsia" w:ascii="微软雅黑" w:hAnsi="微软雅黑" w:eastAsia="微软雅黑" w:cs="微软雅黑"/>
          <w:sz w:val="22"/>
        </w:rPr>
        <w:t>对 α ∈ {1.0, 2.0, 4.0}、τ ∈ {0.1, 0.2, 0.4}、λ ∈ {0.1, 0.5, 1.0} 进行控制变量搜索，以验证精度和遗忘率为联合指标选择最优配置。默认设置：α=2.0, τ=0.2, λ=0.5。</w:t>
      </w:r>
    </w:p>
    <w:p w14:paraId="530C134A">
      <w:pPr>
        <w:ind w:firstLine="420"/>
        <w:rPr>
          <w:rFonts w:hint="eastAsia" w:ascii="微软雅黑" w:hAnsi="微软雅黑" w:eastAsia="微软雅黑" w:cs="微软雅黑"/>
        </w:rPr>
      </w:pPr>
      <w:r>
        <w:rPr>
          <w:rFonts w:hint="eastAsia" w:ascii="微软雅黑" w:hAnsi="微软雅黑" w:eastAsia="微软雅黑" w:cs="微软雅黑"/>
          <w:b/>
          <w:sz w:val="22"/>
        </w:rPr>
        <w:t>Phase 3: 完整训练与分析（最优配置 × 1 seed，200 epoch）</w:t>
      </w:r>
    </w:p>
    <w:p w14:paraId="02545E2C">
      <w:pPr>
        <w:rPr>
          <w:rFonts w:hint="eastAsia" w:ascii="微软雅黑" w:hAnsi="微软雅黑" w:eastAsia="微软雅黑" w:cs="微软雅黑"/>
        </w:rPr>
      </w:pPr>
      <w:r>
        <w:rPr>
          <w:rFonts w:hint="eastAsia" w:ascii="微软雅黑" w:hAnsi="微软雅黑" w:eastAsia="微软雅黑" w:cs="微软雅黑"/>
          <w:sz w:val="22"/>
        </w:rPr>
        <w:t>使用 Phase 2 中确定的最优超参数运行完整 200 epoch 训练，分析 Forget Fraction、Learn Fraction、遗忘曲线、置信度分布变化等指标。</w:t>
      </w:r>
    </w:p>
    <w:p w14:paraId="6B2D2BFC">
      <w:pPr>
        <w:pStyle w:val="4"/>
        <w:rPr>
          <w:rFonts w:hint="eastAsia" w:ascii="微软雅黑" w:hAnsi="微软雅黑" w:eastAsia="微软雅黑" w:cs="微软雅黑"/>
        </w:rPr>
      </w:pPr>
      <w:r>
        <w:rPr>
          <w:rFonts w:hint="eastAsia" w:ascii="微软雅黑" w:hAnsi="微软雅黑" w:eastAsia="微软雅黑" w:cs="微软雅黑"/>
        </w:rPr>
        <w:t>3.3 评估指标</w:t>
      </w:r>
    </w:p>
    <w:p w14:paraId="670D55C2">
      <w:pPr>
        <w:rPr>
          <w:rFonts w:hint="eastAsia" w:ascii="微软雅黑" w:hAnsi="微软雅黑" w:eastAsia="微软雅黑" w:cs="微软雅黑"/>
        </w:rPr>
      </w:pPr>
      <w:r>
        <w:rPr>
          <w:rFonts w:hint="eastAsia" w:ascii="微软雅黑" w:hAnsi="微软雅黑" w:eastAsia="微软雅黑" w:cs="微软雅黑"/>
          <w:sz w:val="22"/>
        </w:rPr>
        <w:t>（1）Forget Fraction（Stern et al., AAAI 2025）：曾经正确→当前错误的样本比例。（2）Learn Fraction：曾经错误→当前正确的样本比例。（3）遗忘曲线：Forget Fraction 随 epoch 的变化轨迹。（4）Val Accuracy：验证集 Top-1 精度（确保方法不损害最终性能）。（5）置信度退化率：高置信度正确样本在后续轮次中置信度下降的比例（隐性遗忘的直接度量）。</w:t>
      </w:r>
    </w:p>
    <w:p w14:paraId="49FB8D04">
      <w:pPr>
        <w:pStyle w:val="3"/>
        <w:rPr>
          <w:rFonts w:hint="eastAsia" w:ascii="微软雅黑" w:hAnsi="微软雅黑" w:eastAsia="微软雅黑" w:cs="微软雅黑"/>
        </w:rPr>
      </w:pPr>
      <w:r>
        <w:rPr>
          <w:rFonts w:hint="eastAsia" w:ascii="微软雅黑" w:hAnsi="微软雅黑" w:eastAsia="微软雅黑" w:cs="微软雅黑"/>
        </w:rPr>
        <w:t>4. 预期贡献</w:t>
      </w:r>
    </w:p>
    <w:p w14:paraId="68150671">
      <w:pPr>
        <w:ind w:firstLine="420"/>
        <w:rPr>
          <w:rFonts w:hint="eastAsia" w:ascii="微软雅黑" w:hAnsi="微软雅黑" w:eastAsia="微软雅黑" w:cs="微软雅黑"/>
        </w:rPr>
      </w:pPr>
      <w:r>
        <w:rPr>
          <w:rFonts w:hint="eastAsia" w:ascii="微软雅黑" w:hAnsi="微软雅黑" w:eastAsia="微软雅黑" w:cs="微软雅黑"/>
          <w:sz w:val="22"/>
        </w:rPr>
        <w:t>（1）首次系统性地揭示并建模 SKD 中的"隐性遗忘"现象——分类正确但置信度持续退化的问题。</w:t>
      </w:r>
    </w:p>
    <w:p w14:paraId="78E12F40">
      <w:pPr>
        <w:ind w:firstLine="420"/>
        <w:rPr>
          <w:rFonts w:hint="eastAsia" w:ascii="微软雅黑" w:hAnsi="微软雅黑" w:eastAsia="微软雅黑" w:cs="微软雅黑"/>
        </w:rPr>
      </w:pPr>
      <w:r>
        <w:rPr>
          <w:rFonts w:hint="eastAsia" w:ascii="微软雅黑" w:hAnsi="微软雅黑" w:eastAsia="微软雅黑" w:cs="微软雅黑"/>
          <w:sz w:val="22"/>
        </w:rPr>
        <w:t>（2）提出 MCW-AF-SKD 方法：在输出分布空间通过边际置信度加权实现样本级自适应知识保护，完全规避了参数空间方法（如 EWC）的计算与存储开销。</w:t>
      </w:r>
    </w:p>
    <w:p w14:paraId="295F1BB5">
      <w:pPr>
        <w:ind w:firstLine="420"/>
        <w:rPr>
          <w:rFonts w:hint="eastAsia" w:ascii="微软雅黑" w:hAnsi="微软雅黑" w:eastAsia="微软雅黑" w:cs="微软雅黑"/>
        </w:rPr>
      </w:pPr>
      <w:r>
        <w:rPr>
          <w:rFonts w:hint="eastAsia" w:ascii="微软雅黑" w:hAnsi="微软雅黑" w:eastAsia="微软雅黑" w:cs="微软雅黑"/>
          <w:sz w:val="22"/>
        </w:rPr>
        <w:t>（3）设计"抽奖机制"——对错误知识果断放弃——与"指数型动态权重"——对正确知识差异化保护——的协同框架，实现了 SKD 中信号保护与噪声抑制的精准平衡。</w:t>
      </w:r>
    </w:p>
    <w:p w14:paraId="05B2FE1C">
      <w:pPr>
        <w:ind w:firstLine="420"/>
        <w:rPr>
          <w:rFonts w:hint="eastAsia" w:ascii="微软雅黑" w:hAnsi="微软雅黑" w:eastAsia="微软雅黑" w:cs="微软雅黑"/>
        </w:rPr>
      </w:pPr>
      <w:r>
        <w:rPr>
          <w:rFonts w:hint="eastAsia" w:ascii="微软雅黑" w:hAnsi="微软雅黑" w:eastAsia="微软雅黑" w:cs="微软雅黑"/>
          <w:sz w:val="22"/>
        </w:rPr>
        <w:t>（4）建立 SKD 与持续学习（CL）的跨领域连接，为 CL 社区的抗遗忘技术在 SKD 中的应用开辟新方向。</w:t>
      </w:r>
    </w:p>
    <w:p w14:paraId="10569CEA">
      <w:pPr>
        <w:pStyle w:val="3"/>
        <w:rPr>
          <w:rFonts w:hint="eastAsia" w:ascii="微软雅黑" w:hAnsi="微软雅黑" w:eastAsia="微软雅黑" w:cs="微软雅黑"/>
        </w:rPr>
      </w:pPr>
      <w:r>
        <w:rPr>
          <w:rFonts w:hint="eastAsia" w:ascii="微软雅黑" w:hAnsi="微软雅黑" w:eastAsia="微软雅黑" w:cs="微软雅黑"/>
        </w:rPr>
        <w:t>5. 关键参考文献</w:t>
      </w:r>
    </w:p>
    <w:p w14:paraId="6110B40D">
      <w:pPr>
        <w:spacing w:after="40"/>
        <w:rPr>
          <w:rFonts w:hint="eastAsia" w:ascii="微软雅黑" w:hAnsi="微软雅黑" w:eastAsia="微软雅黑" w:cs="微软雅黑"/>
        </w:rPr>
      </w:pPr>
      <w:r>
        <w:rPr>
          <w:rFonts w:hint="eastAsia" w:ascii="微软雅黑" w:hAnsi="微软雅黑" w:eastAsia="微软雅黑" w:cs="微软雅黑"/>
          <w:sz w:val="19"/>
        </w:rPr>
        <w:t>[1] Kirkpatrick et al. "Overcoming catastrophic forgetting in neural networks." PNAS, 2017.</w:t>
      </w:r>
    </w:p>
    <w:p w14:paraId="4B038836">
      <w:pPr>
        <w:spacing w:after="40"/>
        <w:rPr>
          <w:rFonts w:hint="eastAsia" w:ascii="微软雅黑" w:hAnsi="微软雅黑" w:eastAsia="微软雅黑" w:cs="微软雅黑"/>
        </w:rPr>
      </w:pPr>
      <w:r>
        <w:rPr>
          <w:rFonts w:hint="eastAsia" w:ascii="微软雅黑" w:hAnsi="微软雅黑" w:eastAsia="微软雅黑" w:cs="微软雅黑"/>
          <w:sz w:val="19"/>
        </w:rPr>
        <w:t>[2] Wu et al. "Why Self-Training Helps and Hurts: A Unified Analysis." ICML, 2026.</w:t>
      </w:r>
    </w:p>
    <w:p w14:paraId="043D2B81">
      <w:pPr>
        <w:spacing w:after="40"/>
        <w:rPr>
          <w:rFonts w:hint="eastAsia" w:ascii="微软雅黑" w:hAnsi="微软雅黑" w:eastAsia="微软雅黑" w:cs="微软雅黑"/>
        </w:rPr>
      </w:pPr>
      <w:r>
        <w:rPr>
          <w:rFonts w:hint="eastAsia" w:ascii="微软雅黑" w:hAnsi="微软雅黑" w:eastAsia="微软雅黑" w:cs="微软雅黑"/>
          <w:sz w:val="19"/>
        </w:rPr>
        <w:t>[3] Stern et al. "On Local Overfitting and Forgetting in Deep Neural Networks." AAAI, 2025.</w:t>
      </w:r>
    </w:p>
    <w:p w14:paraId="3213DFF3">
      <w:pPr>
        <w:spacing w:after="40"/>
        <w:rPr>
          <w:rFonts w:hint="eastAsia" w:ascii="微软雅黑" w:hAnsi="微软雅黑" w:eastAsia="微软雅黑" w:cs="微软雅黑"/>
        </w:rPr>
      </w:pPr>
      <w:r>
        <w:rPr>
          <w:rFonts w:hint="eastAsia" w:ascii="微软雅黑" w:hAnsi="微软雅黑" w:eastAsia="微软雅黑" w:cs="微软雅黑"/>
          <w:sz w:val="19"/>
        </w:rPr>
        <w:t>[4] Stern et al. "Forget Me Not: Reducing Catastrophic Forgetting in DNNs." TPAMI, 2026.</w:t>
      </w:r>
    </w:p>
    <w:p w14:paraId="2F9B54F9">
      <w:pPr>
        <w:spacing w:after="40"/>
        <w:rPr>
          <w:rFonts w:hint="eastAsia" w:ascii="微软雅黑" w:hAnsi="微软雅黑" w:eastAsia="微软雅黑" w:cs="微软雅黑"/>
        </w:rPr>
      </w:pPr>
      <w:r>
        <w:rPr>
          <w:rFonts w:hint="eastAsia" w:ascii="微软雅黑" w:hAnsi="微软雅黑" w:eastAsia="微软雅黑" w:cs="微软雅黑"/>
          <w:sz w:val="19"/>
        </w:rPr>
        <w:t>[5] Xu et al. "Dual Teachers for Self-Knowledge Distillation." Pattern Recognition, 2024.</w:t>
      </w:r>
    </w:p>
    <w:p w14:paraId="5E2D51EA">
      <w:pPr>
        <w:spacing w:after="40"/>
        <w:rPr>
          <w:rFonts w:hint="eastAsia" w:ascii="微软雅黑" w:hAnsi="微软雅黑" w:eastAsia="微软雅黑" w:cs="微软雅黑"/>
        </w:rPr>
      </w:pPr>
      <w:r>
        <w:rPr>
          <w:rFonts w:hint="eastAsia" w:ascii="微软雅黑" w:hAnsi="微软雅黑" w:eastAsia="微软雅黑" w:cs="微软雅黑"/>
          <w:sz w:val="19"/>
        </w:rPr>
        <w:t>[6] Hinton et al. "Distilling the Knowledge in a Neural Network." NeurIPS Workshop, 2015.</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C62E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2109</Words>
  <Characters>3309</Characters>
  <Lines>0</Lines>
  <Paragraphs>0</Paragraphs>
  <TotalTime>1</TotalTime>
  <ScaleCrop>false</ScaleCrop>
  <LinksUpToDate>false</LinksUpToDate>
  <CharactersWithSpaces>3638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KDD</cp:lastModifiedBy>
  <dcterms:modified xsi:type="dcterms:W3CDTF">2026-07-03T14:55:49Z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eyJoZGlkIjoiZmRkOGYzOTQwOTY5MjNlYTZjMjlhMjVjZGZhZmVmZWIiLCJ1c2VySWQiOiIxMTcyMDMxMDIxIn0=</vt:lpwstr>
  </property>
  <property fmtid="{D5CDD505-2E9C-101B-9397-08002B2CF9AE}" pid="3" name="KSOProductBuildVer">
    <vt:lpwstr>2052-12.1.0.25225</vt:lpwstr>
  </property>
  <property fmtid="{D5CDD505-2E9C-101B-9397-08002B2CF9AE}" pid="4" name="ICV">
    <vt:lpwstr>A3C5CB9846544C33884B95E25C00F2CC_12</vt:lpwstr>
  </property>
</Properties>
</file>