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TLINK Binary Classification</w:t>
      </w:r>
    </w:p>
    <w:p>
      <w:pPr>
        <w:spacing w:after="8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Model Training — Project Summary</w:t>
      </w:r>
    </w:p>
    <w:p>
      <w:pPr>
        <w:spacing w:after="2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Prepared by: Kiaan Dutta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Task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task was to fine-tune a small language model on a binary temporal link classification dataset. Given a sentence with two highlighted event or time spans, the model predicts YES (a temporal link exists between them) or NO (it does not).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Dataset: </w:t>
      </w:r>
      <w:hyperlink w:history="1" r:id="rIdrb_dkhox-k6bgzgi2xwne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mdg-nlp/tlink-extr-classification-sentence-2-label on HuggingFace</w:t>
        </w:r>
      </w:hyperlink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Spans are marked with XML-style tags: &lt;e1&gt;, &lt;e2&gt; (events) and &lt;t1&gt;, &lt;t2&gt; (time expressions). Example inputs: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US embassy &lt;e1&gt;filed&lt;/e1&gt; a note &lt;t1&gt;Wednesday&lt;/t1&gt;  →  YES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marine was &lt;e1&gt;sentenced&lt;/e1&gt; for &lt;e2&gt;raping&lt;/e2&gt; a woman  →  NO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Dataset Statistics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Train: 61,440 examples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Validation: 7,422 examples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Test: 200 examples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Label split: 91% YES, 9% NO (heavily imbalanced)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imbalance meant that accuracy was a misleading metric. Macro F1 was used as the primary evaluation metric throughout, as it weights both classes equally.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Model — EleutherAI/pythia-70m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the recommended models (Llama, Pythia, GPT-OSS), Pythia-70M was selected: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Llama-3.2-1B — 1B parameters, impractical to fine-tune without significant compute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Pythia-70M — 70M parameters, smallest in the Pythia family, trains in ~30 min on a free Colab T4 GPU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GPT-2 — 117M parameters, similar but less well-documented for classification fine-tuning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Pythia-specific workarounds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Pythia is a causal (decoder-only) model and required five workarounds for classification: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pad token — reused EOS token as pad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Left-padding required — Pythia classifies using the last token's hidden state; right-padding would place [PAD] there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Embedding matrix resize — added 8 special tokens for span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model.config.pad_token_id must be set explicitly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fp16 disabled — caused FP16 gradient errors; trained in fp32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Training Setup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Environment: </w:t>
      </w:r>
      <w:r>
        <w:rPr>
          <w:rFonts w:ascii="Arial" w:cs="Arial" w:eastAsia="Arial" w:hAnsi="Arial"/>
          <w:sz w:val="22"/>
          <w:szCs w:val="22"/>
        </w:rPr>
        <w:t xml:space="preserve">Google Colab — T4 GPU (free tier)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Framework: </w:t>
      </w:r>
      <w:r>
        <w:rPr>
          <w:rFonts w:ascii="Arial" w:cs="Arial" w:eastAsia="Arial" w:hAnsi="Arial"/>
          <w:sz w:val="22"/>
          <w:szCs w:val="22"/>
        </w:rPr>
        <w:t xml:space="preserve">HuggingFace Transformers with PyTorch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Learning rate: </w:t>
      </w:r>
      <w:r>
        <w:rPr>
          <w:rFonts w:ascii="Arial" w:cs="Arial" w:eastAsia="Arial" w:hAnsi="Arial"/>
          <w:sz w:val="22"/>
          <w:szCs w:val="22"/>
        </w:rPr>
        <w:t xml:space="preserve">2e-6 (lowered after observing nan loss at 2e-5)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Batch size: </w:t>
      </w:r>
      <w:r>
        <w:rPr>
          <w:rFonts w:ascii="Arial" w:cs="Arial" w:eastAsia="Arial" w:hAnsi="Arial"/>
          <w:sz w:val="22"/>
          <w:szCs w:val="22"/>
        </w:rPr>
        <w:t xml:space="preserve">32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Max sequence length: </w:t>
      </w:r>
      <w:r>
        <w:rPr>
          <w:rFonts w:ascii="Arial" w:cs="Arial" w:eastAsia="Arial" w:hAnsi="Arial"/>
          <w:sz w:val="22"/>
          <w:szCs w:val="22"/>
        </w:rPr>
        <w:t xml:space="preserve">256 tokens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Epochs: </w:t>
      </w:r>
      <w:r>
        <w:rPr>
          <w:rFonts w:ascii="Arial" w:cs="Arial" w:eastAsia="Arial" w:hAnsi="Arial"/>
          <w:sz w:val="22"/>
          <w:szCs w:val="22"/>
        </w:rPr>
        <w:t xml:space="preserve">Up to 5 with early stopping (patience = 3)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Gradient clipping: </w:t>
      </w:r>
      <w:r>
        <w:rPr>
          <w:rFonts w:ascii="Arial" w:cs="Arial" w:eastAsia="Arial" w:hAnsi="Arial"/>
          <w:sz w:val="22"/>
          <w:szCs w:val="22"/>
        </w:rPr>
        <w:t xml:space="preserve">max_grad_norm = 1.0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Checkpoint metric: </w:t>
      </w:r>
      <w:r>
        <w:rPr>
          <w:rFonts w:ascii="Arial" w:cs="Arial" w:eastAsia="Arial" w:hAnsi="Arial"/>
          <w:sz w:val="22"/>
          <w:szCs w:val="22"/>
        </w:rPr>
        <w:t xml:space="preserve">Macro F1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Class Weights — WeightedTrainer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HuggingFace Trainer was subclassed to override compute_loss with a weighted cross-entropy loss. Square-root scaling was used to gently up-weight the minority class without causing instability: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class weight:  sqrt(61440 / (2 × 5500))  =  ~2.36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YES class weight: sqrt(61440 / (2 × 55940)) =  ~0.74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Results — Pythia-70M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Accuracy: ~0.65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F1 YES: ~0.78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F1 NO: ~0.23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F1 Macro: ~0.50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Training time: ~10 minutes per epoch on T4 GPU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Inference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department &lt;e1&gt;said&lt;/e1&gt; &lt;t1&gt;Wednesday&lt;/t1&gt;...  →  YES (0.927)  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marine was &lt;e1&gt;sentenced&lt;/e1&gt; for &lt;e2&gt;raping&lt;/e2&gt;...  →  YES (0.682)  ✘  (expected 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She &lt;e1&gt;arrived&lt;/e1&gt; &lt;t1&gt;before noon&lt;/t1&gt;...  →  YES (0.840)  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vote was &lt;e1&gt;counted&lt;/e1&gt; &lt;t1&gt;after&lt;/t1&gt; polls closed...  →  YES (0.941)  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model correctly identifies explicit temporal markers but struggles with implicit NO cases where two events co-occur without any temporal relationship. This is a known limitation of decoder models on classification tasks.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Model Comparison — Pythia-70M vs DistilBERT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an additional experiment, the same pipeline was run with distilbert-base-uncased (an encoder/bidirectional model) to demonstrate the architectural difference for classification tasks.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Pythia-70M (decoder)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DistilBERT (encoder)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Causal / decoder-only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Bidirectional / encoder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Encoder better for classification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Similar size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f1_macro (val)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 after 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Higher = better balance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f1_no (val)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~0.23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 after 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Minority class recall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f1_yes (val)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TBD after 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Majority class recall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time (T4)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 min/epoch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 min/epoch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DistilBERT slower due to full attention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Workarounds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(pad token, padding side, etc.)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(special tokens only)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Encoder much simpler to configure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DistilBERT's bidirectional attention reads the full sentence simultaneously in both directions, making it fundamentally better suited to identifying relationships between two labelled spans. Pythia reads left-to-right only and has already processed &lt;e1&gt; before it sees words appearing after &lt;e2&gt;.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Hardware Analysis — T4 GPU vs TPU v5e-1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analytical comparison was conducted between the T4 GPU used and the TPU v5e-1 available on Colab free tier.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T4 GPU (used)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TPU v5e-1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Similar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Peak throughput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~65 TFLOPS (fp16)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~197 TFLOPS (bf16)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TPU 3x faster on paper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Effective speed (70M model)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Slower (XLA overhead)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XLA compilation cost negates advantage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PyTorch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Native, excellent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XLA 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 much simpler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suited for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 &lt; 1B params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 &gt; 1B params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TPU shines at large scale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Conclusion: For a 70M parameter model, the T4 GPU is the better choice. The TPU v5e-1 has 3x the theoretical throughput but XLA compilation overhead negates this for small models. The TPU becomes advantageous for models above ~1B parameters over long training runs.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Code and Saved Models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Notebooks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Pythia-70M training notebook: </w:t>
      </w:r>
      <w:r>
        <w:rPr>
          <w:rFonts w:ascii="Arial" w:cs="Arial" w:eastAsia="Arial" w:hAnsi="Arial"/>
          <w:sz w:val="22"/>
          <w:szCs w:val="22"/>
        </w:rPr>
        <w:t xml:space="preserve">tlink_training_colab.ipynb (available on request)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DistilBERT comparison notebook: </w:t>
      </w:r>
      <w:r>
        <w:rPr>
          <w:rFonts w:ascii="Arial" w:cs="Arial" w:eastAsia="Arial" w:hAnsi="Arial"/>
          <w:sz w:val="22"/>
          <w:szCs w:val="22"/>
        </w:rPr>
        <w:t xml:space="preserve">tlink_distilbert_comparison.ipynb (available on request)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Saved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Drive: tlink_model/ — Pythia-70M, best checkpoint by macro F1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Drive: tlink_model_distilbert/ — DistilBERT comparison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backup: both models saved as .zip archives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Reload and run inference</w:t>
      </w:r>
    </w:p>
    <w:p>
      <w:pPr>
        <w:shd w:fill="F0F0F0" w:val="clear"/>
        <w:spacing w:after="1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clf = pipeline('text-classification', model='./tlink_model')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Notes and Potential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Switch to an encoder model (DistilBERT, RoBERTa) as the primary model for better classification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Entity-aware input formatting: [CLS] event1 [SEP] event2 [SEP] full sentence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Focal loss instead of weighted cross-entropy, to focus training on hard examples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LoRA/PEFT fine-tuning to allow larger models (Llama-1B+) with manageable compute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Hyperparameter sweep for learning rate, weight scaling, and batch size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b_dkhox-k6bgzgi2xwne" Type="http://schemas.openxmlformats.org/officeDocument/2006/relationships/hyperlink" Target="https://huggingface.co/datasets/mdg-nlp/tlink-extr-classification-sentence-2-label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2026-04-28T07:32:06.291Z</dcterms:created>
  <dcterms:modified xsi:type="dcterms:W3CDTF">2026-04-28T07:32:06.292Z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