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This is a complicated table to make becasue the table does not exist in ESA. There is an empty table that shows this, but it appears it has never been used. Rather UTVALGSAK is made by analysing the DGMABH table and picking up all the SAKID from the table (DGMABH.JOURAARNR)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Note 1.</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is a potential problem here around US_SAKSTYPE. The list of values that US_SAKSTYPE can contain come from DGJHBVEDTAK.SU_KODE. However DGJHBVEDTAK.SU_KODE == null is for “Behandlingsform ikke fastsatt”. So this means that every UTVSAK with US_SAKSTYPE == null should be assigned to “Behandlingsform ikke fastsatt”. This is handled in code and logged as INFO. I don’t think it’s wrong, just a messy way to do it. I’t messy because the value US_SAKSTYPE is stored in DGSMSA.BEHTYPE. We might not meet a null value, but I don’t know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Note 2.</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a number of cases US_TITTEL is null but DGSMSA.INNH1 has a title. This is handled as follows: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IF DGMABH.INNH1 == null then check DGSMSA.INNH1. If that value is not null, use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IF DGMABH.INNH1 != null check DGSMSA.INNH1 and compare. If they are not the same use DGSMSA.INNH1 but log DGMABH.INNH1 as WARNING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Note 3:</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is a similar problem with US_U1 as for note 1. In many cases, U1 contains null. In some cases it contains 1 or 0. If it contains null, value is pulled from DGSMSA.U1, otherwise the values DGSMSA.U1 and DGMABH.U1 are compared and differing values are logged as warning.  DGMABH.U1 is used in this cases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What I’m not sure about in this table 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RSR_REFAARNR, REFAARNR and S_REFAARNR. One of these can be US.JPID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Table: </w:t>
      </w:r>
      <w:r w:rsidRPr="00000000" w:rsidR="00000000" w:rsidDel="00000000">
        <w:rPr>
          <w:rtl w:val="0"/>
        </w:rPr>
        <w:t xml:space="preserve">DGMABH/DGSMSA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25"/>
        <w:gridCol w:w="900"/>
        <w:gridCol w:w="1755"/>
        <w:gridCol w:w="735"/>
        <w:gridCol w:w="4305"/>
        <w:tblGridChange w:id="0">
          <w:tblGrid>
            <w:gridCol w:w="2025"/>
            <w:gridCol w:w="900"/>
            <w:gridCol w:w="1755"/>
            <w:gridCol w:w="735"/>
            <w:gridCol w:w="430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Noark 4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Merknad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US_UTVID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UTVID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Unik ID for utvalgssaken på tvers av alle utvalg. Maybe UTVID, SAKSAAR, SAKSNR. Need to check this.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US_SAKSTYPE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DGSMSA.BEHTYPE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FK to UTVSAKTY.SU_KODE. See </w:t>
            </w:r>
            <w:r w:rsidRPr="00000000" w:rsidR="00000000" w:rsidDel="00000000">
              <w:rPr>
                <w:b w:val="1"/>
                <w:rtl w:val="0"/>
              </w:rPr>
              <w:t xml:space="preserve">note 1</w:t>
            </w:r>
            <w:r w:rsidRPr="00000000" w:rsidR="00000000" w:rsidDel="00000000">
              <w:rPr>
                <w:rtl w:val="0"/>
              </w:rPr>
              <w:t xml:space="preserve"> above, null has to converted to “IF”. There is a column SAKSTYPE, but it is always null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US_TITTEL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X(255)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INNH1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See </w:t>
            </w:r>
            <w:r w:rsidRPr="00000000" w:rsidR="00000000" w:rsidDel="00000000">
              <w:rPr>
                <w:b w:val="1"/>
                <w:rtl w:val="0"/>
              </w:rPr>
              <w:t xml:space="preserve">Note 2</w:t>
            </w:r>
            <w:r w:rsidRPr="00000000" w:rsidR="00000000" w:rsidDel="00000000">
              <w:rPr>
                <w:rtl w:val="0"/>
              </w:rPr>
              <w:t xml:space="preserve"> above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US_U1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See </w:t>
            </w:r>
            <w:r w:rsidRPr="00000000" w:rsidR="00000000" w:rsidDel="00000000">
              <w:rPr>
                <w:b w:val="1"/>
                <w:rtl w:val="0"/>
              </w:rPr>
              <w:t xml:space="preserve">Note </w:t>
            </w:r>
            <w:r w:rsidRPr="00000000" w:rsidR="00000000" w:rsidDel="00000000">
              <w:rPr>
                <w:rtl w:val="0"/>
              </w:rPr>
              <w:t xml:space="preserve">3 above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US_LUKKET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LUKKET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LUKKET  should be 0 or 1. ESA has Å (0), L (1)  and null. null values assumed to be 1. Logged as ERROR as I don’t know what it should be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US_TGKODE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DGSMSA. UNTOFF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FK to TGKODE.TK_TGKODE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US_TGGRUPPE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DGSMSA. GRUPPEID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FK to TGGRP.TG_GRUPPEID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US_UOFF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DGSMSA. HJEMMEL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US_SAMMENR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US_MERKNAD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X(255)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MERKNAD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US_SAID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JOURAARNR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FK to NOARKSAK.SA_ID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US_POLSGID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Oppslag mot POLSAKG.SG_ID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US_JPID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9(10)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S_REFARRNR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UTVSAK.docx</dc:title>
</cp:coreProperties>
</file>