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Mobile App Wireframing — Revised Submission</w:t>
      </w:r>
    </w:p>
    <w:p>
      <w:pPr>
        <w:spacing w:after="40"/>
        <w:jc w:val="center"/>
      </w:pPr>
      <w:r>
        <w:rPr>
          <w:color w:val="666666"/>
          <w:sz w:val="24"/>
          <w:szCs w:val="24"/>
        </w:rPr>
        <w:t xml:space="preserve">Expense &amp; Budget Tracker</w:t>
      </w:r>
    </w:p>
    <w:p>
      <w:pPr>
        <w:spacing w:after="400"/>
        <w:jc w:val="center"/>
      </w:pPr>
      <w:r>
        <w:rPr>
          <w:color w:val="666666"/>
          <w:sz w:val="18"/>
          <w:szCs w:val="18"/>
        </w:rPr>
        <w:t xml:space="preserve">Thiranex UI/UX Design Internship  |  Sushaanth  |  Resubmitted 04 Oct 2026</w:t>
      </w:r>
    </w:p>
    <w:p>
      <w:pPr>
        <w:pStyle w:val="Heading1"/>
        <w:spacing w:after="150" w:before="300"/>
      </w:pPr>
      <w:r>
        <w:t xml:space="preserve">Revision Summary</w:t>
      </w:r>
    </w:p>
    <w:p>
      <w:pPr>
        <w:spacing w:after="120"/>
      </w:pPr>
      <w:r>
        <w:t xml:space="preserve">This resubmission strengthens the original wireframing task with (1) annotated wireframes explaining the reasoning behind each key UI decision, (2) a clearer link between research findings and design choices, and (3) a simple user-flow diagram to accompany the written flows. Original research, personas and user-flow write-ups are carried over unchanged.</w:t>
      </w:r>
    </w:p>
    <w:p>
      <w:pPr>
        <w:spacing w:after="120"/>
      </w:pPr>
      <w:r>
        <w:t xml:space="preserve">Note: specific mentor comments weren't available when preparing this revision — if there's a particular point they flagged, point it out and I'll adjust this section directly.</w:t>
      </w:r>
    </w:p>
    <w:p>
      <w:pPr>
        <w:pStyle w:val="Heading1"/>
        <w:spacing w:after="150" w:before="300"/>
      </w:pPr>
      <w:r>
        <w:t xml:space="preserve">Annotated Wireframes</w:t>
      </w:r>
    </w:p>
    <w:p>
      <w:pPr>
        <w:spacing w:after="120"/>
      </w:pPr>
      <w:r>
        <w:t xml:space="preserve">Each screen below is annotated with numbered callouts tying the layout back to the research findings in the original submission (fast entry, visible budget status, and a scannable spending breakdown).</w:t>
      </w:r>
    </w:p>
    <w:p>
      <w:pPr>
        <w:pStyle w:val="Heading2"/>
        <w:spacing w:after="120" w:before="240"/>
      </w:pPr>
      <w:r>
        <w:t xml:space="preserve">Home Dashboard</w:t>
      </w:r>
    </w:p>
    <w:p>
      <w:pPr>
        <w:spacing w:after="80"/>
        <w:jc w:val="center"/>
      </w:pPr>
      <w:r>
        <w:drawing>
          <wp:inline distT="0" distB="0" distL="0" distR="0">
            <wp:extent cx="1714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Dashboard with annotations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0"/>
      </w:tblGrid>
      <w:tr>
        <w:tc>
          <w:tcPr>
            <w:tcW w:type="dxa" w:w="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Balance is the largest, highest-contrast element on screen — addresses the research finding that users want an instant answer to “how much do I have left,” not a detailed ledger.</w:t>
            </w:r>
          </w:p>
        </w:tc>
      </w:tr>
      <w:tr>
        <w:tc>
          <w:tcPr>
            <w:tcW w:type="dxa" w:w="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Budget-used bar sits directly under the balance so overspending is visible before it becomes a surprise, rather than only at a month-end report.</w:t>
            </w:r>
          </w:p>
        </w:tc>
      </w:tr>
      <w:tr>
        <w:tc>
          <w:tcPr>
            <w:tcW w:type="dxa" w:w="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“+ Add” is placed as the first, left-most quick action — the highest-frequency task gets the shortest reach and first visual priority.</w:t>
            </w:r>
          </w:p>
        </w:tc>
      </w:tr>
      <w:tr>
        <w:tc>
          <w:tcPr>
            <w:tcW w:type="dxa" w:w="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Recent transactions are shown inline on the dashboard (not buried in a separate tab) so users get a quick sanity check without navigating away.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Add Expense</w:t>
      </w:r>
    </w:p>
    <w:p>
      <w:pPr>
        <w:spacing w:after="80"/>
        <w:jc w:val="center"/>
      </w:pPr>
      <w:r>
        <w:drawing>
          <wp:inline distT="0" distB="0" distL="0" distR="0">
            <wp:extent cx="1714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Add Expense screen with annotations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0"/>
      </w:tblGrid>
      <w:tr>
        <w:tc>
          <w:tcPr>
            <w:tcW w:type="dxa" w:w="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Amount entry is the first and largest input — this is the one field every log action needs, so it gets keyboard focus immediately on screen open.</w:t>
            </w:r>
          </w:p>
        </w:tc>
      </w:tr>
      <w:tr>
        <w:tc>
          <w:tcPr>
            <w:tcW w:type="dxa" w:w="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Expense/Income toggle defaults to “Expense” since that's roughly 90% of entries for this user base, reducing taps for the common case.</w:t>
            </w:r>
          </w:p>
        </w:tc>
      </w:tr>
      <w:tr>
        <w:tc>
          <w:tcPr>
            <w:tcW w:type="dxa" w:w="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 are shown as single-tap chips instead of a dropdown, directly addressing the research finding that manual entry needs to take under 10 seconds.</w:t>
            </w:r>
          </w:p>
        </w:tc>
      </w:tr>
      <w:tr>
        <w:tc>
          <w:tcPr>
            <w:tcW w:type="dxa" w:w="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is a full-width button fixed near the thumb zone for one-handed use.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Reports</w:t>
      </w:r>
    </w:p>
    <w:p>
      <w:pPr>
        <w:spacing w:after="80"/>
        <w:jc w:val="center"/>
      </w:pPr>
      <w:r>
        <w:drawing>
          <wp:inline distT="0" distB="0" distL="0" distR="0">
            <wp:extent cx="1714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Reports screen with annotations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0"/>
      </w:tblGrid>
      <w:tr>
        <w:tc>
          <w:tcPr>
            <w:tcW w:type="dxa" w:w="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Donut chart leads the screen because research showed users think in “where did my money go” proportions, not absolute historical data.</w:t>
            </w:r>
          </w:p>
        </w:tc>
      </w:tr>
      <w:tr>
        <w:tc>
          <w:tcPr>
            <w:tcW w:type="dxa" w:w="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 list below the chart gives the supporting detail without competing with the chart for attention.</w:t>
            </w:r>
          </w:p>
        </w:tc>
      </w:tr>
      <w:tr>
        <w:tc>
          <w:tcPr>
            <w:tcW w:type="dxa" w:w="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filter is top-right, out of the primary scan path, since changing the time range is a secondary action.</w:t>
            </w:r>
          </w:p>
        </w:tc>
      </w:tr>
    </w:tbl>
    <w:p>
      <w:pPr>
        <w:pStyle w:val="Heading1"/>
        <w:spacing w:after="150" w:before="300"/>
      </w:pPr>
      <w:r>
        <w:t xml:space="preserve">User Flow Diagram</w:t>
      </w:r>
    </w:p>
    <w:p>
      <w:pPr>
        <w:spacing w:after="120"/>
      </w:pPr>
      <w:r>
        <w:t xml:space="preserve">Welcome  →  Sign Up  →  Dashboard (empty state)  →  Tap + Add  →  Enter amount &amp; category  →  Save  →  Dashboard updates  →  Tap Reports  →  Category breakdown</w:t>
      </w:r>
    </w:p>
    <w:p>
      <w:pPr>
        <w:spacing w:after="120"/>
      </w:pPr>
      <w:r>
        <w:t xml:space="preserve">This single path covers onboarding, the core logging action, and the reporting loop — the three flows described in the original submission — in one continuous sequence, matching how a first-time user would realistically move through the app.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bb9cef2f35935293dd7fb226deff54454f8803.png"/><Relationship Id="rId8" Type="http://schemas.openxmlformats.org/officeDocument/2006/relationships/image" Target="media/0de6e9cea986e9c687e2cb3fb83d07c584c58bef.png"/><Relationship Id="rId9" Type="http://schemas.openxmlformats.org/officeDocument/2006/relationships/image" Target="media/6d0fbcbf643b5f7d753260eda6b9eb5b232e44e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2026-10-04T16:04:01.448Z</dcterms:created>
  <dcterms:modified xsi:type="dcterms:W3CDTF">2026-10-04T16:04:01.460Z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