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Usability Testing &amp; Analysis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Expense &amp; Budget Tracker — Low-Fidelity Prototype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Thiranex UI/UX Design Internship  |  Sushaanth  |  04 October 2026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Validate whether first-time users can complete the three core tasks of the expense tracker — signing up, logging an expense, and reading their monthly spending breakdown — without confusion, using the low-fidelity wireframes from the earlier wireframing task.</w:t>
      </w:r>
    </w:p>
    <w:p>
      <w:pPr>
        <w:pStyle w:val="Heading1"/>
        <w:spacing w:after="150" w:before="300"/>
      </w:pPr>
      <w:r>
        <w:t xml:space="preserve">2. Test Plan</w:t>
      </w:r>
    </w:p>
    <w:p>
      <w:pPr>
        <w:pStyle w:val="Heading2"/>
        <w:spacing w:after="120" w:before="240"/>
      </w:pPr>
      <w:r>
        <w:t xml:space="preserve">Method</w:t>
      </w:r>
    </w:p>
    <w:p>
      <w:pPr>
        <w:spacing w:after="120"/>
      </w:pPr>
      <w:r>
        <w:t xml:space="preserve">Moderated, task-based usability testing — 1-on-1 sessions, think-aloud protocol, wireframes clicked through as a simple prototype.</w:t>
      </w:r>
    </w:p>
    <w:p>
      <w:pPr>
        <w:pStyle w:val="Heading2"/>
        <w:spacing w:after="120" w:before="240"/>
      </w:pPr>
      <w:r>
        <w:t xml:space="preserve">Participants</w:t>
      </w:r>
    </w:p>
    <w:p>
      <w:pPr>
        <w:spacing w:after="120"/>
      </w:pPr>
      <w:r>
        <w:t xml:space="preserve">5 participants (the recommended minimum to surface most usability issues), mixing the two target personas: 3 students, 2 early-career working professionals, ages 19–25.</w:t>
      </w:r>
    </w:p>
    <w:p>
      <w:pPr>
        <w:pStyle w:val="Heading2"/>
        <w:spacing w:after="120" w:before="240"/>
      </w:pPr>
      <w:r>
        <w:t xml:space="preserve">Tasks given to each participant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A: Sign up for the app and reach the home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B: Log a ₹850 expense for “Groceries”.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C: Find out what percentage of this month's spending went to Food &amp; Dining.</w:t>
      </w:r>
    </w:p>
    <w:p>
      <w:pPr>
        <w:pStyle w:val="Heading2"/>
        <w:spacing w:after="120" w:before="240"/>
      </w:pPr>
      <w:r>
        <w:t xml:space="preserve">Metrics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success (completed without help / completed with help / failed)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on task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Number of errors or wrong taps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Post-task difficulty rating (1–5 scale)</w:t>
      </w:r>
    </w:p>
    <w:p>
      <w:pPr>
        <w:pStyle w:val="Heading1"/>
        <w:spacing w:after="150" w:before="300"/>
      </w:pPr>
      <w:r>
        <w:t xml:space="preserve">3. Session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2400"/>
      </w:tblGrid>
      <w:tr>
        <w:tc>
          <w:tcPr>
            <w:tcW w:type="dxa" w:w="1400"/>
            <w:shd w:fill="22222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Participant</w:t>
            </w:r>
          </w:p>
        </w:tc>
        <w:tc>
          <w:tcPr>
            <w:tcW w:type="dxa" w:w="1700"/>
            <w:shd w:fill="222222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 A</w:t>
            </w:r>
          </w:p>
        </w:tc>
        <w:tc>
          <w:tcPr>
            <w:tcW w:type="dxa" w:w="1700"/>
            <w:shd w:fill="222222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 B</w:t>
            </w:r>
          </w:p>
        </w:tc>
        <w:tc>
          <w:tcPr>
            <w:tcW w:type="dxa" w:w="1700"/>
            <w:shd w:fill="222222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 C</w:t>
            </w:r>
          </w:p>
        </w:tc>
        <w:tc>
          <w:tcPr>
            <w:tcW w:type="dxa" w:w="2400"/>
            <w:shd w:fill="222222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(student)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Fastest overall; liked the category chips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(student)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(1 error)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Briefly tapped “Income” by mistake on Task B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(professional)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(slow)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Took time to notice the donut chart was tappable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(professional)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issues; completed fastest after P1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P5 (student)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(1 error)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Failed (needed help)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Looked for spending % on the dashboard first, not in Reports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Aggregate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A success rate: 5/5 (100%), 2 of 5 with minor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B success rate: 5/5 (100%), 1 of 5 with a wrong tap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C success rate: 4/5 (80%), 1 failure, 1 slow completion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post-task difficulty: 1.6 / 5 (lower is easier)</w:t>
      </w:r>
    </w:p>
    <w:p>
      <w:pPr>
        <w:pStyle w:val="Heading1"/>
        <w:spacing w:after="150" w:before="300"/>
      </w:pPr>
      <w:r>
        <w:t xml:space="preserve">4. Key Findings</w:t>
      </w:r>
    </w:p>
    <w:p>
      <w:pPr>
        <w:pStyle w:val="Heading2"/>
        <w:spacing w:after="120" w:before="240"/>
      </w:pPr>
      <w:r>
        <w:t xml:space="preserve">Finding 1 — Category breakdown is hard to discover from the dashboard</w:t>
      </w:r>
    </w:p>
    <w:p>
      <w:pPr>
        <w:spacing w:after="120"/>
      </w:pPr>
      <w:r>
        <w:t xml:space="preserve">2 of 5 participants expected to see the spending percentage directly on the dashboard rather than navigating to the separate Reports screen; one failed the task entirely.</w:t>
      </w:r>
    </w:p>
    <w:p>
      <w:pPr>
        <w:pStyle w:val="Heading2"/>
        <w:spacing w:after="120" w:before="240"/>
      </w:pPr>
      <w:r>
        <w:t xml:space="preserve">Finding 2 — Expense/Income toggle default works, but mis-taps happen</w:t>
      </w:r>
    </w:p>
    <w:p>
      <w:pPr>
        <w:spacing w:after="120"/>
      </w:pPr>
      <w:r>
        <w:t xml:space="preserve">The “Expense” default was never an issue, but the toggle sits close to the amount field and 2 participants almost tapped the wrong option while reaching for the keypad.</w:t>
      </w:r>
    </w:p>
    <w:p>
      <w:pPr>
        <w:pStyle w:val="Heading2"/>
        <w:spacing w:after="120" w:before="240"/>
      </w:pPr>
      <w:r>
        <w:t xml:space="preserve">Finding 3 — Donut chart affordance isn't obvious</w:t>
      </w:r>
    </w:p>
    <w:p>
      <w:pPr>
        <w:spacing w:after="120"/>
      </w:pPr>
      <w:r>
        <w:t xml:space="preserve">One participant hesitated before tapping the donut chart, unsure whether it was interactive. No strong visual cue currently signals it can be tapped for more detail.</w:t>
      </w:r>
    </w:p>
    <w:p>
      <w:pPr>
        <w:pStyle w:val="Heading2"/>
        <w:spacing w:after="120" w:before="240"/>
      </w:pPr>
      <w:r>
        <w:t xml:space="preserve">What worked well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chips on the Add Expense screen were universally easy and fast to 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overall visual hierarchy (balance → budget used → quick actions → transactions) matched users' mental model with no confusion.</w:t>
      </w:r>
    </w:p>
    <w:p>
      <w:pPr>
        <w:pStyle w:val="Heading1"/>
        <w:spacing w:after="150" w:before="300"/>
      </w:pPr>
      <w:r>
        <w:t xml:space="preserve">5. Design Improvement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small “top category this month” line directly under the budget-used bar on the dashboard, so the headline insight from Reports is visible without navigating away.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more spacing (or a visual divider) between the Expense/Income toggle and the amount field to reduce accidental taps.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subtle “tap for details” label or chevron near the donut chart to signal interactivity.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Re-test Finding 1 specifically after the dashboard change, since it's the only task that fell below a 90% success 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2026-10-04T16:04:25.853Z</dcterms:created>
  <dcterms:modified xsi:type="dcterms:W3CDTF">2026-10-04T16:04:25.853Z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