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EF" w:rsidRPr="003A4EEF" w:rsidRDefault="003A4EEF" w:rsidP="003A4EEF">
      <w:pPr>
        <w:pStyle w:val="Nagwek"/>
        <w:ind w:left="6372"/>
        <w:rPr>
          <w:rStyle w:val="Wyrnienieintensywne"/>
        </w:rPr>
      </w:pPr>
      <w:r w:rsidRPr="003A4EEF">
        <w:rPr>
          <w:rStyle w:val="Wyrnienieintensywne"/>
        </w:rPr>
        <w:t>Marcin Lew 289052</w:t>
      </w:r>
    </w:p>
    <w:p w:rsidR="003A4EEF" w:rsidRPr="003A4EEF" w:rsidRDefault="003A4EEF" w:rsidP="003A4EEF">
      <w:pPr>
        <w:pStyle w:val="Nagwek"/>
        <w:ind w:left="6372"/>
        <w:rPr>
          <w:b/>
          <w:bCs/>
          <w:i/>
          <w:iCs/>
          <w:color w:val="4472C4" w:themeColor="accent1"/>
        </w:rPr>
      </w:pPr>
      <w:r w:rsidRPr="003A4EEF">
        <w:rPr>
          <w:rStyle w:val="Wyrnienieintensywne"/>
        </w:rPr>
        <w:t>Kajetan Dreliszak 289050</w:t>
      </w:r>
    </w:p>
    <w:p w:rsidR="00C002A1" w:rsidRPr="003A4EEF" w:rsidRDefault="003A4EEF" w:rsidP="003A4EEF">
      <w:pPr>
        <w:pStyle w:val="Tytu"/>
      </w:pPr>
      <w:r w:rsidRPr="003A4EEF">
        <w:t>Raport</w:t>
      </w:r>
      <w:r w:rsidR="009F7371" w:rsidRPr="003A4EEF">
        <w:t xml:space="preserve"> projekt 2 TASS</w:t>
      </w:r>
    </w:p>
    <w:p w:rsidR="009F7371" w:rsidRDefault="009F7371" w:rsidP="003A4EEF">
      <w:pPr>
        <w:pStyle w:val="Podtytu"/>
      </w:pPr>
      <w:r w:rsidRPr="009F7371">
        <w:rPr>
          <w:b/>
        </w:rPr>
        <w:t>Temat</w:t>
      </w:r>
      <w:r w:rsidR="00396837">
        <w:rPr>
          <w:b/>
        </w:rPr>
        <w:t xml:space="preserve"> 4</w:t>
      </w:r>
      <w:r w:rsidRPr="009F7371">
        <w:rPr>
          <w:b/>
        </w:rPr>
        <w:t>:</w:t>
      </w:r>
      <w:r>
        <w:t xml:space="preserve"> </w:t>
      </w:r>
      <w:r w:rsidRPr="009F7371">
        <w:t xml:space="preserve">Wyszukiwarka popularnych miejsc turystycznych: na podstawie danych o trasach lotów i danych demograficznych znaleźć miasta o </w:t>
      </w:r>
      <w:r w:rsidR="0006358D" w:rsidRPr="009F7371">
        <w:t>nieproporcjonalnie dużym w stosunku do liczby mieszkańców ruchu lotniczym</w:t>
      </w:r>
      <w:r>
        <w:t>.</w:t>
      </w:r>
    </w:p>
    <w:p w:rsidR="0055019D" w:rsidRDefault="0055019D" w:rsidP="0055019D">
      <w:pPr>
        <w:pStyle w:val="Nagwek1"/>
        <w:numPr>
          <w:ilvl w:val="0"/>
          <w:numId w:val="3"/>
        </w:numPr>
      </w:pPr>
      <w:r>
        <w:t>Fuzja danych</w:t>
      </w:r>
    </w:p>
    <w:p w:rsidR="0055019D" w:rsidRDefault="0055019D" w:rsidP="0055019D">
      <w:pPr>
        <w:ind w:left="360"/>
        <w:rPr>
          <w:sz w:val="24"/>
          <w:szCs w:val="24"/>
        </w:rPr>
      </w:pPr>
      <w:r w:rsidRPr="0055019D">
        <w:rPr>
          <w:sz w:val="24"/>
          <w:szCs w:val="24"/>
        </w:rPr>
        <w:t xml:space="preserve">Na podstawie połączonych danych wyznaczono współczynnik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 w:rsidRPr="0055019D">
        <w:rPr>
          <w:sz w:val="24"/>
          <w:szCs w:val="24"/>
        </w:rPr>
        <w:t xml:space="preserve"> liczony jako stosunek liczby pasażerów obsłużonych przez lotniska w okolicach miasta do liczby mieszkańców danego miasta. W efekcie otrzymano prawie 649 wartości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 w:rsidRPr="0055019D">
        <w:rPr>
          <w:sz w:val="24"/>
          <w:szCs w:val="24"/>
        </w:rPr>
        <w:t xml:space="preserve"> dla różnych miast z całego świata.  </w:t>
      </w:r>
    </w:p>
    <w:p w:rsidR="0055019D" w:rsidRDefault="0055019D" w:rsidP="0055019D">
      <w:pPr>
        <w:pStyle w:val="Nagwek1"/>
        <w:numPr>
          <w:ilvl w:val="0"/>
          <w:numId w:val="3"/>
        </w:numPr>
      </w:pPr>
      <w:r>
        <w:t>Wizualizacja</w:t>
      </w:r>
    </w:p>
    <w:p w:rsidR="0055019D" w:rsidRDefault="0055019D" w:rsidP="0055019D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Każde z rozpatrywanych miast zostało</w:t>
      </w:r>
      <w:r w:rsidR="002A21A3">
        <w:rPr>
          <w:sz w:val="24"/>
          <w:szCs w:val="24"/>
        </w:rPr>
        <w:t xml:space="preserve"> zaznaczone</w:t>
      </w:r>
      <w:r>
        <w:rPr>
          <w:sz w:val="24"/>
          <w:szCs w:val="24"/>
        </w:rPr>
        <w:t xml:space="preserve"> na map</w:t>
      </w:r>
      <w:r w:rsidR="002A21A3">
        <w:rPr>
          <w:sz w:val="24"/>
          <w:szCs w:val="24"/>
        </w:rPr>
        <w:t>ie</w:t>
      </w:r>
      <w:r>
        <w:rPr>
          <w:sz w:val="24"/>
          <w:szCs w:val="24"/>
        </w:rPr>
        <w:t xml:space="preserve"> </w:t>
      </w:r>
      <w:r w:rsidRPr="0055019D">
        <w:rPr>
          <w:i/>
          <w:sz w:val="24"/>
          <w:szCs w:val="24"/>
        </w:rPr>
        <w:t>Google’a</w:t>
      </w:r>
      <w:r w:rsidR="00B15A0E">
        <w:rPr>
          <w:sz w:val="24"/>
          <w:szCs w:val="24"/>
        </w:rPr>
        <w:t xml:space="preserve"> </w:t>
      </w:r>
      <w:r w:rsidR="002A21A3">
        <w:rPr>
          <w:sz w:val="24"/>
          <w:szCs w:val="24"/>
        </w:rPr>
        <w:t>za pomocą</w:t>
      </w:r>
      <w:r w:rsidR="00B15A0E">
        <w:rPr>
          <w:sz w:val="24"/>
          <w:szCs w:val="24"/>
        </w:rPr>
        <w:t xml:space="preserve"> koło </w:t>
      </w:r>
      <w:r w:rsidR="002A21A3">
        <w:rPr>
          <w:sz w:val="24"/>
          <w:szCs w:val="24"/>
        </w:rPr>
        <w:t xml:space="preserve">w konkretnym kolorze </w:t>
      </w:r>
      <w:r w:rsidR="00B15A0E">
        <w:rPr>
          <w:sz w:val="24"/>
          <w:szCs w:val="24"/>
        </w:rPr>
        <w:t>oraz etykiet</w:t>
      </w:r>
      <w:r w:rsidR="002A21A3">
        <w:rPr>
          <w:sz w:val="24"/>
          <w:szCs w:val="24"/>
        </w:rPr>
        <w:t>y</w:t>
      </w:r>
      <w:r w:rsidR="00B15A0E">
        <w:rPr>
          <w:sz w:val="24"/>
          <w:szCs w:val="24"/>
        </w:rPr>
        <w:t xml:space="preserve"> przypięt</w:t>
      </w:r>
      <w:r w:rsidR="002A21A3">
        <w:rPr>
          <w:sz w:val="24"/>
          <w:szCs w:val="24"/>
        </w:rPr>
        <w:t>ej</w:t>
      </w:r>
      <w:r w:rsidR="00B15A0E">
        <w:rPr>
          <w:sz w:val="24"/>
          <w:szCs w:val="24"/>
        </w:rPr>
        <w:t xml:space="preserve"> do współrzędnych geograficznych miasta. Wartość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 w:rsidR="00B15A0E">
        <w:rPr>
          <w:rFonts w:eastAsiaTheme="minorEastAsia"/>
          <w:sz w:val="24"/>
          <w:szCs w:val="24"/>
        </w:rPr>
        <w:t xml:space="preserve"> uwzględniono w trojaki sposób:</w:t>
      </w:r>
    </w:p>
    <w:p w:rsidR="00B15A0E" w:rsidRDefault="006425E3" w:rsidP="00B15A0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6425E3">
        <w:rPr>
          <w:sz w:val="24"/>
          <w:szCs w:val="24"/>
        </w:rPr>
        <w:t>Koła</w:t>
      </w:r>
      <w:r w:rsidR="00B15A0E">
        <w:rPr>
          <w:sz w:val="24"/>
          <w:szCs w:val="24"/>
        </w:rPr>
        <w:t xml:space="preserve"> przyjmuje jedną z następujących barw:</w:t>
      </w:r>
    </w:p>
    <w:p w:rsidR="00B15A0E" w:rsidRDefault="00B15A0E" w:rsidP="00B15A0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fiolet,</w:t>
      </w:r>
    </w:p>
    <w:p w:rsidR="00B15A0E" w:rsidRDefault="00B15A0E" w:rsidP="00B15A0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niebieski</w:t>
      </w:r>
    </w:p>
    <w:p w:rsidR="00B15A0E" w:rsidRDefault="00B15A0E" w:rsidP="00B15A0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zielony,</w:t>
      </w:r>
    </w:p>
    <w:p w:rsidR="00B15A0E" w:rsidRDefault="00B15A0E" w:rsidP="00B15A0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żółty,</w:t>
      </w:r>
    </w:p>
    <w:p w:rsidR="00B15A0E" w:rsidRDefault="00B15A0E" w:rsidP="00B15A0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pomarańczowy,</w:t>
      </w:r>
    </w:p>
    <w:p w:rsidR="00B15A0E" w:rsidRDefault="00B15A0E" w:rsidP="00B15A0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czerwony.</w:t>
      </w:r>
    </w:p>
    <w:p w:rsidR="002C36CB" w:rsidRPr="002C36CB" w:rsidRDefault="00B15A0E" w:rsidP="002C36CB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Gdzie kolor fioletowy przypada miastom o </w:t>
      </w:r>
      <w:r w:rsidR="002A21A3">
        <w:rPr>
          <w:sz w:val="24"/>
          <w:szCs w:val="24"/>
        </w:rPr>
        <w:t>małych</w:t>
      </w:r>
      <w:r>
        <w:rPr>
          <w:sz w:val="24"/>
          <w:szCs w:val="24"/>
        </w:rPr>
        <w:t xml:space="preserve"> współczynnikach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>
        <w:rPr>
          <w:rFonts w:eastAsiaTheme="minorEastAsia"/>
          <w:sz w:val="24"/>
          <w:szCs w:val="24"/>
        </w:rPr>
        <w:t xml:space="preserve">, </w:t>
      </w:r>
      <w:r w:rsidR="002A21A3">
        <w:rPr>
          <w:rFonts w:eastAsiaTheme="minorEastAsia"/>
          <w:sz w:val="24"/>
          <w:szCs w:val="24"/>
        </w:rPr>
        <w:tab/>
        <w:t xml:space="preserve">          </w:t>
      </w:r>
      <w:r>
        <w:rPr>
          <w:rFonts w:eastAsiaTheme="minorEastAsia"/>
          <w:sz w:val="24"/>
          <w:szCs w:val="24"/>
        </w:rPr>
        <w:t>a czerwony</w:t>
      </w:r>
      <w:r w:rsidR="002C36CB">
        <w:rPr>
          <w:rFonts w:eastAsiaTheme="minorEastAsia"/>
          <w:sz w:val="24"/>
          <w:szCs w:val="24"/>
        </w:rPr>
        <w:t xml:space="preserve"> tym o dużych. Przy czym za wartość graniczną</w:t>
      </w:r>
      <w:r w:rsidR="002A21A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ws</m:t>
        </m:r>
        <m:r>
          <w:rPr>
            <w:rFonts w:ascii="Cambria Math" w:hAnsi="Cambria Math"/>
            <w:sz w:val="24"/>
            <w:szCs w:val="24"/>
          </w:rPr>
          <m:t>p</m:t>
        </m:r>
      </m:oMath>
      <w:r w:rsidR="002C36CB">
        <w:rPr>
          <w:rFonts w:eastAsiaTheme="minorEastAsia"/>
          <w:sz w:val="24"/>
          <w:szCs w:val="24"/>
        </w:rPr>
        <w:t xml:space="preserve">, po której barwa nie ulega zmianie, przyjęto </w:t>
      </w:r>
      <m:oMath>
        <m:r>
          <w:rPr>
            <w:rFonts w:ascii="Cambria Math" w:hAnsi="Cambria Math"/>
            <w:sz w:val="24"/>
            <w:szCs w:val="24"/>
          </w:rPr>
          <m:t>ws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=100</m:t>
        </m:r>
      </m:oMath>
      <w:r w:rsidR="002C36CB">
        <w:rPr>
          <w:rFonts w:eastAsiaTheme="minorEastAsia"/>
          <w:sz w:val="24"/>
          <w:szCs w:val="24"/>
        </w:rPr>
        <w:t>.</w:t>
      </w:r>
    </w:p>
    <w:p w:rsidR="00B15A0E" w:rsidRPr="002C36CB" w:rsidRDefault="002C36CB" w:rsidP="002C36C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Wraz ze wzrostem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>
        <w:rPr>
          <w:rFonts w:eastAsiaTheme="minorEastAsia"/>
          <w:sz w:val="24"/>
          <w:szCs w:val="24"/>
        </w:rPr>
        <w:t xml:space="preserve"> rośnie promień koła. Podobnie jak w przypadku kolorów, miasta o </w:t>
      </w:r>
      <w:r w:rsidR="002A21A3">
        <w:rPr>
          <w:rFonts w:eastAsiaTheme="minorEastAsia"/>
          <w:sz w:val="24"/>
          <w:szCs w:val="24"/>
        </w:rPr>
        <w:t xml:space="preserve">wartości większej niż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wsp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2A21A3">
        <w:rPr>
          <w:rFonts w:eastAsiaTheme="minorEastAsia"/>
          <w:sz w:val="24"/>
          <w:szCs w:val="24"/>
        </w:rPr>
        <w:t>ma</w:t>
      </w:r>
      <w:r>
        <w:rPr>
          <w:rFonts w:eastAsiaTheme="minorEastAsia"/>
          <w:sz w:val="24"/>
          <w:szCs w:val="24"/>
        </w:rPr>
        <w:t>ją koła jednakowej wielkości.</w:t>
      </w:r>
    </w:p>
    <w:p w:rsidR="002C36CB" w:rsidRPr="001D1EBF" w:rsidRDefault="002C36CB" w:rsidP="002C36C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Etykieta posiada taki sam kolor, jak koło. Ponadto najeżdżając na nią wyświetla się nazwa miasta oraz dokładna wartość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>
        <w:rPr>
          <w:rFonts w:eastAsiaTheme="minorEastAsia"/>
          <w:sz w:val="24"/>
          <w:szCs w:val="24"/>
        </w:rPr>
        <w:t>.</w:t>
      </w:r>
    </w:p>
    <w:p w:rsidR="001D1EBF" w:rsidRDefault="001D1EBF" w:rsidP="001D1EBF">
      <w:pPr>
        <w:pStyle w:val="Nagwek1"/>
        <w:numPr>
          <w:ilvl w:val="0"/>
          <w:numId w:val="3"/>
        </w:numPr>
      </w:pPr>
      <w:r>
        <w:t xml:space="preserve">Analiza wartości wskaźnika </w:t>
      </w:r>
      <m:oMath>
        <m:r>
          <m:rPr>
            <m:sty m:val="bi"/>
          </m:rPr>
          <w:rPr>
            <w:rFonts w:ascii="Cambria Math" w:hAnsi="Cambria Math"/>
          </w:rPr>
          <m:t>wsk</m:t>
        </m:r>
      </m:oMath>
    </w:p>
    <w:p w:rsidR="001D1EBF" w:rsidRDefault="000D0852" w:rsidP="001D1EBF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Podczas analizy brano pod uwagę miasta z całego świata, jednak na potrzeby tego raportu zawężono opisywany obszar do Europy.</w:t>
      </w:r>
      <w:r>
        <w:rPr>
          <w:sz w:val="24"/>
          <w:szCs w:val="24"/>
        </w:rPr>
        <w:br/>
      </w:r>
      <w:r w:rsidR="001D1EBF">
        <w:rPr>
          <w:sz w:val="24"/>
          <w:szCs w:val="24"/>
        </w:rPr>
        <w:t xml:space="preserve">Z początku dane naniesione na mapę wydają się </w:t>
      </w:r>
      <w:r>
        <w:rPr>
          <w:sz w:val="24"/>
          <w:szCs w:val="24"/>
        </w:rPr>
        <w:t xml:space="preserve">spełniać założenia projektu </w:t>
      </w:r>
      <w:r w:rsidR="001D1EBF">
        <w:rPr>
          <w:sz w:val="24"/>
          <w:szCs w:val="24"/>
        </w:rPr>
        <w:t>– kolor czerwony</w:t>
      </w:r>
      <w:r w:rsidR="007A7DF2">
        <w:rPr>
          <w:sz w:val="24"/>
          <w:szCs w:val="24"/>
        </w:rPr>
        <w:t xml:space="preserve"> i pomarańczowy dominują</w:t>
      </w:r>
      <w:r w:rsidR="002A21A3">
        <w:rPr>
          <w:sz w:val="24"/>
          <w:szCs w:val="24"/>
        </w:rPr>
        <w:t>:</w:t>
      </w:r>
      <w:r w:rsidR="001D1EBF">
        <w:rPr>
          <w:sz w:val="24"/>
          <w:szCs w:val="24"/>
        </w:rPr>
        <w:t xml:space="preserve"> w okolicach</w:t>
      </w:r>
      <w:r w:rsidR="007A7DF2">
        <w:rPr>
          <w:sz w:val="24"/>
          <w:szCs w:val="24"/>
        </w:rPr>
        <w:t xml:space="preserve"> basenu</w:t>
      </w:r>
      <w:r w:rsidR="001D1EBF">
        <w:rPr>
          <w:sz w:val="24"/>
          <w:szCs w:val="24"/>
        </w:rPr>
        <w:t xml:space="preserve"> morza Śródziemnomorskiego, w kilku skandynawskich miastach,</w:t>
      </w:r>
      <w:r>
        <w:rPr>
          <w:sz w:val="24"/>
          <w:szCs w:val="24"/>
        </w:rPr>
        <w:t xml:space="preserve"> </w:t>
      </w:r>
      <w:r w:rsidR="002A21A3">
        <w:rPr>
          <w:sz w:val="24"/>
          <w:szCs w:val="24"/>
        </w:rPr>
        <w:t>na</w:t>
      </w:r>
      <w:r>
        <w:rPr>
          <w:sz w:val="24"/>
          <w:szCs w:val="24"/>
        </w:rPr>
        <w:t xml:space="preserve"> wysp</w:t>
      </w:r>
      <w:r w:rsidR="002A21A3">
        <w:rPr>
          <w:sz w:val="24"/>
          <w:szCs w:val="24"/>
        </w:rPr>
        <w:t>ach</w:t>
      </w:r>
      <w:r>
        <w:rPr>
          <w:sz w:val="24"/>
          <w:szCs w:val="24"/>
        </w:rPr>
        <w:t xml:space="preserve"> Kanaryjski</w:t>
      </w:r>
      <w:r w:rsidR="002A21A3">
        <w:rPr>
          <w:sz w:val="24"/>
          <w:szCs w:val="24"/>
        </w:rPr>
        <w:t xml:space="preserve">ch oraz na innych wyspach takich jak </w:t>
      </w:r>
      <w:r w:rsidR="002A21A3">
        <w:rPr>
          <w:sz w:val="24"/>
          <w:szCs w:val="24"/>
        </w:rPr>
        <w:t>Sardynia, Kostaryka</w:t>
      </w:r>
      <w:r w:rsidR="002A21A3">
        <w:rPr>
          <w:sz w:val="24"/>
          <w:szCs w:val="24"/>
        </w:rPr>
        <w:t xml:space="preserve"> i</w:t>
      </w:r>
      <w:r w:rsidR="002A21A3">
        <w:rPr>
          <w:sz w:val="24"/>
          <w:szCs w:val="24"/>
        </w:rPr>
        <w:t xml:space="preserve"> Malta</w:t>
      </w:r>
      <w:r>
        <w:rPr>
          <w:sz w:val="24"/>
          <w:szCs w:val="24"/>
        </w:rPr>
        <w:t xml:space="preserve"> czy też</w:t>
      </w:r>
      <w:r w:rsidR="002A21A3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większych europejskich stolic</w:t>
      </w:r>
      <w:r w:rsidR="002A21A3">
        <w:rPr>
          <w:sz w:val="24"/>
          <w:szCs w:val="24"/>
        </w:rPr>
        <w:t>ach</w:t>
      </w:r>
      <w:r>
        <w:rPr>
          <w:sz w:val="24"/>
          <w:szCs w:val="24"/>
        </w:rPr>
        <w:t xml:space="preserve"> jak </w:t>
      </w:r>
      <w:r>
        <w:rPr>
          <w:sz w:val="24"/>
          <w:szCs w:val="24"/>
        </w:rPr>
        <w:lastRenderedPageBreak/>
        <w:t xml:space="preserve">Paryż czy Amsterdam. </w:t>
      </w:r>
      <w:r>
        <w:rPr>
          <w:sz w:val="24"/>
          <w:szCs w:val="24"/>
        </w:rPr>
        <w:br/>
        <w:t>Zauważono jednak, że poza miejscami</w:t>
      </w:r>
      <w:r w:rsidR="00B542EA">
        <w:rPr>
          <w:sz w:val="24"/>
          <w:szCs w:val="24"/>
        </w:rPr>
        <w:t>, które znane są dużej liczby turystów</w:t>
      </w:r>
      <w:r>
        <w:rPr>
          <w:sz w:val="24"/>
          <w:szCs w:val="24"/>
        </w:rPr>
        <w:t xml:space="preserve">, współczynnik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>
        <w:rPr>
          <w:rFonts w:eastAsiaTheme="minorEastAsia"/>
          <w:sz w:val="24"/>
          <w:szCs w:val="24"/>
        </w:rPr>
        <w:t xml:space="preserve"> wyróżnił również mniej turystyczne miejscowości, takie jak Billund (Dania</w:t>
      </w:r>
      <w:r w:rsidR="00551B9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wsp=465,55</m:t>
        </m:r>
      </m:oMath>
      <w:r>
        <w:rPr>
          <w:rFonts w:eastAsiaTheme="minorEastAsia"/>
          <w:sz w:val="24"/>
          <w:szCs w:val="24"/>
        </w:rPr>
        <w:t>), Shannon (Irlandia</w:t>
      </w:r>
      <w:r w:rsidR="00551B9F">
        <w:rPr>
          <w:rFonts w:eastAsiaTheme="minor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wsp=177,86</m:t>
        </m:r>
      </m:oMath>
      <w:r>
        <w:rPr>
          <w:rFonts w:eastAsiaTheme="minorEastAsia"/>
          <w:sz w:val="24"/>
          <w:szCs w:val="24"/>
        </w:rPr>
        <w:t>), Faro (Portugalia</w:t>
      </w:r>
      <w:r w:rsidR="00551B9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wsp=100,17</m:t>
        </m:r>
      </m:oMath>
      <w:r>
        <w:rPr>
          <w:rFonts w:eastAsiaTheme="minorEastAsia"/>
          <w:sz w:val="24"/>
          <w:szCs w:val="24"/>
        </w:rPr>
        <w:t>)</w:t>
      </w:r>
      <w:r w:rsidR="00412E02">
        <w:rPr>
          <w:rFonts w:eastAsiaTheme="minorEastAsia"/>
          <w:sz w:val="24"/>
          <w:szCs w:val="24"/>
        </w:rPr>
        <w:t>, Keflavik (Islandia</w:t>
      </w:r>
      <w:r w:rsidR="00551B9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wsp=315,76</m:t>
        </m:r>
      </m:oMath>
      <w:r w:rsidR="00412E02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czy Frankfurt nad Menem (Niemcy</w:t>
      </w:r>
      <w:r w:rsidR="00551B9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wsp=34,15</m:t>
        </m:r>
      </m:oMath>
      <w:r>
        <w:rPr>
          <w:rFonts w:eastAsiaTheme="minorEastAsia"/>
          <w:sz w:val="24"/>
          <w:szCs w:val="24"/>
        </w:rPr>
        <w:t xml:space="preserve">). </w:t>
      </w:r>
      <w:r w:rsidR="000056D8">
        <w:rPr>
          <w:rFonts w:eastAsiaTheme="minorEastAsia"/>
          <w:sz w:val="24"/>
          <w:szCs w:val="24"/>
        </w:rPr>
        <w:t xml:space="preserve">Odpowiedź na pytanie, dlaczego tak się stało, leży w specyficznych cechach tych miast, których nie uwzględnia współczynnik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 w:rsidR="000056D8">
        <w:rPr>
          <w:rFonts w:eastAsiaTheme="minorEastAsia"/>
          <w:sz w:val="24"/>
          <w:szCs w:val="24"/>
        </w:rPr>
        <w:t>:</w:t>
      </w:r>
    </w:p>
    <w:p w:rsidR="000056D8" w:rsidRDefault="00B542EA" w:rsidP="000056D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056D8">
        <w:rPr>
          <w:sz w:val="24"/>
          <w:szCs w:val="24"/>
        </w:rPr>
        <w:t>ała liczba ludności, stosunkowo duże lotnisko (Billund</w:t>
      </w:r>
      <w:r w:rsidR="006425E3">
        <w:rPr>
          <w:sz w:val="24"/>
          <w:szCs w:val="24"/>
        </w:rPr>
        <w:t>, Faro</w:t>
      </w:r>
      <w:r w:rsidR="00800781">
        <w:rPr>
          <w:sz w:val="24"/>
          <w:szCs w:val="24"/>
        </w:rPr>
        <w:t xml:space="preserve">, Shannon). Billund, z powodu </w:t>
      </w:r>
      <w:r w:rsidR="00800781" w:rsidRPr="00800781">
        <w:rPr>
          <w:i/>
          <w:sz w:val="24"/>
          <w:szCs w:val="24"/>
        </w:rPr>
        <w:t>Legolandu</w:t>
      </w:r>
      <w:r w:rsidR="00800781">
        <w:rPr>
          <w:sz w:val="24"/>
          <w:szCs w:val="24"/>
        </w:rPr>
        <w:t xml:space="preserve">, jest miejscowością turystyczną, ale zdecydowanie mniej niż wskazuje na to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 w:rsidR="00800781">
        <w:rPr>
          <w:sz w:val="24"/>
          <w:szCs w:val="24"/>
        </w:rPr>
        <w:t>.</w:t>
      </w:r>
    </w:p>
    <w:p w:rsidR="000056D8" w:rsidRDefault="000056D8" w:rsidP="000056D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lotnisko przesiadkowe (tranzytowe), </w:t>
      </w:r>
      <w:r w:rsidR="00412E02">
        <w:rPr>
          <w:sz w:val="24"/>
          <w:szCs w:val="24"/>
        </w:rPr>
        <w:t>będące np. łącznikiem pomiędzy Europą a USA) –</w:t>
      </w:r>
      <w:r>
        <w:rPr>
          <w:sz w:val="24"/>
          <w:szCs w:val="24"/>
        </w:rPr>
        <w:t xml:space="preserve"> rzadko kiedy</w:t>
      </w:r>
      <w:r w:rsidR="00412E02">
        <w:rPr>
          <w:sz w:val="24"/>
          <w:szCs w:val="24"/>
        </w:rPr>
        <w:t xml:space="preserve"> bywa portem docelowym</w:t>
      </w:r>
      <w:r w:rsidR="00B542EA">
        <w:rPr>
          <w:sz w:val="24"/>
          <w:szCs w:val="24"/>
        </w:rPr>
        <w:t xml:space="preserve"> </w:t>
      </w:r>
      <w:r w:rsidR="006425E3" w:rsidRPr="006425E3">
        <w:rPr>
          <w:sz w:val="24"/>
          <w:szCs w:val="24"/>
        </w:rPr>
        <w:t>np. Faro.</w:t>
      </w:r>
    </w:p>
    <w:p w:rsidR="00412E02" w:rsidRPr="00B97B6E" w:rsidRDefault="00551B9F" w:rsidP="000056D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412E02">
        <w:rPr>
          <w:sz w:val="24"/>
          <w:szCs w:val="24"/>
        </w:rPr>
        <w:t xml:space="preserve">rzypadek miasta Keflavik – znajduje się tam główny międzynarodowy port lotniczy w Islandii, co w połączeniu z populacją miasta nie przekraczającą 14tyś. Daje bardzo duży współczynnik </w:t>
      </w:r>
      <m:oMath>
        <m:r>
          <w:rPr>
            <w:rFonts w:ascii="Cambria Math" w:hAnsi="Cambria Math"/>
            <w:sz w:val="24"/>
            <w:szCs w:val="24"/>
          </w:rPr>
          <m:t>wsp</m:t>
        </m:r>
      </m:oMath>
      <w:r w:rsidR="00412E02">
        <w:rPr>
          <w:rFonts w:eastAsiaTheme="minorEastAsia"/>
          <w:sz w:val="24"/>
          <w:szCs w:val="24"/>
        </w:rPr>
        <w:t>.</w:t>
      </w:r>
    </w:p>
    <w:p w:rsidR="00563E1C" w:rsidRDefault="00563E1C" w:rsidP="00B97B6E">
      <w:pPr>
        <w:pStyle w:val="Nagwek1"/>
        <w:numPr>
          <w:ilvl w:val="0"/>
          <w:numId w:val="3"/>
        </w:numPr>
      </w:pPr>
      <w:r>
        <w:t xml:space="preserve">Próba udoskonalenia współczynnika </w:t>
      </w:r>
      <m:oMath>
        <m:r>
          <m:rPr>
            <m:sty m:val="bi"/>
          </m:rPr>
          <w:rPr>
            <w:rFonts w:ascii="Cambria Math" w:hAnsi="Cambria Math"/>
          </w:rPr>
          <m:t>wsp</m:t>
        </m:r>
      </m:oMath>
    </w:p>
    <w:p w:rsidR="00563E1C" w:rsidRPr="00B542EA" w:rsidRDefault="00441425" w:rsidP="00563E1C">
      <w:pPr>
        <w:ind w:left="360"/>
        <w:rPr>
          <w:rFonts w:eastAsiaTheme="minorEastAsia" w:cstheme="minorHAnsi"/>
          <w:sz w:val="24"/>
          <w:szCs w:val="24"/>
        </w:rPr>
      </w:pPr>
      <w:r w:rsidRPr="00B542EA">
        <w:rPr>
          <w:rFonts w:cstheme="minorHAnsi"/>
          <w:sz w:val="24"/>
          <w:szCs w:val="24"/>
        </w:rPr>
        <w:t xml:space="preserve">W celu usunięcia niedoskonałości wynikających z budowy współczynnika </w:t>
      </w:r>
      <m:oMath>
        <m:r>
          <w:rPr>
            <w:rFonts w:ascii="Cambria Math" w:hAnsi="Cambria Math" w:cstheme="minorHAnsi"/>
            <w:sz w:val="24"/>
            <w:szCs w:val="24"/>
          </w:rPr>
          <m:t>wsp</m:t>
        </m:r>
      </m:oMath>
      <w:r w:rsidRPr="00B542EA">
        <w:rPr>
          <w:rFonts w:eastAsiaTheme="minorEastAsia" w:cstheme="minorHAnsi"/>
          <w:sz w:val="24"/>
          <w:szCs w:val="24"/>
        </w:rPr>
        <w:t xml:space="preserve"> zdecydowano się uwzględnić kolejny rodzaj danych – informacje o istniejących połączeniach pomiędzy lotniskami. Na ich podstawie stworzono graf skierowany </w:t>
      </w:r>
      <w:r w:rsidRPr="00B542EA">
        <w:rPr>
          <w:rFonts w:eastAsiaTheme="minorEastAsia" w:cstheme="minorHAnsi"/>
          <w:i/>
          <w:sz w:val="24"/>
          <w:szCs w:val="24"/>
        </w:rPr>
        <w:t>DiGraph</w:t>
      </w:r>
      <w:r w:rsidRPr="00B542EA">
        <w:rPr>
          <w:rFonts w:eastAsiaTheme="minorEastAsia" w:cstheme="minorHAnsi"/>
          <w:sz w:val="24"/>
          <w:szCs w:val="24"/>
        </w:rPr>
        <w:t xml:space="preserve"> i przystąpiono do jego analizy. </w:t>
      </w:r>
    </w:p>
    <w:p w:rsidR="00441425" w:rsidRPr="00B542EA" w:rsidRDefault="00441425" w:rsidP="00563E1C">
      <w:pPr>
        <w:ind w:left="360"/>
        <w:rPr>
          <w:rFonts w:eastAsiaTheme="minorEastAsia" w:cstheme="minorHAnsi"/>
          <w:sz w:val="24"/>
          <w:szCs w:val="24"/>
        </w:rPr>
      </w:pPr>
      <w:r w:rsidRPr="00B542EA">
        <w:rPr>
          <w:rFonts w:cstheme="minorHAnsi"/>
          <w:sz w:val="24"/>
          <w:szCs w:val="24"/>
        </w:rPr>
        <w:t xml:space="preserve">Początkowo policzono współczynnik gronowania (ang. </w:t>
      </w:r>
      <w:r w:rsidRPr="00B542EA">
        <w:rPr>
          <w:rFonts w:cstheme="minorHAnsi"/>
          <w:i/>
          <w:sz w:val="24"/>
          <w:szCs w:val="24"/>
        </w:rPr>
        <w:t>clustering coefficient</w:t>
      </w:r>
      <w:r w:rsidRPr="00B542EA">
        <w:rPr>
          <w:rFonts w:cstheme="minorHAnsi"/>
          <w:sz w:val="24"/>
          <w:szCs w:val="24"/>
        </w:rPr>
        <w:t>) dla każdego z portów – węzły grafu.</w:t>
      </w:r>
      <w:r w:rsidR="005D3469" w:rsidRPr="00B542EA">
        <w:rPr>
          <w:rFonts w:cstheme="minorHAnsi"/>
          <w:sz w:val="24"/>
          <w:szCs w:val="24"/>
        </w:rPr>
        <w:t xml:space="preserve"> Następnie przemnożono przez niego </w:t>
      </w:r>
      <m:oMath>
        <m:r>
          <w:rPr>
            <w:rFonts w:ascii="Cambria Math" w:hAnsi="Cambria Math" w:cstheme="minorHAnsi"/>
            <w:sz w:val="24"/>
            <w:szCs w:val="24"/>
          </w:rPr>
          <m:t>wsk</m:t>
        </m:r>
      </m:oMath>
      <w:r w:rsidR="005D3469" w:rsidRPr="00B542EA">
        <w:rPr>
          <w:rFonts w:eastAsiaTheme="minorEastAsia" w:cstheme="minorHAnsi"/>
          <w:sz w:val="24"/>
          <w:szCs w:val="24"/>
        </w:rPr>
        <w:t xml:space="preserve"> i wynik naniesiono na mapę. Operacja ta przyniosła jednak dwojakie efekty. Znacznie zmalał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wsp</m:t>
        </m:r>
      </m:oMath>
      <w:r w:rsidR="005D3469" w:rsidRPr="00B542EA">
        <w:rPr>
          <w:rFonts w:eastAsiaTheme="minorEastAsia" w:cstheme="minorHAnsi"/>
          <w:sz w:val="24"/>
          <w:szCs w:val="24"/>
        </w:rPr>
        <w:t xml:space="preserve"> dla miasta Frankfurt nad Menem. Jednak dla Faro, Shannon i Billund dysproporcja w stosunku do innych miast znacznie wzrosła. Ponadto na mapie znacznie „urosło” miasto Kirkenes, które znajduje się w północnej części Norwegii i zdecydowanie nie należy do miast turystycznych. Dlatego też zrezygnowano ze współczynnika gronowania.</w:t>
      </w:r>
    </w:p>
    <w:p w:rsidR="005D3469" w:rsidRPr="00B542EA" w:rsidRDefault="005D3469" w:rsidP="00563E1C">
      <w:pPr>
        <w:ind w:left="360"/>
        <w:rPr>
          <w:rFonts w:eastAsiaTheme="minorEastAsia" w:cstheme="minorHAnsi"/>
          <w:sz w:val="24"/>
          <w:szCs w:val="24"/>
        </w:rPr>
      </w:pPr>
      <w:r w:rsidRPr="00B542EA">
        <w:rPr>
          <w:rFonts w:eastAsiaTheme="minorEastAsia" w:cstheme="minorHAnsi"/>
          <w:sz w:val="24"/>
          <w:szCs w:val="24"/>
        </w:rPr>
        <w:t xml:space="preserve">Kolejnym krokiem było policzenie </w:t>
      </w:r>
      <w:r w:rsidR="00234499" w:rsidRPr="00B542EA">
        <w:rPr>
          <w:rFonts w:eastAsiaTheme="minorEastAsia" w:cstheme="minorHAnsi"/>
          <w:sz w:val="24"/>
          <w:szCs w:val="24"/>
        </w:rPr>
        <w:t>pośrednictwa</w:t>
      </w:r>
      <w:r w:rsidRPr="00B542EA">
        <w:rPr>
          <w:rFonts w:eastAsiaTheme="minorEastAsia" w:cstheme="minorHAnsi"/>
          <w:sz w:val="24"/>
          <w:szCs w:val="24"/>
        </w:rPr>
        <w:t xml:space="preserve">(ang. </w:t>
      </w:r>
      <w:r w:rsidRPr="00B542EA">
        <w:rPr>
          <w:rFonts w:eastAsiaTheme="minorEastAsia" w:cstheme="minorHAnsi"/>
          <w:i/>
          <w:sz w:val="24"/>
          <w:szCs w:val="24"/>
        </w:rPr>
        <w:t>closeness</w:t>
      </w:r>
      <w:r w:rsidRPr="00B542EA">
        <w:rPr>
          <w:rFonts w:eastAsiaTheme="minorEastAsia" w:cstheme="minorHAnsi"/>
          <w:sz w:val="24"/>
          <w:szCs w:val="24"/>
        </w:rPr>
        <w:t xml:space="preserve">). </w:t>
      </w:r>
      <w:r w:rsidR="00234499" w:rsidRPr="00B542EA">
        <w:rPr>
          <w:rFonts w:eastAsiaTheme="minorEastAsia" w:cstheme="minorHAnsi"/>
          <w:sz w:val="24"/>
          <w:szCs w:val="24"/>
        </w:rPr>
        <w:t>Pomysł</w:t>
      </w:r>
      <w:r w:rsidRPr="00B542EA">
        <w:rPr>
          <w:rFonts w:eastAsiaTheme="minorEastAsia" w:cstheme="minorHAnsi"/>
          <w:sz w:val="24"/>
          <w:szCs w:val="24"/>
        </w:rPr>
        <w:t xml:space="preserve"> był następujący – miasta pełniące rolę mo</w:t>
      </w:r>
      <w:bookmarkStart w:id="0" w:name="_GoBack"/>
      <w:bookmarkEnd w:id="0"/>
      <w:r w:rsidRPr="00B542EA">
        <w:rPr>
          <w:rFonts w:eastAsiaTheme="minorEastAsia" w:cstheme="minorHAnsi"/>
          <w:sz w:val="24"/>
          <w:szCs w:val="24"/>
        </w:rPr>
        <w:t xml:space="preserve">stów pomiędzy grupami miast zostaną uwydatnione a następnie usunięte. W zamyśle miały być to porty tranzytowe. Okazało się jednak, że współczynnik </w:t>
      </w:r>
      <w:r w:rsidR="00234499" w:rsidRPr="00B542EA">
        <w:rPr>
          <w:rFonts w:eastAsiaTheme="minorEastAsia" w:cstheme="minorHAnsi"/>
          <w:sz w:val="24"/>
          <w:szCs w:val="24"/>
        </w:rPr>
        <w:t>pośrednictwa</w:t>
      </w:r>
      <w:r w:rsidRPr="00B542EA">
        <w:rPr>
          <w:rFonts w:eastAsiaTheme="minorEastAsia" w:cstheme="minorHAnsi"/>
          <w:sz w:val="24"/>
          <w:szCs w:val="24"/>
        </w:rPr>
        <w:t xml:space="preserve"> nie </w:t>
      </w:r>
      <w:r w:rsidR="00B542EA">
        <w:rPr>
          <w:rFonts w:eastAsiaTheme="minorEastAsia" w:cstheme="minorHAnsi"/>
          <w:sz w:val="24"/>
          <w:szCs w:val="24"/>
        </w:rPr>
        <w:t>tylko</w:t>
      </w:r>
      <w:r w:rsidRPr="00B542EA">
        <w:rPr>
          <w:rFonts w:eastAsiaTheme="minorEastAsia" w:cstheme="minorHAnsi"/>
          <w:sz w:val="24"/>
          <w:szCs w:val="24"/>
        </w:rPr>
        <w:t xml:space="preserve"> portów przesiadkowych, a porty centralne w poszczególnych krajach – Paryż, Amsterdam, </w:t>
      </w:r>
      <w:r w:rsidR="00234499" w:rsidRPr="00B542EA">
        <w:rPr>
          <w:rFonts w:eastAsiaTheme="minorEastAsia" w:cstheme="minorHAnsi"/>
          <w:sz w:val="24"/>
          <w:szCs w:val="24"/>
        </w:rPr>
        <w:t>Madryt.</w:t>
      </w:r>
    </w:p>
    <w:p w:rsidR="00234499" w:rsidRPr="00234499" w:rsidRDefault="00234499" w:rsidP="00234499">
      <w:pPr>
        <w:ind w:left="360"/>
        <w:rPr>
          <w:rFonts w:eastAsiaTheme="minorEastAsia"/>
        </w:rPr>
      </w:pPr>
      <w:r w:rsidRPr="00B542EA">
        <w:rPr>
          <w:rFonts w:eastAsiaTheme="minorEastAsia" w:cstheme="minorHAnsi"/>
          <w:sz w:val="24"/>
          <w:szCs w:val="24"/>
        </w:rPr>
        <w:t>Próbowano jeszcze wykluczyć</w:t>
      </w:r>
      <w:r w:rsidR="00B542EA">
        <w:rPr>
          <w:rFonts w:eastAsiaTheme="minorEastAsia" w:cstheme="minorHAnsi"/>
          <w:sz w:val="24"/>
          <w:szCs w:val="24"/>
        </w:rPr>
        <w:t xml:space="preserve"> z sieci</w:t>
      </w:r>
      <w:r w:rsidRPr="00B542EA">
        <w:rPr>
          <w:rFonts w:eastAsiaTheme="minorEastAsia" w:cstheme="minorHAnsi"/>
          <w:sz w:val="24"/>
          <w:szCs w:val="24"/>
        </w:rPr>
        <w:t xml:space="preserve"> wszystkie przeguby (ang. </w:t>
      </w:r>
      <w:r w:rsidRPr="00B542EA">
        <w:rPr>
          <w:rFonts w:eastAsiaTheme="minorEastAsia" w:cstheme="minorHAnsi"/>
          <w:i/>
          <w:sz w:val="24"/>
          <w:szCs w:val="24"/>
        </w:rPr>
        <w:t>articulation_points</w:t>
      </w:r>
      <w:r w:rsidRPr="00B542EA">
        <w:rPr>
          <w:rFonts w:eastAsiaTheme="minorEastAsia" w:cstheme="minorHAnsi"/>
          <w:sz w:val="24"/>
          <w:szCs w:val="24"/>
        </w:rPr>
        <w:t>) oraz policzono kilka innych współczynników. Efekty były jednak bardzo niezadowalające i nie zostały w tym raporcie opisane</w:t>
      </w:r>
      <w:r>
        <w:rPr>
          <w:rFonts w:eastAsiaTheme="minorEastAsia"/>
        </w:rPr>
        <w:t>.</w:t>
      </w:r>
    </w:p>
    <w:p w:rsidR="00B97B6E" w:rsidRDefault="00B97B6E" w:rsidP="00B97B6E">
      <w:pPr>
        <w:pStyle w:val="Nagwek1"/>
        <w:numPr>
          <w:ilvl w:val="0"/>
          <w:numId w:val="3"/>
        </w:numPr>
      </w:pPr>
      <w:r>
        <w:t>Uruchamianie aplikacji</w:t>
      </w:r>
    </w:p>
    <w:p w:rsidR="00234499" w:rsidRDefault="00B97B6E" w:rsidP="00B97B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Aplikację napisano w języku programowania </w:t>
      </w:r>
      <w:r>
        <w:rPr>
          <w:i/>
          <w:sz w:val="24"/>
          <w:szCs w:val="24"/>
        </w:rPr>
        <w:t>Python</w:t>
      </w:r>
      <w:r>
        <w:rPr>
          <w:sz w:val="24"/>
          <w:szCs w:val="24"/>
        </w:rPr>
        <w:t xml:space="preserve">. Wynik jej działania – mapę z danymi – zapisano w pliku </w:t>
      </w:r>
      <w:r w:rsidRPr="00B97B6E">
        <w:rPr>
          <w:i/>
          <w:sz w:val="24"/>
          <w:szCs w:val="24"/>
        </w:rPr>
        <w:t>mapa.html</w:t>
      </w:r>
      <w:r>
        <w:rPr>
          <w:sz w:val="24"/>
          <w:szCs w:val="24"/>
        </w:rPr>
        <w:t xml:space="preserve">, który znajduje się w folderze projektu </w:t>
      </w:r>
      <w:r w:rsidRPr="00B97B6E">
        <w:rPr>
          <w:i/>
          <w:sz w:val="24"/>
          <w:szCs w:val="24"/>
        </w:rPr>
        <w:t>TASS2</w:t>
      </w:r>
      <w:r>
        <w:rPr>
          <w:sz w:val="24"/>
          <w:szCs w:val="24"/>
        </w:rPr>
        <w:t xml:space="preserve">. Plik należy </w:t>
      </w:r>
      <w:r>
        <w:rPr>
          <w:sz w:val="24"/>
          <w:szCs w:val="24"/>
        </w:rPr>
        <w:lastRenderedPageBreak/>
        <w:t xml:space="preserve">otworzyć w dowolnej przeglądarce (testowane dla </w:t>
      </w:r>
      <w:r w:rsidRPr="00B97B6E">
        <w:rPr>
          <w:i/>
          <w:sz w:val="24"/>
          <w:szCs w:val="24"/>
        </w:rPr>
        <w:t>Chrome</w:t>
      </w:r>
      <w:r>
        <w:rPr>
          <w:sz w:val="24"/>
          <w:szCs w:val="24"/>
        </w:rPr>
        <w:t>).</w:t>
      </w:r>
      <w:r>
        <w:rPr>
          <w:sz w:val="24"/>
          <w:szCs w:val="24"/>
        </w:rPr>
        <w:br/>
        <w:t>Drugą opcją</w:t>
      </w:r>
      <w:r w:rsidR="00662E80">
        <w:rPr>
          <w:sz w:val="24"/>
          <w:szCs w:val="24"/>
        </w:rPr>
        <w:t xml:space="preserve"> jest uruchomienie skryptu w środowisku </w:t>
      </w:r>
      <w:r w:rsidR="00662E80" w:rsidRPr="00662E80">
        <w:rPr>
          <w:i/>
          <w:sz w:val="24"/>
          <w:szCs w:val="24"/>
        </w:rPr>
        <w:t>PyCharm</w:t>
      </w:r>
      <w:r w:rsidR="00662E80">
        <w:rPr>
          <w:sz w:val="24"/>
          <w:szCs w:val="24"/>
        </w:rPr>
        <w:t xml:space="preserve">. W wyniku utworzony zostanie nowy plik </w:t>
      </w:r>
      <w:r w:rsidR="00662E80" w:rsidRPr="00B97B6E">
        <w:rPr>
          <w:i/>
          <w:sz w:val="24"/>
          <w:szCs w:val="24"/>
        </w:rPr>
        <w:t>mapa.html</w:t>
      </w:r>
      <w:r w:rsidR="00662E80">
        <w:rPr>
          <w:sz w:val="24"/>
          <w:szCs w:val="24"/>
        </w:rPr>
        <w:t>, który zostanie automatycznie otworzony w przeglądarce domyślnej użytkownika.</w:t>
      </w:r>
    </w:p>
    <w:p w:rsidR="00432694" w:rsidRDefault="00234499" w:rsidP="00B97B6E">
      <w:pPr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W celu </w:t>
      </w:r>
      <w:r w:rsidR="00432694">
        <w:rPr>
          <w:sz w:val="24"/>
          <w:szCs w:val="24"/>
        </w:rPr>
        <w:t xml:space="preserve">obejrzenia map z uwzględnieniem współczynników omówionych w rozdziale 4 należy otworzyć pliki </w:t>
      </w:r>
      <w:r w:rsidR="00432694" w:rsidRPr="00432694">
        <w:rPr>
          <w:i/>
          <w:sz w:val="24"/>
          <w:szCs w:val="24"/>
        </w:rPr>
        <w:t>mapa_clustering_coefficient.html</w:t>
      </w:r>
      <w:r w:rsidR="00432694" w:rsidRPr="00432694">
        <w:rPr>
          <w:sz w:val="24"/>
          <w:szCs w:val="24"/>
        </w:rPr>
        <w:t xml:space="preserve"> </w:t>
      </w:r>
      <w:r w:rsidR="00432694">
        <w:rPr>
          <w:sz w:val="24"/>
          <w:szCs w:val="24"/>
        </w:rPr>
        <w:t xml:space="preserve"> lub</w:t>
      </w:r>
      <w:r w:rsidR="00432694" w:rsidRPr="00432694">
        <w:rPr>
          <w:i/>
          <w:sz w:val="24"/>
          <w:szCs w:val="24"/>
        </w:rPr>
        <w:t xml:space="preserve"> mapa_betweenness_centrality.html</w:t>
      </w:r>
      <w:r w:rsidR="00432694">
        <w:rPr>
          <w:sz w:val="24"/>
          <w:szCs w:val="24"/>
        </w:rPr>
        <w:t xml:space="preserve"> znajdujące się w folderze projektu </w:t>
      </w:r>
      <w:r w:rsidR="00432694" w:rsidRPr="00B97B6E">
        <w:rPr>
          <w:i/>
          <w:sz w:val="24"/>
          <w:szCs w:val="24"/>
        </w:rPr>
        <w:t>TASS2</w:t>
      </w:r>
      <w:r w:rsidR="00432694">
        <w:rPr>
          <w:i/>
          <w:sz w:val="24"/>
          <w:szCs w:val="24"/>
        </w:rPr>
        <w:t>.</w:t>
      </w:r>
    </w:p>
    <w:p w:rsidR="00B97B6E" w:rsidRPr="00B97B6E" w:rsidRDefault="00F31ED3" w:rsidP="00B97B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wyświetlenia mapy niezbędny jest dostęp do Internetu. </w:t>
      </w:r>
    </w:p>
    <w:sectPr w:rsidR="00B97B6E" w:rsidRPr="00B97B6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885" w:rsidRDefault="00986885" w:rsidP="009F7371">
      <w:pPr>
        <w:spacing w:after="0" w:line="240" w:lineRule="auto"/>
      </w:pPr>
      <w:r>
        <w:separator/>
      </w:r>
    </w:p>
  </w:endnote>
  <w:endnote w:type="continuationSeparator" w:id="0">
    <w:p w:rsidR="00986885" w:rsidRDefault="00986885" w:rsidP="009F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6919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63E1C" w:rsidRDefault="00563E1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E3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563E1C" w:rsidRDefault="00563E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885" w:rsidRDefault="00986885" w:rsidP="009F7371">
      <w:pPr>
        <w:spacing w:after="0" w:line="240" w:lineRule="auto"/>
      </w:pPr>
      <w:r>
        <w:separator/>
      </w:r>
    </w:p>
  </w:footnote>
  <w:footnote w:type="continuationSeparator" w:id="0">
    <w:p w:rsidR="00986885" w:rsidRDefault="00986885" w:rsidP="009F7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A6D"/>
    <w:multiLevelType w:val="hybridMultilevel"/>
    <w:tmpl w:val="01A44F7A"/>
    <w:lvl w:ilvl="0" w:tplc="938CDA98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EFE"/>
    <w:multiLevelType w:val="hybridMultilevel"/>
    <w:tmpl w:val="1778D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39A6"/>
    <w:multiLevelType w:val="hybridMultilevel"/>
    <w:tmpl w:val="3BB279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949AC"/>
    <w:multiLevelType w:val="hybridMultilevel"/>
    <w:tmpl w:val="0B063A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2725F6"/>
    <w:multiLevelType w:val="hybridMultilevel"/>
    <w:tmpl w:val="43661B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71"/>
    <w:rsid w:val="000056D8"/>
    <w:rsid w:val="0001496E"/>
    <w:rsid w:val="0006358D"/>
    <w:rsid w:val="000D0852"/>
    <w:rsid w:val="001246BD"/>
    <w:rsid w:val="00140742"/>
    <w:rsid w:val="00150D8D"/>
    <w:rsid w:val="001D1EBF"/>
    <w:rsid w:val="00234499"/>
    <w:rsid w:val="002A21A3"/>
    <w:rsid w:val="002C36CB"/>
    <w:rsid w:val="00372CE3"/>
    <w:rsid w:val="00396837"/>
    <w:rsid w:val="003A4EEF"/>
    <w:rsid w:val="00412E02"/>
    <w:rsid w:val="00432694"/>
    <w:rsid w:val="00441425"/>
    <w:rsid w:val="0055019D"/>
    <w:rsid w:val="00551B9F"/>
    <w:rsid w:val="00563E1C"/>
    <w:rsid w:val="005A7B4E"/>
    <w:rsid w:val="005D3469"/>
    <w:rsid w:val="005D7C11"/>
    <w:rsid w:val="006425E3"/>
    <w:rsid w:val="00662E80"/>
    <w:rsid w:val="007A7DF2"/>
    <w:rsid w:val="00800781"/>
    <w:rsid w:val="00801B95"/>
    <w:rsid w:val="00855262"/>
    <w:rsid w:val="00871C24"/>
    <w:rsid w:val="008C157D"/>
    <w:rsid w:val="0091773E"/>
    <w:rsid w:val="00986885"/>
    <w:rsid w:val="0099559A"/>
    <w:rsid w:val="009F7371"/>
    <w:rsid w:val="00A23736"/>
    <w:rsid w:val="00A53C12"/>
    <w:rsid w:val="00A75C3D"/>
    <w:rsid w:val="00A8622D"/>
    <w:rsid w:val="00AB2529"/>
    <w:rsid w:val="00B15A0E"/>
    <w:rsid w:val="00B2266F"/>
    <w:rsid w:val="00B542EA"/>
    <w:rsid w:val="00B97B6E"/>
    <w:rsid w:val="00C15639"/>
    <w:rsid w:val="00C27AA3"/>
    <w:rsid w:val="00CB75B2"/>
    <w:rsid w:val="00CE35E0"/>
    <w:rsid w:val="00D66911"/>
    <w:rsid w:val="00DB0DA7"/>
    <w:rsid w:val="00E825DE"/>
    <w:rsid w:val="00E92435"/>
    <w:rsid w:val="00F31ED3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DF5"/>
  <w15:docId w15:val="{A3FD7B71-CF94-4772-BE1D-3AF91863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0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7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7371"/>
  </w:style>
  <w:style w:type="paragraph" w:styleId="Stopka">
    <w:name w:val="footer"/>
    <w:basedOn w:val="Normalny"/>
    <w:link w:val="StopkaZnak"/>
    <w:uiPriority w:val="99"/>
    <w:unhideWhenUsed/>
    <w:rsid w:val="009F7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371"/>
  </w:style>
  <w:style w:type="paragraph" w:styleId="Akapitzlist">
    <w:name w:val="List Paragraph"/>
    <w:basedOn w:val="Normalny"/>
    <w:uiPriority w:val="34"/>
    <w:qFormat/>
    <w:rsid w:val="009F73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50D8D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50D8D"/>
    <w:rPr>
      <w:color w:val="808080"/>
      <w:shd w:val="clear" w:color="auto" w:fill="E6E6E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1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1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1C24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CB75B2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A4E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4E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Wyrnienieintensywne">
    <w:name w:val="Intense Emphasis"/>
    <w:basedOn w:val="Domylnaczcionkaakapitu"/>
    <w:uiPriority w:val="21"/>
    <w:qFormat/>
    <w:rsid w:val="003A4EEF"/>
    <w:rPr>
      <w:b/>
      <w:bCs/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4EE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4EE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0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019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5019D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501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1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15A0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6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2F42C-F841-404F-8458-97AED915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Kajetan Dreliszak</dc:creator>
  <cp:lastModifiedBy>Kajetan Dreliszak</cp:lastModifiedBy>
  <cp:revision>2</cp:revision>
  <cp:lastPrinted>2017-12-14T17:38:00Z</cp:lastPrinted>
  <dcterms:created xsi:type="dcterms:W3CDTF">2018-01-09T21:49:00Z</dcterms:created>
  <dcterms:modified xsi:type="dcterms:W3CDTF">2018-01-09T21:49:00Z</dcterms:modified>
</cp:coreProperties>
</file>