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LEASE AGREEMENT</w:t>
      </w:r>
    </w:p>
    <w:p>
      <w:r>
        <w:t>This Commercial Lease Agreement is entered into on March 1, 2026, by Landlord Properties LLC and Retail Ventures Inc.</w:t>
      </w:r>
    </w:p>
    <w:p>
      <w:r>
        <w:rPr>
          <w:b/>
        </w:rPr>
        <w:t>Clause 1: Leased Premises and Permitted Use</w:t>
        <w:br/>
      </w:r>
      <w:r>
        <w:t>Landlord hereby leases to Tenant the commercial property located at Suite 400, Metro Plaza. Tenant shall use premises solely for general retail operations.</w:t>
      </w:r>
    </w:p>
    <w:p>
      <w:r>
        <w:rPr>
          <w:b/>
        </w:rPr>
        <w:t>Clause 2: Monthly Rent and Escalation</w:t>
        <w:br/>
      </w:r>
      <w:r>
        <w:t>Tenant shall pay base rent of ,000 per month, payable on the 1st day of each month. Rent shall increase by 3% annually.</w:t>
      </w:r>
    </w:p>
    <w:p>
      <w:r>
        <w:rPr>
          <w:b/>
        </w:rPr>
        <w:t>Clause 3: Security Deposit and Deductions</w:t>
        <w:br/>
      </w:r>
      <w:r>
        <w:t>Tenant deposits ,000 as security. Landlord may forfeit the entire deposit immediately for any minor covenant violation without providing written notice.</w:t>
      </w:r>
    </w:p>
    <w:p>
      <w:r>
        <w:rPr>
          <w:b/>
        </w:rPr>
        <w:t>Clause 4: Maintenance and Alterations</w:t>
        <w:br/>
      </w:r>
      <w:r>
        <w:t>Tenant shall keep the interior in good condition and obtain Landlords prior written consent for structural changes.</w:t>
      </w:r>
    </w:p>
    <w:p>
      <w:r>
        <w:rPr>
          <w:b/>
        </w:rPr>
        <w:t>Clause 5: Landlords Unilateral Right of Entry</w:t>
        <w:br/>
      </w:r>
      <w:r>
        <w:t>Landlord may enter premises at any hour of the day or night without prior notice, explanation, or Tenant presence.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