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42C" w:rsidRPr="005D542C" w:rsidRDefault="005D542C" w:rsidP="005D542C">
      <w:pPr>
        <w:jc w:val="center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CHEM 211 Spring 218 Laboratory+</w:t>
      </w:r>
    </w:p>
    <w:p w:rsidR="005D542C" w:rsidRDefault="005D542C" w:rsidP="005D542C">
      <w:pPr>
        <w:jc w:val="both"/>
        <w:rPr>
          <w:rFonts w:ascii="Garamond" w:hAnsi="Garamond"/>
          <w:i/>
          <w:szCs w:val="24"/>
        </w:rPr>
      </w:pPr>
    </w:p>
    <w:p w:rsidR="005D542C" w:rsidRDefault="005D542C" w:rsidP="005D542C">
      <w:pPr>
        <w:jc w:val="both"/>
        <w:rPr>
          <w:rFonts w:ascii="Garamond" w:hAnsi="Garamond"/>
          <w:szCs w:val="24"/>
        </w:rPr>
      </w:pPr>
      <w:r w:rsidRPr="00B94C09">
        <w:rPr>
          <w:rFonts w:ascii="Garamond" w:hAnsi="Garamond"/>
          <w:i/>
          <w:szCs w:val="24"/>
        </w:rPr>
        <w:t>Laboratory Requirements</w:t>
      </w:r>
      <w:r>
        <w:rPr>
          <w:rFonts w:ascii="Garamond" w:hAnsi="Garamond"/>
          <w:szCs w:val="24"/>
        </w:rPr>
        <w:t>-</w:t>
      </w:r>
      <w:r>
        <w:rPr>
          <w:rFonts w:ascii="Garamond" w:hAnsi="Garamond" w:cs="Arial"/>
        </w:rPr>
        <w:t>9</w:t>
      </w:r>
      <w:r w:rsidRPr="00171D9A">
        <w:rPr>
          <w:rFonts w:ascii="Garamond" w:hAnsi="Garamond" w:cs="Arial"/>
        </w:rPr>
        <w:t xml:space="preserve"> completed labs are required for a grade for the course, 10 labs will be scheduled. Lab # 10 can be doubled to replace a missed lab (form must be filled out and submitted to your TA). </w:t>
      </w:r>
      <w:proofErr w:type="spellStart"/>
      <w:r w:rsidRPr="00171D9A">
        <w:rPr>
          <w:rFonts w:ascii="Garamond" w:hAnsi="Garamond" w:cs="Arial"/>
        </w:rPr>
        <w:t>Prelab</w:t>
      </w:r>
      <w:proofErr w:type="spellEnd"/>
      <w:r w:rsidRPr="00171D9A">
        <w:rPr>
          <w:rFonts w:ascii="Garamond" w:hAnsi="Garamond" w:cs="Arial"/>
        </w:rPr>
        <w:t xml:space="preserve"> write-ups are due at the beginning of the lab session and the lab must be turned at the beginning of the next lab session.  Quizzes </w:t>
      </w:r>
      <w:r>
        <w:rPr>
          <w:rFonts w:ascii="Garamond" w:hAnsi="Garamond" w:cs="Arial"/>
        </w:rPr>
        <w:t>will</w:t>
      </w:r>
      <w:r w:rsidRPr="00171D9A">
        <w:rPr>
          <w:rFonts w:ascii="Garamond" w:hAnsi="Garamond" w:cs="Arial"/>
        </w:rPr>
        <w:t xml:space="preserve"> be given in the recitation sections.</w:t>
      </w:r>
      <w:r>
        <w:rPr>
          <w:rFonts w:ascii="Garamond" w:hAnsi="Garamond" w:cs="Arial"/>
        </w:rPr>
        <w:t xml:space="preserve"> A passing </w:t>
      </w:r>
      <w:r w:rsidRPr="00986E25">
        <w:rPr>
          <w:rFonts w:ascii="Garamond" w:hAnsi="Garamond"/>
          <w:szCs w:val="24"/>
        </w:rPr>
        <w:t xml:space="preserve">grade </w:t>
      </w:r>
      <w:r>
        <w:rPr>
          <w:rFonts w:ascii="Garamond" w:hAnsi="Garamond"/>
          <w:szCs w:val="24"/>
        </w:rPr>
        <w:t>in</w:t>
      </w:r>
      <w:r w:rsidRPr="00986E25">
        <w:rPr>
          <w:rFonts w:ascii="Garamond" w:hAnsi="Garamond"/>
          <w:szCs w:val="24"/>
        </w:rPr>
        <w:t xml:space="preserve"> the laboratory</w:t>
      </w:r>
      <w:r>
        <w:rPr>
          <w:rFonts w:ascii="Garamond" w:hAnsi="Garamond"/>
          <w:szCs w:val="24"/>
        </w:rPr>
        <w:t xml:space="preserve"> is required to pass the course.</w:t>
      </w:r>
    </w:p>
    <w:p w:rsidR="005D542C" w:rsidRDefault="005D542C" w:rsidP="005D542C">
      <w:pPr>
        <w:jc w:val="both"/>
        <w:rPr>
          <w:rFonts w:ascii="Garamond" w:hAnsi="Garamond"/>
          <w:szCs w:val="24"/>
        </w:rPr>
      </w:pPr>
    </w:p>
    <w:p w:rsidR="005D542C" w:rsidRDefault="005D542C" w:rsidP="005D542C">
      <w:pPr>
        <w:rPr>
          <w:rFonts w:ascii="Garamond" w:hAnsi="Garamond" w:cs="Arial"/>
        </w:rPr>
      </w:pPr>
      <w:r w:rsidRPr="00B94C09">
        <w:rPr>
          <w:rFonts w:ascii="Garamond" w:hAnsi="Garamond"/>
          <w:i/>
          <w:szCs w:val="24"/>
        </w:rPr>
        <w:t xml:space="preserve">Laboratory </w:t>
      </w:r>
      <w:proofErr w:type="spellStart"/>
      <w:r w:rsidRPr="00B94C09">
        <w:rPr>
          <w:rFonts w:ascii="Garamond" w:hAnsi="Garamond"/>
          <w:i/>
          <w:szCs w:val="24"/>
        </w:rPr>
        <w:t>Makeups</w:t>
      </w:r>
      <w:proofErr w:type="spellEnd"/>
      <w:r>
        <w:rPr>
          <w:rFonts w:ascii="Garamond" w:hAnsi="Garamond"/>
          <w:i/>
          <w:szCs w:val="24"/>
        </w:rPr>
        <w:t xml:space="preserve"> </w:t>
      </w:r>
      <w:r>
        <w:rPr>
          <w:rFonts w:ascii="Garamond" w:hAnsi="Garamond" w:cs="Arial"/>
          <w:b/>
        </w:rPr>
        <w:t>-</w:t>
      </w:r>
      <w:r w:rsidRPr="00171D9A">
        <w:rPr>
          <w:rFonts w:ascii="Garamond" w:hAnsi="Garamond" w:cs="Arial"/>
        </w:rPr>
        <w:t>The only good reason for missing a lab is your own illness. If you are sick you must notify your T.A. that day. One lab can be made up by doubling the last lab as described above.</w:t>
      </w:r>
    </w:p>
    <w:p w:rsidR="005D542C" w:rsidRDefault="005D542C" w:rsidP="005D542C">
      <w:pPr>
        <w:rPr>
          <w:rFonts w:ascii="Garamond" w:hAnsi="Garamond" w:cs="Arial"/>
        </w:rPr>
      </w:pPr>
    </w:p>
    <w:p w:rsidR="005D542C" w:rsidRDefault="005D542C" w:rsidP="005D542C">
      <w:pPr>
        <w:rPr>
          <w:rFonts w:ascii="Garamond" w:hAnsi="Garamond" w:cs="Arial"/>
        </w:rPr>
      </w:pPr>
      <w:r w:rsidRPr="004F7B26">
        <w:rPr>
          <w:rFonts w:ascii="Garamond" w:hAnsi="Garamond" w:cs="Arial"/>
          <w:i/>
        </w:rPr>
        <w:t>Laboratory Checkout</w:t>
      </w:r>
      <w:r>
        <w:rPr>
          <w:rFonts w:ascii="Garamond" w:hAnsi="Garamond" w:cs="Arial"/>
          <w:b/>
        </w:rPr>
        <w:t>-</w:t>
      </w:r>
      <w:r w:rsidRPr="00171D9A">
        <w:rPr>
          <w:rFonts w:ascii="Garamond" w:hAnsi="Garamond" w:cs="Arial"/>
        </w:rPr>
        <w:t xml:space="preserve">You must checkout and pay for any breakage or you will be assessed $100 and given an incomplete until the bill is paid. All unpaid bills are entered on banner </w:t>
      </w:r>
      <w:r>
        <w:rPr>
          <w:rFonts w:ascii="Garamond" w:hAnsi="Garamond" w:cs="Arial"/>
        </w:rPr>
        <w:t>at the end of the semester</w:t>
      </w:r>
      <w:r w:rsidRPr="00171D9A">
        <w:rPr>
          <w:rFonts w:ascii="Garamond" w:hAnsi="Garamond" w:cs="Arial"/>
        </w:rPr>
        <w:t>.</w:t>
      </w:r>
    </w:p>
    <w:p w:rsidR="005D542C" w:rsidRDefault="005D542C" w:rsidP="005D542C">
      <w:pPr>
        <w:jc w:val="both"/>
        <w:rPr>
          <w:rFonts w:ascii="Garamond" w:hAnsi="Garamond"/>
          <w:color w:val="1F497D" w:themeColor="text2"/>
        </w:rPr>
      </w:pPr>
    </w:p>
    <w:p w:rsidR="005D542C" w:rsidRDefault="005D542C" w:rsidP="005D542C">
      <w:pPr>
        <w:jc w:val="both"/>
        <w:rPr>
          <w:rFonts w:ascii="Garamond" w:hAnsi="Garamond"/>
          <w:color w:val="1F497D" w:themeColor="text2"/>
        </w:rPr>
      </w:pPr>
    </w:p>
    <w:p w:rsidR="005D542C" w:rsidRDefault="005D542C" w:rsidP="005D542C">
      <w:pPr>
        <w:jc w:val="both"/>
        <w:rPr>
          <w:rFonts w:ascii="Garamond" w:hAnsi="Garamond"/>
          <w:color w:val="1F497D" w:themeColor="text2"/>
        </w:rPr>
      </w:pPr>
      <w:r w:rsidRPr="00171D9A">
        <w:rPr>
          <w:rFonts w:ascii="Garamond" w:hAnsi="Garamond"/>
          <w:color w:val="1F497D" w:themeColor="text2"/>
        </w:rPr>
        <w:t>Laboratory Assignments</w:t>
      </w:r>
    </w:p>
    <w:p w:rsidR="005D542C" w:rsidRPr="00171D9A" w:rsidRDefault="005D542C" w:rsidP="005D542C">
      <w:pPr>
        <w:jc w:val="both"/>
        <w:rPr>
          <w:rFonts w:ascii="Garamond" w:hAnsi="Garamond"/>
          <w:color w:val="1F497D" w:themeColor="text2"/>
        </w:rPr>
      </w:pPr>
    </w:p>
    <w:tbl>
      <w:tblPr>
        <w:tblStyle w:val="TableGrid"/>
        <w:tblW w:w="7079" w:type="dxa"/>
        <w:tblInd w:w="-5" w:type="dxa"/>
        <w:tblLayout w:type="fixed"/>
        <w:tblLook w:val="01E0"/>
      </w:tblPr>
      <w:tblGrid>
        <w:gridCol w:w="617"/>
        <w:gridCol w:w="990"/>
        <w:gridCol w:w="4477"/>
        <w:gridCol w:w="995"/>
      </w:tblGrid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>Lab</w:t>
            </w: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of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>description</w:t>
            </w:r>
          </w:p>
        </w:tc>
        <w:tc>
          <w:tcPr>
            <w:tcW w:w="995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>points</w:t>
            </w: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>safety lecture</w:t>
            </w:r>
            <w:r>
              <w:rPr>
                <w:rFonts w:ascii="Arial" w:hAnsi="Arial" w:cs="Arial"/>
              </w:rPr>
              <w:t xml:space="preserve"> 1/17 or 1/18</w:t>
            </w:r>
          </w:p>
        </w:tc>
        <w:tc>
          <w:tcPr>
            <w:tcW w:w="995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1/22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>check in</w:t>
            </w:r>
          </w:p>
        </w:tc>
        <w:tc>
          <w:tcPr>
            <w:tcW w:w="995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1/29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Density lab</w:t>
            </w:r>
          </w:p>
        </w:tc>
        <w:tc>
          <w:tcPr>
            <w:tcW w:w="995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2/5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Emission Spectra and the Electronic Structure of Atoms </w:t>
            </w:r>
          </w:p>
        </w:tc>
        <w:tc>
          <w:tcPr>
            <w:tcW w:w="995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>3</w:t>
            </w: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2/12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Estimation of Avogadro’s number</w:t>
            </w:r>
          </w:p>
        </w:tc>
        <w:tc>
          <w:tcPr>
            <w:tcW w:w="995" w:type="dxa"/>
            <w:shd w:val="clear" w:color="auto" w:fill="auto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>4</w:t>
            </w: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2/19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Observing the Reactions of Household Chemicals: / pH/Lead testing</w:t>
            </w:r>
          </w:p>
        </w:tc>
        <w:tc>
          <w:tcPr>
            <w:tcW w:w="995" w:type="dxa"/>
            <w:shd w:val="clear" w:color="auto" w:fill="auto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>5</w:t>
            </w: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2/26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FD1A87">
              <w:rPr>
                <w:rFonts w:ascii="Arial" w:hAnsi="Arial" w:cs="Arial"/>
              </w:rPr>
              <w:t>Determination of a Chemical Formula</w:t>
            </w:r>
            <w:r>
              <w:rPr>
                <w:rFonts w:ascii="Arial" w:hAnsi="Arial" w:cs="Arial"/>
              </w:rPr>
              <w:t>: I with Zn</w:t>
            </w:r>
          </w:p>
        </w:tc>
        <w:tc>
          <w:tcPr>
            <w:tcW w:w="995" w:type="dxa"/>
            <w:shd w:val="clear" w:color="auto" w:fill="auto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3/5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FD1A87">
              <w:rPr>
                <w:rFonts w:ascii="Arial" w:hAnsi="Arial" w:cs="Arial"/>
              </w:rPr>
              <w:t xml:space="preserve">The Chemistry of Oxygen </w:t>
            </w:r>
          </w:p>
        </w:tc>
        <w:tc>
          <w:tcPr>
            <w:tcW w:w="995" w:type="dxa"/>
            <w:shd w:val="clear" w:color="auto" w:fill="auto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3/12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introduction to titrations</w:t>
            </w:r>
          </w:p>
        </w:tc>
        <w:tc>
          <w:tcPr>
            <w:tcW w:w="995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3/26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FD1A87">
              <w:rPr>
                <w:rFonts w:ascii="Arial" w:hAnsi="Arial" w:cs="Arial"/>
              </w:rPr>
              <w:t>Determination of a Chemical Formula by Titration</w:t>
            </w:r>
            <w:r>
              <w:rPr>
                <w:rFonts w:ascii="Arial" w:hAnsi="Arial" w:cs="Arial"/>
              </w:rPr>
              <w:t>: Ca with H</w:t>
            </w:r>
            <w:r w:rsidRPr="00903DC4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O</w:t>
            </w:r>
          </w:p>
        </w:tc>
        <w:tc>
          <w:tcPr>
            <w:tcW w:w="995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FD1A87">
              <w:rPr>
                <w:rFonts w:ascii="Arial" w:hAnsi="Arial" w:cs="Arial"/>
              </w:rPr>
              <w:t>A Cycle of Copper Reactions</w:t>
            </w:r>
          </w:p>
        </w:tc>
        <w:tc>
          <w:tcPr>
            <w:tcW w:w="995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4/9</w:t>
            </w:r>
          </w:p>
        </w:tc>
        <w:tc>
          <w:tcPr>
            <w:tcW w:w="447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Calorimetry</w:t>
            </w:r>
            <w:proofErr w:type="spellEnd"/>
            <w:r>
              <w:rPr>
                <w:rFonts w:ascii="Arial" w:hAnsi="Arial" w:cs="Arial"/>
              </w:rPr>
              <w:t xml:space="preserve"> lab </w:t>
            </w:r>
          </w:p>
        </w:tc>
        <w:tc>
          <w:tcPr>
            <w:tcW w:w="995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D542C" w:rsidRPr="008458AF" w:rsidTr="00C40168">
        <w:tc>
          <w:tcPr>
            <w:tcW w:w="617" w:type="dxa"/>
          </w:tcPr>
          <w:p w:rsidR="005D542C" w:rsidRPr="008458AF" w:rsidRDefault="005D542C" w:rsidP="00C4016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5D542C" w:rsidRDefault="005D542C" w:rsidP="00C4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4/16</w:t>
            </w:r>
          </w:p>
        </w:tc>
        <w:tc>
          <w:tcPr>
            <w:tcW w:w="4477" w:type="dxa"/>
          </w:tcPr>
          <w:p w:rsidR="005D542C" w:rsidRDefault="005D542C" w:rsidP="00C40168">
            <w:pPr>
              <w:rPr>
                <w:rFonts w:ascii="Arial" w:hAnsi="Arial" w:cs="Arial"/>
              </w:rPr>
            </w:pPr>
            <w:r w:rsidRPr="008458AF">
              <w:rPr>
                <w:rFonts w:ascii="Arial" w:hAnsi="Arial" w:cs="Arial"/>
              </w:rPr>
              <w:t xml:space="preserve">lab checkout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5" w:type="dxa"/>
          </w:tcPr>
          <w:p w:rsidR="005D542C" w:rsidRDefault="005D542C" w:rsidP="00C40168">
            <w:pPr>
              <w:rPr>
                <w:rFonts w:ascii="Arial" w:hAnsi="Arial" w:cs="Arial"/>
              </w:rPr>
            </w:pPr>
          </w:p>
        </w:tc>
      </w:tr>
    </w:tbl>
    <w:p w:rsidR="00FB5711" w:rsidRDefault="00FB5711"/>
    <w:sectPr w:rsidR="00FB5711" w:rsidSect="00FB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542C"/>
    <w:rsid w:val="005D542C"/>
    <w:rsid w:val="00FB5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42C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54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rillema</dc:creator>
  <cp:lastModifiedBy>rillema</cp:lastModifiedBy>
  <cp:revision>1</cp:revision>
  <dcterms:created xsi:type="dcterms:W3CDTF">2018-01-11T13:02:00Z</dcterms:created>
  <dcterms:modified xsi:type="dcterms:W3CDTF">2018-01-11T13:07:00Z</dcterms:modified>
</cp:coreProperties>
</file>