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pBdr>
          <w:bottom w:val="single" w:sz="26" w:space="1" w:color="D9A521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11520" w:hRule="atLeast"/>
        </w:trPr>
        <w:tc>
          <w:tcPr>
            <w:tcW w:type="dxa" w:w="9360"/>
            <w:shd w:val="clear" w:color="auto" w:fill="1F3A5F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vAlign w:val="center"/>
            <w:tcMar>
              <w:top w:w="260" w:type="dxa"/>
              <w:start w:w="320" w:type="dxa"/>
              <w:bottom w:w="260" w:type="dxa"/>
              <w:end w:w="320" w:type="dxa"/>
            </w:tcMar>
          </w:tcPr>
          <w:p>
            <w:pPr>
              <w:spacing w:after="40"/>
              <w:jc w:val="center"/>
            </w:pPr>
            <w:r>
              <w:rPr>
                <w:rFonts w:ascii="Segoe UI Semibold" w:hAnsi="Segoe UI Semibold"/>
                <w:color w:val="D9A521"/>
                <w:sz w:val="22"/>
              </w:rPr>
              <w:t>PROJECT AROC TECHNICAL LIBRARY</w:t>
            </w:r>
          </w:p>
          <w:p>
            <w:pPr>
              <w:spacing w:before="920" w:after="80"/>
              <w:jc w:val="center"/>
            </w:pPr>
            <w:r>
              <w:rPr>
                <w:rFonts w:ascii="Segoe UI Semibold" w:hAnsi="Segoe UI Semibold"/>
                <w:b/>
                <w:color w:val="FFFFFF"/>
                <w:sz w:val="92"/>
              </w:rPr>
              <w:t>Project AROC</w:t>
            </w:r>
          </w:p>
          <w:p>
            <w:pPr>
              <w:spacing w:before="0" w:after="240"/>
              <w:jc w:val="center"/>
            </w:pPr>
            <w:r>
              <w:rPr>
                <w:rFonts w:ascii="Segoe UI Semibold" w:hAnsi="Segoe UI Semibold"/>
                <w:b w:val="0"/>
                <w:color w:val="D9A521"/>
                <w:sz w:val="32"/>
              </w:rPr>
              <w:t>Book 7 - APRS   Draft</w:t>
            </w:r>
          </w:p>
          <w:p>
            <w:pPr>
              <w:spacing w:before="0" w:after="280"/>
              <w:jc w:val="center"/>
              <w:pBdr>
                <w:bottom w:val="single" w:sz="12" w:space="6" w:color="D9A521"/>
              </w:pBdr>
            </w:pPr>
          </w:p>
          <w:p>
            <w:pPr>
              <w:spacing w:before="0" w:after="120"/>
              <w:jc w:val="center"/>
            </w:pPr>
            <w:r>
              <w:rPr>
                <w:rFonts w:ascii="Segoe UI Semibold" w:hAnsi="Segoe UI Semibold"/>
                <w:b/>
                <w:color w:val="FFFFFF"/>
                <w:sz w:val="48"/>
              </w:rPr>
              <w:t>AROC-BOOK-0007  ·  REV 0.1</w:t>
            </w:r>
          </w:p>
          <w:p>
            <w:pPr>
              <w:spacing w:before="520" w:after="240"/>
              <w:jc w:val="center"/>
            </w:pPr>
            <w:r>
              <w:rPr>
                <w:rFonts w:ascii="Segoe UI" w:hAnsi="Segoe UI"/>
                <w:b w:val="0"/>
                <w:color w:val="C7D6E8"/>
                <w:sz w:val="21"/>
              </w:rPr>
              <w:t>Build with Purpose. Document with Precision. Learn without End.</w:t>
            </w:r>
          </w:p>
          <w:p>
            <w:pPr>
              <w:spacing w:before="0" w:after="40"/>
              <w:jc w:val="center"/>
            </w:pPr>
            <w:r>
              <w:rPr>
                <w:rFonts w:ascii="Segoe UI Semibold" w:hAnsi="Segoe UI Semibold"/>
                <w:b/>
                <w:color w:val="FFFFFF"/>
                <w:sz w:val="24"/>
              </w:rPr>
              <w:t>James  ·  KE4CON</w:t>
            </w:r>
          </w:p>
          <w:p>
            <w:pPr>
              <w:spacing w:before="40" w:after="0"/>
              <w:jc w:val="center"/>
            </w:pPr>
            <w:r>
              <w:rPr>
                <w:rFonts w:ascii="Segoe UI" w:hAnsi="Segoe UI"/>
                <w:b w:val="0"/>
                <w:color w:val="9FB3CC"/>
                <w:sz w:val="20"/>
              </w:rPr>
              <w:t>August 25, 2026</w:t>
            </w:r>
          </w:p>
        </w:tc>
      </w:tr>
    </w:tbl>
    <w:p>
      <w:pPr>
        <w:spacing w:after="0"/>
      </w:pPr>
    </w:p>
    <w:p>
      <w:pPr>
        <w:pStyle w:val="Heading1"/>
        <w:outlineLvl w:val="0"/>
      </w:pPr>
      <w:r>
        <w:rPr>
          <w:rFonts w:ascii="Segoe UI Semibold" w:hAnsi="Segoe UI Semibold"/>
          <w:color w:val="1F3A5F"/>
          <w:sz w:val="48"/>
        </w:rPr>
        <w:t>Document Control</w:t>
      </w:r>
    </w:p>
    <w:p>
      <w:pPr>
        <w:pBdr>
          <w:bottom w:val="single" w:sz="12" w:space="8" w:color="1F3A5F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2880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480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Value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Document Number</w:t>
            </w:r>
          </w:p>
        </w:tc>
        <w:tc>
          <w:tcPr>
            <w:tcW w:type="dxa" w:w="64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AROC-BOOK-0007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Title</w:t>
            </w:r>
          </w:p>
        </w:tc>
        <w:tc>
          <w:tcPr>
            <w:tcW w:type="dxa" w:w="648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Book 7 - APRS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Revision</w:t>
            </w:r>
          </w:p>
        </w:tc>
        <w:tc>
          <w:tcPr>
            <w:tcW w:type="dxa" w:w="64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0.1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Status</w:t>
            </w:r>
          </w:p>
        </w:tc>
        <w:tc>
          <w:tcPr>
            <w:tcW w:type="dxa" w:w="648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Draft — 1 of many planned chapters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Owner</w:t>
            </w:r>
          </w:p>
        </w:tc>
        <w:tc>
          <w:tcPr>
            <w:tcW w:type="dxa" w:w="64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James / KE4CON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Technical Author</w:t>
            </w:r>
          </w:p>
        </w:tc>
        <w:tc>
          <w:tcPr>
            <w:tcW w:type="dxa" w:w="648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Claude (Claude Code)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Applies To</w:t>
            </w:r>
          </w:p>
        </w:tc>
        <w:tc>
          <w:tcPr>
            <w:tcW w:type="dxa" w:w="64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Project AROC Technical Library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License</w:t>
            </w:r>
          </w:p>
        </w:tc>
        <w:tc>
          <w:tcPr>
            <w:tcW w:type="dxa" w:w="648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CC BY-SA 4.0 (see LICENSE-CONTENT at repo root)</w:t>
            </w:r>
          </w:p>
        </w:tc>
      </w:tr>
    </w:tbl>
    <w:p>
      <w:pPr>
        <w:spacing w:after="40"/>
      </w:pPr>
    </w:p>
    <w:p>
      <w:pPr>
        <w:pStyle w:val="Heading1"/>
        <w:outlineLvl w:val="0"/>
      </w:pPr>
      <w:r>
        <w:rPr>
          <w:rFonts w:ascii="Segoe UI Semibold" w:hAnsi="Segoe UI Semibold"/>
          <w:color w:val="1F3A5F"/>
          <w:sz w:val="48"/>
        </w:rPr>
        <w:t>Revision History</w:t>
      </w:r>
    </w:p>
    <w:p>
      <w:pPr>
        <w:pBdr>
          <w:bottom w:val="single" w:sz="12" w:space="8" w:color="1F3A5F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864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Rev</w:t>
            </w:r>
          </w:p>
        </w:tc>
        <w:tc>
          <w:tcPr>
            <w:tcW w:type="dxa" w:w="1584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160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888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296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864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0.1</w:t>
            </w:r>
          </w:p>
        </w:tc>
        <w:tc>
          <w:tcPr>
            <w:tcW w:type="dxa" w:w="1584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2026-08-25</w:t>
            </w:r>
          </w:p>
        </w:tc>
        <w:tc>
          <w:tcPr>
            <w:tcW w:type="dxa" w:w="216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Claude (Claude Code)</w:t>
            </w:r>
          </w:p>
        </w:tc>
        <w:tc>
          <w:tcPr>
            <w:tcW w:type="dxa" w:w="388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First chapter — physical/link/application/network layers of APRS, grounded against aprs.org, TAPR, and APRS-Command's real implementation</w:t>
            </w:r>
          </w:p>
        </w:tc>
        <w:tc>
          <w:tcPr>
            <w:tcW w:type="dxa" w:w="1296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Draft</w:t>
            </w:r>
          </w:p>
        </w:tc>
      </w:tr>
    </w:tbl>
    <w:p>
      <w:pPr>
        <w:spacing w:after="40"/>
      </w:pPr>
    </w:p>
    <w:p>
      <w:pPr>
        <w:pStyle w:val="Heading1"/>
        <w:outlineLvl w:val="0"/>
      </w:pPr>
      <w:r>
        <w:rPr>
          <w:rFonts w:ascii="Segoe UI Semibold" w:hAnsi="Segoe UI Semibold"/>
          <w:color w:val="1F3A5F"/>
          <w:sz w:val="48"/>
        </w:rPr>
        <w:t>Contents</w:t>
      </w:r>
    </w:p>
    <w:p>
      <w:pPr>
        <w:pBdr>
          <w:bottom w:val="single" w:sz="12" w:space="8" w:color="1F3A5F"/>
        </w:pBdr>
      </w:pPr>
    </w:p>
    <w:p>
      <w:r>
        <w:fldChar w:fldCharType="begin"/>
        <w:instrText xml:space="preserve">TOC \o "1-2" \h \z \u</w:instrText>
        <w:fldChar w:fldCharType="separate"/>
        <w:fldChar w:fldCharType="end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1036" w:hRule="atLeast"/>
        </w:trPr>
        <w:tc>
          <w:tcPr>
            <w:tcW w:type="dxa" w:w="1368"/>
            <w:shd w:val="clear" w:color="auto" w:fill="1F3A5F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Segoe UI Semibold" w:hAnsi="Segoe UI Semibold"/>
                <w:b/>
                <w:color w:val="FFFFFF"/>
                <w:sz w:val="60"/>
              </w:rPr>
              <w:t>1</w:t>
            </w:r>
          </w:p>
        </w:tc>
        <w:tc>
          <w:tcPr>
            <w:tcW w:type="dxa" w:w="7992"/>
            <w:shd w:val="clear" w:color="auto" w:fill="EAF0F6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vAlign w:val="center"/>
            <w:tcMar>
              <w:top w:w="60" w:type="dxa"/>
              <w:start w:w="220" w:type="dxa"/>
              <w:bottom w:w="60" w:type="dxa"/>
              <w:end w:w="140" w:type="dxa"/>
            </w:tcMar>
          </w:tcPr>
          <w:p>
            <w:pPr>
              <w:pStyle w:val="Heading1"/>
              <w:spacing w:after="0"/>
              <w:outlineLvl w:val="0"/>
            </w:pPr>
            <w:r>
              <w:rPr>
                <w:rFonts w:ascii="Segoe UI Semibold" w:hAnsi="Segoe UI Semibold"/>
                <w:b/>
                <w:color w:val="1F3A5F"/>
                <w:sz w:val="44"/>
              </w:rPr>
              <w:t>What APRS Is, and How It Actually Works</w:t>
            </w:r>
          </w:p>
        </w:tc>
      </w:tr>
    </w:tbl>
    <w:p>
      <w:pPr>
        <w:spacing w:before="60" w:after="160"/>
        <w:pBdr>
          <w:bottom w:val="single" w:sz="16" w:space="6" w:color="D9A521"/>
        </w:pBdr>
      </w:pPr>
    </w:p>
    <w:p>
      <w:r>
        <w:rPr>
          <w:i/>
          <w:color w:val="64748B"/>
          <w:sz w:val="23"/>
        </w:rPr>
        <w:t>From a spoken sentence to a radio wave to a dot on a map — every layer, in order, with a real packet decoded byte by byte.</w:t>
      </w:r>
    </w:p>
    <w:p>
      <w:pPr>
        <w:spacing w:after="0"/>
      </w:pPr>
    </w:p>
    <w:p>
      <w:pPr>
        <w:spacing w:after="40"/>
      </w:pPr>
      <w:r>
        <w:rPr>
          <w:rFonts w:ascii="Segoe UI Semibold" w:hAnsi="Segoe UI Semibold"/>
          <w:b/>
          <w:color w:val="64748B"/>
          <w:sz w:val="18"/>
        </w:rPr>
        <w:t>IN THIS CHAPTER</w:t>
      </w:r>
    </w:p>
    <w:p>
      <w:pPr>
        <w:spacing w:after="20"/>
        <w:ind w:left="288"/>
      </w:pPr>
      <w:r>
        <w:rPr>
          <w:color w:val="222B38"/>
          <w:sz w:val="20"/>
        </w:rPr>
        <w:t>•  Why APRS was built for situational awareness, not vehicle tracking</w:t>
      </w:r>
    </w:p>
    <w:p>
      <w:pPr>
        <w:spacing w:after="20"/>
        <w:ind w:left="288"/>
      </w:pPr>
      <w:r>
        <w:rPr>
          <w:color w:val="222B38"/>
          <w:sz w:val="20"/>
        </w:rPr>
        <w:t>•  The physical layer: how a 1200-baud tone pair becomes a bit</w:t>
      </w:r>
    </w:p>
    <w:p>
      <w:pPr>
        <w:spacing w:after="20"/>
        <w:ind w:left="288"/>
      </w:pPr>
      <w:r>
        <w:rPr>
          <w:color w:val="222B38"/>
          <w:sz w:val="20"/>
        </w:rPr>
        <w:t>•  The link layer: the AX.25 frame, decoded field by field</w:t>
      </w:r>
    </w:p>
    <w:p>
      <w:pPr>
        <w:spacing w:after="20"/>
        <w:ind w:left="288"/>
      </w:pPr>
      <w:r>
        <w:rPr>
          <w:color w:val="222B38"/>
          <w:sz w:val="20"/>
        </w:rPr>
        <w:t>•  The application layer: how a position report is written as text</w:t>
      </w:r>
    </w:p>
    <w:p>
      <w:pPr>
        <w:spacing w:after="20"/>
        <w:ind w:left="288"/>
      </w:pPr>
      <w:r>
        <w:rPr>
          <w:color w:val="222B38"/>
          <w:sz w:val="20"/>
        </w:rPr>
        <w:t>•  The network layer: digipeating and the New-N Paradigm</w:t>
      </w:r>
    </w:p>
    <w:p>
      <w:pPr>
        <w:spacing w:after="20"/>
        <w:ind w:left="288"/>
      </w:pPr>
      <w:r>
        <w:rPr>
          <w:color w:val="222B38"/>
          <w:sz w:val="20"/>
        </w:rPr>
        <w:t>•  How APRS-Command, real working software, implements every layer discussed here</w:t>
      </w:r>
    </w:p>
    <w:p>
      <w:pPr>
        <w:spacing w:after="40"/>
      </w:pPr>
    </w:p>
    <w:p>
      <w:pPr>
        <w:pStyle w:val="Heading1"/>
      </w:pPr>
      <w:r>
        <w:t>What APRS Is, and Why It Isn't 'Just Tracking'</w:t>
      </w:r>
    </w:p>
    <w:p>
      <w:r>
        <w:rPr>
          <w:b/>
        </w:rPr>
        <w:t>APRS (Automatic Packet Reporting System)</w:t>
      </w:r>
      <w:r>
        <w:t xml:space="preserve"> is a two-way, real-time digital communications system for amateur radio. Bob Bruninga, WB4APR, began developing the concept in the mid-1980s, with the system as it's known today taking shape around 1992. The common misconception is that APRS is a vehicle-tracking system — a ham-radio GPS breadcrumb trail. It isn't, and that distinction matters enough to build a whole chapter around.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E7F0FA"/>
            <w:tcBorders>
              <w:top w:val="single" w:sz="4" w:space="0" w:color="2E6DA4"/>
              <w:left w:val="single" w:sz="30" w:space="0" w:color="2E6DA4"/>
              <w:bottom w:val="single" w:sz="4" w:space="0" w:color="2E6DA4"/>
              <w:right w:val="single" w:sz="4" w:space="0" w:color="2E6DA4"/>
            </w:tcBorders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1F3A5F"/>
                <w:sz w:val="21"/>
              </w:rPr>
              <w:t xml:space="preserve">JARGON, IN PLAIN WORDS   </w:t>
            </w:r>
            <w:r>
              <w:rPr>
                <w:b/>
                <w:color w:val="222B38"/>
              </w:rPr>
              <w:t>Situational awareness</w:t>
            </w:r>
            <w:r>
              <w:rPr>
                <w:color w:val="222B38"/>
              </w:rPr>
              <w:t xml:space="preserve"> means knowing what is happening around you, right now, without having to ask. A weather radar loop gives a meteorologist situational awareness. A dispatcher's map of every unit's location gives them situational awareness. That is what Bruninga actually built: a way for every station on a channel to maintain a shared, live picture of who and what is out there — positions, yes, but also weather, messages, objects, and resources — updated continuously and automatically, with no one having to call anyone else on voice to ask.</w:t>
            </w:r>
          </w:p>
        </w:tc>
      </w:tr>
    </w:tbl>
    <w:p>
      <w:pPr>
        <w:spacing w:after="80"/>
      </w:pPr>
    </w:p>
    <w:p>
      <w:r>
        <w:t xml:space="preserve">That distinction — situational awareness over tracking — is why APRS transmits redundantly at a </w:t>
      </w:r>
      <w:r>
        <w:rPr>
          <w:b/>
        </w:rPr>
        <w:t>decaying rate</w:t>
      </w:r>
      <w:r>
        <w:t>: a moving station beacons often while its position is changing quickly, then less often once it settles, so the network spends its limited airtime on what's actually new. A pure tracker would just log points; APRS is built to keep a shared picture current using the least channel time possible, because the channel is a shared, finite resource every station on frequency has to share.</w:t>
      </w:r>
    </w:p>
    <w:p>
      <w:r>
        <w:t>The rest of this chapter follows one piece of information — a station's position — all the way down through every layer of the system: from the RF modulation that turns a bit into a tone, through the AX.25 frame that wraps it, to the plain-text format that encodes a latitude and longitude, to the digipeater network that relays it, to the Internet gateway that hands it to the rest of the world. By the end, a real packet is decoded byte by byte, and you'll be able to do the same to any packet you capture yourself.</w:t>
      </w:r>
    </w:p>
    <w:p>
      <w:pPr>
        <w:pStyle w:val="Heading1"/>
      </w:pPr>
      <w:r>
        <w:t>The Physical Layer: How a Byte Becomes a Radio Wave</w:t>
      </w:r>
    </w:p>
    <w:p>
      <w:pPr>
        <w:pStyle w:val="Heading2"/>
      </w:pPr>
      <w:r>
        <w:t>AFSK: two tones, not a shifting carrier</w:t>
      </w:r>
    </w:p>
    <w:p>
      <w:r>
        <w:t xml:space="preserve">APRS over RF is carried on ordinary FM voice radios — the same rigs used for repeater chats — using </w:t>
      </w:r>
      <w:r>
        <w:rPr>
          <w:b/>
        </w:rPr>
        <w:t>AFSK (Audio Frequency-Shift Keying)</w:t>
      </w:r>
      <w:r>
        <w:t xml:space="preserve">. The distinction in that name matters: in true FSK, the radio's carrier frequency itself shifts between two values. In AFSK, the carrier doesn't move at all; instead, two </w:t>
      </w:r>
      <w:r>
        <w:rPr>
          <w:b/>
        </w:rPr>
        <w:t>audio tones</w:t>
      </w:r>
      <w:r>
        <w:t xml:space="preserve"> are fed into the microphone input (or a data port) and the radio's ordinary FM transmitter carries whichever tone is currently playing, exactly as it would carry a human voice. This is precisely why any FM handheld or mobile with a data/packet port — or even just a speaker-mic jack and a TNC — can transmit APRS: nothing about the radio itself needs to know APRS exists.</w:t>
      </w:r>
    </w:p>
    <w:p>
      <w:r>
        <w:t xml:space="preserve">The specific tone pair is the </w:t>
      </w:r>
      <w:r>
        <w:rPr>
          <w:b/>
        </w:rPr>
        <w:t>Bell 202</w:t>
      </w:r>
      <w:r>
        <w:t xml:space="preserve"> standard, a modem tone scheme from 1970s telephone-line data communication that amateur packet radio adopted in the 1980s and never replaced: a </w:t>
      </w:r>
      <w:r>
        <w:rPr>
          <w:b/>
        </w:rPr>
        <w:t>1200 Hz "mark" tone</w:t>
      </w:r>
      <w:r>
        <w:t xml:space="preserve"> and a </w:t>
      </w:r>
      <w:r>
        <w:rPr>
          <w:b/>
        </w:rPr>
        <w:t>2200 Hz "space" tone</w:t>
      </w:r>
      <w:r>
        <w:t xml:space="preserve">, switched at </w:t>
      </w:r>
      <w:r>
        <w:rPr>
          <w:b/>
        </w:rPr>
        <w:t>1200 baud</w:t>
      </w:r>
      <w:r>
        <w:t xml:space="preserve"> (1200 symbol changes per second — and since each symbol here is one bit, this is also 1200 bits per second).</w:t>
      </w:r>
    </w:p>
    <w:p>
      <w:pPr>
        <w:pStyle w:val="Heading2"/>
      </w:pPr>
      <w:r>
        <w:t>NRZI: why a steady tone means '1' and a changing tone means '0'</w:t>
      </w:r>
    </w:p>
    <w:p>
      <w:r>
        <w:t xml:space="preserve">It would be simple to say "mark tone means bit value 1, space tone means bit value 0" — but that is </w:t>
      </w:r>
      <w:r>
        <w:rPr>
          <w:b/>
        </w:rPr>
        <w:t>not</w:t>
      </w:r>
      <w:r>
        <w:t xml:space="preserve"> how AX.25 actually encodes bits onto those two tones. Instead it uses </w:t>
      </w:r>
      <w:r>
        <w:rPr>
          <w:b/>
        </w:rPr>
        <w:t>NRZI (Non-Return-to-Zero Inverted)</w:t>
      </w:r>
      <w:r>
        <w:t xml:space="preserve"> encoding, and the rule inverts the intuition: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t xml:space="preserve">A data bit of </w:t>
      </w:r>
      <w:r>
        <w:rPr>
          <w:b/>
        </w:rPr>
        <w:t>`1`</w:t>
      </w:r>
      <w:r>
        <w:t xml:space="preserve"> is sent as </w:t>
      </w:r>
      <w:r>
        <w:rPr>
          <w:b/>
        </w:rPr>
        <w:t>no tone change</w:t>
      </w:r>
      <w:r>
        <w:t xml:space="preserve"> — whichever tone was already playing keeps playing.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t xml:space="preserve">A data bit of </w:t>
      </w:r>
      <w:r>
        <w:rPr>
          <w:b/>
        </w:rPr>
        <w:t>`0`</w:t>
      </w:r>
      <w:r>
        <w:t xml:space="preserve"> is sent as </w:t>
      </w:r>
      <w:r>
        <w:rPr>
          <w:b/>
        </w:rPr>
        <w:t>a tone change</w:t>
      </w:r>
      <w:r>
        <w:t xml:space="preserve"> — mark switches to space, or space switches to mark.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E7F0FA"/>
            <w:tcBorders>
              <w:top w:val="single" w:sz="4" w:space="0" w:color="2E6DA4"/>
              <w:left w:val="single" w:sz="30" w:space="0" w:color="2E6DA4"/>
              <w:bottom w:val="single" w:sz="4" w:space="0" w:color="2E6DA4"/>
              <w:right w:val="single" w:sz="4" w:space="0" w:color="2E6DA4"/>
            </w:tcBorders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1F3A5F"/>
                <w:sz w:val="21"/>
              </w:rPr>
              <w:t xml:space="preserve">ENGINEERING NOTE   </w:t>
            </w:r>
            <w:r>
              <w:rPr>
                <w:color w:val="222B38"/>
              </w:rPr>
              <w:t xml:space="preserve">Why encode it this way instead of the "obvious" direct mapping? NRZI is what makes </w:t>
            </w:r>
            <w:r>
              <w:rPr>
                <w:b/>
                <w:color w:val="222B38"/>
              </w:rPr>
              <w:t>bit stuffing</w:t>
            </w:r>
            <w:r>
              <w:rPr>
                <w:color w:val="222B38"/>
              </w:rPr>
              <w:t xml:space="preserve"> (covered next) work at all, and bit stuffing is what makes the frame boundary marker (a fixed pattern of six 1-bits) unambiguous no matter what data is inside the frame. A long run of the *same* bit value produces a long run of tone *changes* under NRZI — which is exactly the behavior the receiver's clock-recovery circuit needs to stay synchronized, and exactly the property bit stuffing depends on to guarantee the flag pattern can never appear by accident inside real data.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2880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Bit stream</w:t>
            </w:r>
          </w:p>
        </w:tc>
        <w:tc>
          <w:tcPr>
            <w:tcW w:type="dxa" w:w="5040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Tone sequence (NRZI)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1 1 1 0 1</w:t>
            </w:r>
          </w:p>
        </w:tc>
        <w:tc>
          <w:tcPr>
            <w:tcW w:type="dxa" w:w="504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 xml:space="preserve">mark, mark, mark, </w:t>
            </w:r>
            <w:r>
              <w:rPr>
                <w:b/>
                <w:sz w:val="19"/>
              </w:rPr>
              <w:t>space</w:t>
            </w:r>
            <w:r>
              <w:rPr>
                <w:sz w:val="19"/>
              </w:rPr>
              <w:t>, space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0 0 1 1 0</w:t>
            </w:r>
          </w:p>
        </w:tc>
        <w:tc>
          <w:tcPr>
            <w:tcW w:type="dxa" w:w="504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space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mark</w:t>
            </w:r>
            <w:r>
              <w:rPr>
                <w:sz w:val="19"/>
              </w:rPr>
              <w:t xml:space="preserve">, mark, mark, </w:t>
            </w:r>
            <w:r>
              <w:rPr>
                <w:b/>
                <w:sz w:val="19"/>
              </w:rPr>
              <w:t>space</w:t>
            </w:r>
          </w:p>
        </w:tc>
      </w:tr>
    </w:tbl>
    <w:p>
      <w:pPr>
        <w:spacing w:after="40"/>
      </w:pPr>
    </w:p>
    <w:p>
      <w:pPr>
        <w:pStyle w:val="Heading2"/>
      </w:pPr>
      <w:r>
        <w:t>Why 144.390 MHz — and why it's different elsewhere</w:t>
      </w:r>
    </w:p>
    <w:p>
      <w:r>
        <w:t>In North America, essentially all APRS RF activity shares one nationally-coordinated frequency, which is what makes a single mobile digipeater or iGate useful to every APRS station that drives past it. Other ITU regions coordinated a different shared frequency for the same reason — there's nothing technically special about any of these numbers; the value is entirely in everyone agreeing to use the same 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3600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2880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Frequency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North America</w:t>
            </w:r>
          </w:p>
        </w:tc>
        <w:tc>
          <w:tcPr>
            <w:tcW w:type="dxa" w:w="28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144.390 MHz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Europe</w:t>
            </w:r>
          </w:p>
        </w:tc>
        <w:tc>
          <w:tcPr>
            <w:tcW w:type="dxa" w:w="288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144.800 MHz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Australia</w:t>
            </w:r>
          </w:p>
        </w:tc>
        <w:tc>
          <w:tcPr>
            <w:tcW w:type="dxa" w:w="28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145.175 MHz</w:t>
            </w:r>
          </w:p>
        </w:tc>
      </w:tr>
    </w:tbl>
    <w:p>
      <w:pPr>
        <w:spacing w:after="40"/>
      </w:pPr>
    </w:p>
    <w:p>
      <w:pPr>
        <w:pStyle w:val="Heading1"/>
      </w:pPr>
      <w:r>
        <w:t>The Link Layer: AX.25, Packet Radio's Envelope</w:t>
      </w:r>
    </w:p>
    <w:p>
      <w:r>
        <w:t xml:space="preserve">Everything above this point has been about turning bits into tones. </w:t>
      </w:r>
      <w:r>
        <w:rPr>
          <w:b/>
        </w:rPr>
        <w:t>AX.25</w:t>
      </w:r>
      <w:r>
        <w:t xml:space="preserve"> ('Amateur X.25' — a link-layer protocol adapted from the ITU-T X.25 packet standard for ham radio) is what turns those bits into a structured, addressed, checksummed *frame* — an envelope with a "from," a "to," routing instructions, and a payload, the same conceptual job an Ethernet or Wi-Fi frame does for computer networks.</w:t>
      </w:r>
    </w:p>
    <w:p>
      <w:r>
        <w:t xml:space="preserve">APRS uses exactly one AX.25 frame type: the connectionless </w:t>
      </w:r>
      <w:r>
        <w:rPr>
          <w:b/>
        </w:rPr>
        <w:t>UI (Unnumbered Information) frame</w:t>
      </w:r>
      <w:r>
        <w:t>. AX.25 also supports connection-oriented, numbered frames (for a reliable two-station link, like a BBS session) — APRS deliberately doesn't use any of that machinery, because a position report is a one-shot broadcast to everyone listening, not a private session with one other station.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2448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584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Size</w:t>
            </w:r>
          </w:p>
        </w:tc>
        <w:tc>
          <w:tcPr>
            <w:tcW w:type="dxa" w:w="5328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Contents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Flag</w:t>
            </w:r>
          </w:p>
        </w:tc>
        <w:tc>
          <w:tcPr>
            <w:tcW w:type="dxa" w:w="1584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1 byte</w:t>
            </w:r>
          </w:p>
        </w:tc>
        <w:tc>
          <w:tcPr>
            <w:tcW w:type="dxa" w:w="532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0x7E</w:t>
            </w:r>
            <w:r>
              <w:rPr>
                <w:sz w:val="19"/>
              </w:rPr>
              <w:t xml:space="preserve"> — marks the start of the frame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Destination address</w:t>
            </w:r>
          </w:p>
        </w:tc>
        <w:tc>
          <w:tcPr>
            <w:tcW w:type="dxa" w:w="1584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7 bytes</w:t>
            </w:r>
          </w:p>
        </w:tc>
        <w:tc>
          <w:tcPr>
            <w:tcW w:type="dxa" w:w="5328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 xml:space="preserve">Callsign + SSID (conventionally </w:t>
            </w:r>
            <w:r>
              <w:rPr>
                <w:rFonts w:ascii="Consolas" w:hAnsi="Consolas"/>
                <w:sz w:val="19"/>
              </w:rPr>
              <w:t>APRS</w:t>
            </w:r>
            <w:r>
              <w:rPr>
                <w:sz w:val="19"/>
              </w:rPr>
              <w:t xml:space="preserve"> or a software-ID string, not a real station)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Source address</w:t>
            </w:r>
          </w:p>
        </w:tc>
        <w:tc>
          <w:tcPr>
            <w:tcW w:type="dxa" w:w="1584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7 bytes</w:t>
            </w:r>
          </w:p>
        </w:tc>
        <w:tc>
          <w:tcPr>
            <w:tcW w:type="dxa" w:w="532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The transmitting station's callsign + SSID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Digipeater address(es)</w:t>
            </w:r>
          </w:p>
        </w:tc>
        <w:tc>
          <w:tcPr>
            <w:tcW w:type="dxa" w:w="1584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0–56 bytes</w:t>
            </w:r>
          </w:p>
        </w:tc>
        <w:tc>
          <w:tcPr>
            <w:tcW w:type="dxa" w:w="5328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Up to 8 relay-path entries, 7 bytes each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Control</w:t>
            </w:r>
          </w:p>
        </w:tc>
        <w:tc>
          <w:tcPr>
            <w:tcW w:type="dxa" w:w="1584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1 byte</w:t>
            </w:r>
          </w:p>
        </w:tc>
        <w:tc>
          <w:tcPr>
            <w:tcW w:type="dxa" w:w="532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0x03</w:t>
            </w:r>
            <w:r>
              <w:rPr>
                <w:sz w:val="19"/>
              </w:rPr>
              <w:t xml:space="preserve"> — UI frame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PID</w:t>
            </w:r>
          </w:p>
        </w:tc>
        <w:tc>
          <w:tcPr>
            <w:tcW w:type="dxa" w:w="1584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1 byte</w:t>
            </w:r>
          </w:p>
        </w:tc>
        <w:tc>
          <w:tcPr>
            <w:tcW w:type="dxa" w:w="5328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0xF0</w:t>
            </w:r>
            <w:r>
              <w:rPr>
                <w:sz w:val="19"/>
              </w:rPr>
              <w:t xml:space="preserve"> — no layer-3 protocol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Information</w:t>
            </w:r>
          </w:p>
        </w:tc>
        <w:tc>
          <w:tcPr>
            <w:tcW w:type="dxa" w:w="1584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up to 256 bytes</w:t>
            </w:r>
          </w:p>
        </w:tc>
        <w:tc>
          <w:tcPr>
            <w:tcW w:type="dxa" w:w="532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The actual APRS data — position, message, weather, etc.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FCS</w:t>
            </w:r>
          </w:p>
        </w:tc>
        <w:tc>
          <w:tcPr>
            <w:tcW w:type="dxa" w:w="1584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2 bytes</w:t>
            </w:r>
          </w:p>
        </w:tc>
        <w:tc>
          <w:tcPr>
            <w:tcW w:type="dxa" w:w="5328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CRC-16 checksum, protecting everything from the destination address through the information field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Flag</w:t>
            </w:r>
          </w:p>
        </w:tc>
        <w:tc>
          <w:tcPr>
            <w:tcW w:type="dxa" w:w="1584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 byte</w:t>
            </w:r>
          </w:p>
        </w:tc>
        <w:tc>
          <w:tcPr>
            <w:tcW w:type="dxa" w:w="532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0x7E</w:t>
            </w:r>
            <w:r>
              <w:rPr>
                <w:sz w:val="19"/>
              </w:rPr>
              <w:t xml:space="preserve"> — marks the end of the frame</w:t>
            </w:r>
          </w:p>
        </w:tc>
      </w:tr>
    </w:tbl>
    <w:p>
      <w:pPr>
        <w:spacing w:after="40"/>
      </w:pPr>
    </w:p>
    <w:p>
      <w:pPr>
        <w:pStyle w:val="Heading2"/>
      </w:pPr>
      <w:r>
        <w:t>Callsigns packed into seven bytes</w:t>
      </w:r>
    </w:p>
    <w:p>
      <w:r>
        <w:t xml:space="preserve">Each address — destination, source, or digipeater — is exactly 7 bytes: a 6-byte callsign field, then 1 SSID byte. The callsign is padded to 6 characters with spaces if shorter, and every character is </w:t>
      </w:r>
      <w:r>
        <w:rPr>
          <w:b/>
        </w:rPr>
        <w:t>left-shifted by one bit</w:t>
      </w:r>
      <w:r>
        <w:t xml:space="preserve"> before being placed in the frame (this shift exists so the low bit of every callsign byte is free to be used as a flag elsewhere in the protocol). The 7th byte packs the </w:t>
      </w:r>
      <w:r>
        <w:rPr>
          <w:b/>
        </w:rPr>
        <w:t>SSID (Secondary Station Identifier, 0–15)</w:t>
      </w:r>
      <w:r>
        <w:t xml:space="preserve"> — the number hams add after a callsign, like </w:t>
      </w:r>
      <w:r>
        <w:rPr>
          <w:rFonts w:ascii="Consolas" w:hAnsi="Consolas"/>
          <w:sz w:val="19"/>
        </w:rPr>
        <w:t>-9</w:t>
      </w:r>
      <w:r>
        <w:t>, to distinguish multiple stations or purposes under one license — together with two structural bits: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4F6"/>
            <w:tcBorders>
              <w:top w:val="single" w:sz="2" w:space="0" w:color="CBD5E1"/>
              <w:left w:val="single" w:sz="18" w:space="0" w:color="B7C0CC"/>
              <w:bottom w:val="single" w:sz="2" w:space="0" w:color="CBD5E1"/>
              <w:right w:val="single" w:sz="2" w:space="0" w:color="CBD5E1"/>
            </w:tcBorders>
            <w:tcMar>
              <w:top w:w="80" w:type="dxa"/>
              <w:start w:w="150" w:type="dxa"/>
              <w:bottom w:w="8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22B38"/>
                <w:sz w:val="19"/>
              </w:rPr>
              <w:t>Bit:     7  6  5  4  3  2  1  0</w:t>
            </w:r>
          </w:p>
          <w:p>
            <w:pPr>
              <w:spacing w:after="0"/>
            </w:pPr>
            <w:r>
              <w:rPr>
                <w:rFonts w:ascii="Consolas" w:hAnsi="Consolas"/>
                <w:color w:val="222B38"/>
                <w:sz w:val="19"/>
              </w:rPr>
              <w:t>Value:   1  1  1  S  S  S  S  L</w:t>
            </w:r>
          </w:p>
          <w:p>
            <w:pPr>
              <w:spacing w:after="0"/>
            </w:pPr>
            <w:r>
              <w:rPr>
                <w:rFonts w:ascii="Consolas" w:hAnsi="Consolas"/>
                <w:color w:val="222B38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color w:val="222B38"/>
                <w:sz w:val="19"/>
              </w:rPr>
              <w:t xml:space="preserve">  bits 7-5: always 1 1 1 (reserved)</w:t>
            </w:r>
          </w:p>
          <w:p>
            <w:pPr>
              <w:spacing w:after="0"/>
            </w:pPr>
            <w:r>
              <w:rPr>
                <w:rFonts w:ascii="Consolas" w:hAnsi="Consolas"/>
                <w:color w:val="222B38"/>
                <w:sz w:val="19"/>
              </w:rPr>
              <w:t xml:space="preserve">  bits 4-1: SSID value, 0-15</w:t>
            </w:r>
          </w:p>
          <w:p>
            <w:pPr>
              <w:spacing w:after="0"/>
            </w:pPr>
            <w:r>
              <w:rPr>
                <w:rFonts w:ascii="Consolas" w:hAnsi="Consolas"/>
                <w:color w:val="222B38"/>
                <w:sz w:val="19"/>
              </w:rPr>
              <w:t xml:space="preserve">  bit 0 (L): end-of-address bit</w:t>
            </w:r>
          </w:p>
          <w:p>
            <w:pPr>
              <w:spacing w:after="0"/>
            </w:pPr>
            <w:r>
              <w:rPr>
                <w:rFonts w:ascii="Consolas" w:hAnsi="Consolas"/>
                <w:color w:val="222B38"/>
                <w:sz w:val="19"/>
              </w:rPr>
              <w:t xml:space="preserve">             0 = more addresses follow</w:t>
            </w:r>
          </w:p>
          <w:p>
            <w:pPr>
              <w:spacing w:after="0"/>
            </w:pPr>
            <w:r>
              <w:rPr>
                <w:rFonts w:ascii="Consolas" w:hAnsi="Consolas"/>
                <w:color w:val="222B38"/>
                <w:sz w:val="19"/>
              </w:rPr>
              <w:t xml:space="preserve">             1 = this is the last address in the frame</w:t>
            </w:r>
          </w:p>
        </w:tc>
      </w:tr>
    </w:tbl>
    <w:p>
      <w:pPr>
        <w:spacing w:after="60"/>
      </w:pPr>
    </w:p>
    <w:p>
      <w:r>
        <w:t xml:space="preserve">So a source address of </w:t>
      </w:r>
      <w:r>
        <w:rPr>
          <w:b/>
        </w:rPr>
        <w:t>`KE4CON-9`</w:t>
      </w:r>
      <w:r>
        <w:t xml:space="preserve"> is packed as the shifted bytes for </w:t>
      </w:r>
      <w:r>
        <w:rPr>
          <w:rFonts w:ascii="Consolas" w:hAnsi="Consolas"/>
          <w:sz w:val="19"/>
        </w:rPr>
        <w:t>K</w:t>
      </w:r>
      <w:r>
        <w:t xml:space="preserve">, </w:t>
      </w:r>
      <w:r>
        <w:rPr>
          <w:rFonts w:ascii="Consolas" w:hAnsi="Consolas"/>
          <w:sz w:val="19"/>
        </w:rPr>
        <w:t>E</w:t>
      </w:r>
      <w:r>
        <w:t xml:space="preserve">, </w:t>
      </w:r>
      <w:r>
        <w:rPr>
          <w:rFonts w:ascii="Consolas" w:hAnsi="Consolas"/>
          <w:sz w:val="19"/>
        </w:rPr>
        <w:t>4</w:t>
      </w:r>
      <w:r>
        <w:t xml:space="preserve">, </w:t>
      </w:r>
      <w:r>
        <w:rPr>
          <w:rFonts w:ascii="Consolas" w:hAnsi="Consolas"/>
          <w:sz w:val="19"/>
        </w:rPr>
        <w:t>C</w:t>
      </w:r>
      <w:r>
        <w:t xml:space="preserve">, </w:t>
      </w:r>
      <w:r>
        <w:rPr>
          <w:rFonts w:ascii="Consolas" w:hAnsi="Consolas"/>
          <w:sz w:val="19"/>
        </w:rPr>
        <w:t>O</w:t>
      </w:r>
      <w:r>
        <w:t xml:space="preserve">, </w:t>
      </w:r>
      <w:r>
        <w:rPr>
          <w:rFonts w:ascii="Consolas" w:hAnsi="Consolas"/>
          <w:sz w:val="19"/>
        </w:rPr>
        <w:t>N</w:t>
      </w:r>
      <w:r>
        <w:t xml:space="preserve">, followed by an SSID byte encoding the value 9 and the end-of-address bit — set to </w:t>
      </w:r>
      <w:r>
        <w:rPr>
          <w:rFonts w:ascii="Consolas" w:hAnsi="Consolas"/>
          <w:sz w:val="19"/>
        </w:rPr>
        <w:t>1</w:t>
      </w:r>
      <w:r>
        <w:t xml:space="preserve"> only if no digipeater addresses follow it in the frame.</w:t>
      </w:r>
    </w:p>
    <w:p>
      <w:pPr>
        <w:pStyle w:val="Heading2"/>
      </w:pPr>
      <w:r>
        <w:t>Bit stuffing: keeping real data from impersonating a flag</w:t>
      </w:r>
    </w:p>
    <w:p>
      <w:r>
        <w:t xml:space="preserve">The flag byte, </w:t>
      </w:r>
      <w:r>
        <w:rPr>
          <w:rFonts w:ascii="Consolas" w:hAnsi="Consolas"/>
          <w:sz w:val="19"/>
        </w:rPr>
        <w:t>0x7E</w:t>
      </w:r>
      <w:r>
        <w:t xml:space="preserve">, is the bit pattern </w:t>
      </w:r>
      <w:r>
        <w:rPr>
          <w:rFonts w:ascii="Consolas" w:hAnsi="Consolas"/>
          <w:sz w:val="19"/>
        </w:rPr>
        <w:t>01111110</w:t>
      </w:r>
      <w:r>
        <w:t xml:space="preserve"> — six consecutive </w:t>
      </w:r>
      <w:r>
        <w:rPr>
          <w:rFonts w:ascii="Consolas" w:hAnsi="Consolas"/>
          <w:sz w:val="19"/>
        </w:rPr>
        <w:t>1</w:t>
      </w:r>
      <w:r>
        <w:t xml:space="preserve"> bits. If that exact six-</w:t>
      </w:r>
      <w:r>
        <w:rPr>
          <w:rFonts w:ascii="Consolas" w:hAnsi="Consolas"/>
          <w:sz w:val="19"/>
        </w:rPr>
        <w:t>1</w:t>
      </w:r>
      <w:r>
        <w:t xml:space="preserve"> run could ever occur naturally inside the frame's own data, a receiver would misread the middle of a frame as its end. AX.25 prevents this with </w:t>
      </w:r>
      <w:r>
        <w:rPr>
          <w:b/>
        </w:rPr>
        <w:t>bit stuffing</w:t>
      </w:r>
      <w:r>
        <w:t xml:space="preserve">: after transmitting five consecutive </w:t>
      </w:r>
      <w:r>
        <w:rPr>
          <w:rFonts w:ascii="Consolas" w:hAnsi="Consolas"/>
          <w:sz w:val="19"/>
        </w:rPr>
        <w:t>1</w:t>
      </w:r>
      <w:r>
        <w:t xml:space="preserve"> bits anywhere between the opening and closing flags, the transmitter inserts an extra </w:t>
      </w:r>
      <w:r>
        <w:rPr>
          <w:rFonts w:ascii="Consolas" w:hAnsi="Consolas"/>
          <w:sz w:val="19"/>
        </w:rPr>
        <w:t>0</w:t>
      </w:r>
      <w:r>
        <w:t xml:space="preserve"> bit that carries no data at all. The receiver does the reverse — after five consecutive </w:t>
      </w:r>
      <w:r>
        <w:rPr>
          <w:rFonts w:ascii="Consolas" w:hAnsi="Consolas"/>
          <w:sz w:val="19"/>
        </w:rPr>
        <w:t>1</w:t>
      </w:r>
      <w:r>
        <w:t xml:space="preserve"> bits, it discards the next bit before it ever inserts a </w:t>
      </w:r>
      <w:r>
        <w:rPr>
          <w:rFonts w:ascii="Consolas" w:hAnsi="Consolas"/>
          <w:sz w:val="19"/>
        </w:rPr>
        <w:t>0</w:t>
      </w:r>
      <w:r>
        <w:t xml:space="preserve">. The flag bytes themselves are exempt from this rule, which is exactly why a flag can never be confused with stuffed data: six-or-more consecutive </w:t>
      </w:r>
      <w:r>
        <w:rPr>
          <w:rFonts w:ascii="Consolas" w:hAnsi="Consolas"/>
          <w:sz w:val="19"/>
        </w:rPr>
        <w:t>1</w:t>
      </w:r>
      <w:r>
        <w:t xml:space="preserve"> bits appears in the actual transmitted bitstream *only* at a flag.</w:t>
      </w:r>
    </w:p>
    <w:p>
      <w:pPr>
        <w:pStyle w:val="Heading2"/>
      </w:pPr>
      <w:r>
        <w:t>The information field and the checksum</w:t>
      </w:r>
    </w:p>
    <w:p>
      <w:r>
        <w:t xml:space="preserve">The </w:t>
      </w:r>
      <w:r>
        <w:rPr>
          <w:b/>
        </w:rPr>
        <w:t>information field</w:t>
      </w:r>
      <w:r>
        <w:t xml:space="preserve"> is where the actual APRS content lives — and unlike the address fields, its characters are plain, un-shifted ASCII. The </w:t>
      </w:r>
      <w:r>
        <w:rPr>
          <w:b/>
        </w:rPr>
        <w:t>FCS (Frame Check Sequence)</w:t>
      </w:r>
      <w:r>
        <w:t xml:space="preserve"> is a 16-bit CRC (per ISO 3309), computed most-significant-bit-first and transmitted inverted, covering every byte from the destination address through the end of the information field. If a receiver recomputes the CRC over a received frame and it doesn't match the transmitted FCS, the frame is corrupted — most likely from another station transmitting at the same instant (a collision) — and is simply discarded. AX.25 has no retransmission mechanism for UI frames; a lost APRS packet is just gone, which is one more reason the whole system is built around frequent, redundant, decaying-rate updates rather than any single packet being guaranteed to arrive.</w:t>
      </w:r>
    </w:p>
    <w:p>
      <w:pPr>
        <w:pStyle w:val="Heading1"/>
      </w:pPr>
      <w:r>
        <w:t>The Application Layer: What's Actually Inside a Position Packet</w:t>
      </w:r>
    </w:p>
    <w:p>
      <w:pPr>
        <w:pStyle w:val="Heading2"/>
      </w:pPr>
      <w:r>
        <w:t>Position reports: turning a lat/lon into text a radio can send</w:t>
      </w:r>
    </w:p>
    <w:p>
      <w:r>
        <w:t xml:space="preserve">The information field's first character is a </w:t>
      </w:r>
      <w:r>
        <w:rPr>
          <w:b/>
        </w:rPr>
        <w:t>Data Type Identifier</w:t>
      </w:r>
      <w:r>
        <w:t xml:space="preserve"> that tells a receiving station what kind of APRS data follows — a position, a message, a weather report, an object, and more. Two of the most common are </w:t>
      </w:r>
      <w:r>
        <w:rPr>
          <w:rFonts w:ascii="Consolas" w:hAnsi="Consolas"/>
          <w:sz w:val="19"/>
        </w:rPr>
        <w:t>!</w:t>
      </w:r>
      <w:r>
        <w:t xml:space="preserve"> (a real-time position report, no timestamp) and </w:t>
      </w:r>
      <w:r>
        <w:rPr>
          <w:rFonts w:ascii="Consolas" w:hAnsi="Consolas"/>
          <w:sz w:val="19"/>
        </w:rPr>
        <w:t>@</w:t>
      </w:r>
      <w:r>
        <w:t xml:space="preserve"> (a position report </w:t>
      </w:r>
      <w:r>
        <w:rPr>
          <w:b/>
        </w:rPr>
        <w:t>with</w:t>
      </w:r>
      <w:r>
        <w:t xml:space="preserve"> a timestamp, used when the report describes where a station *was* at a specific time rather than right now).</w:t>
      </w:r>
    </w:p>
    <w:p>
      <w:r>
        <w:t>A real, complete uncompressed position report looks like this: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4F6"/>
            <w:tcBorders>
              <w:top w:val="single" w:sz="2" w:space="0" w:color="CBD5E1"/>
              <w:left w:val="single" w:sz="18" w:space="0" w:color="B7C0CC"/>
              <w:bottom w:val="single" w:sz="2" w:space="0" w:color="CBD5E1"/>
              <w:right w:val="single" w:sz="2" w:space="0" w:color="CBD5E1"/>
            </w:tcBorders>
            <w:tcMar>
              <w:top w:w="80" w:type="dxa"/>
              <w:start w:w="150" w:type="dxa"/>
              <w:bottom w:w="8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22B38"/>
                <w:sz w:val="19"/>
              </w:rPr>
              <w:t>!4903.50N/07201.75W&gt;Test1234</w:t>
            </w:r>
          </w:p>
        </w:tc>
      </w:tr>
    </w:tbl>
    <w:p>
      <w:pPr>
        <w:spacing w:after="60"/>
      </w:pPr>
    </w:p>
    <w:p>
      <w:r>
        <w:t>Decoded field by field: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2160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Characters</w:t>
            </w:r>
          </w:p>
        </w:tc>
        <w:tc>
          <w:tcPr>
            <w:tcW w:type="dxa" w:w="6480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Meaning</w:t>
            </w:r>
          </w:p>
        </w:tc>
      </w:tr>
      <w:tr>
        <w:trPr>
          <w:cantSplit/>
        </w:trPr>
        <w:tc>
          <w:tcPr>
            <w:tcW w:type="dxa" w:w="216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!</w:t>
            </w:r>
          </w:p>
        </w:tc>
        <w:tc>
          <w:tcPr>
            <w:tcW w:type="dxa" w:w="64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Data type identifier — real-time position, no timestamp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4903.50N</w:t>
            </w:r>
          </w:p>
        </w:tc>
        <w:tc>
          <w:tcPr>
            <w:tcW w:type="dxa" w:w="648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 xml:space="preserve">Latitude: 49 degrees, 3.50 minutes North (the format is fixed-width </w:t>
            </w:r>
            <w:r>
              <w:rPr>
                <w:rFonts w:ascii="Consolas" w:hAnsi="Consolas"/>
                <w:sz w:val="19"/>
              </w:rPr>
              <w:t>ddmm.hh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N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S</w:t>
            </w:r>
            <w:r>
              <w:rPr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216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/</w:t>
            </w:r>
          </w:p>
        </w:tc>
        <w:tc>
          <w:tcPr>
            <w:tcW w:type="dxa" w:w="64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 xml:space="preserve">Symbol table identifier — </w:t>
            </w:r>
            <w:r>
              <w:rPr>
                <w:rFonts w:ascii="Consolas" w:hAnsi="Consolas"/>
                <w:sz w:val="19"/>
              </w:rPr>
              <w:t>/</w:t>
            </w:r>
            <w:r>
              <w:rPr>
                <w:sz w:val="19"/>
              </w:rPr>
              <w:t xml:space="preserve"> selects the </w:t>
            </w:r>
            <w:r>
              <w:rPr>
                <w:b/>
                <w:sz w:val="19"/>
              </w:rPr>
              <w:t>primary</w:t>
            </w:r>
            <w:r>
              <w:rPr>
                <w:sz w:val="19"/>
              </w:rPr>
              <w:t xml:space="preserve"> symbol table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07201.75W</w:t>
            </w:r>
          </w:p>
        </w:tc>
        <w:tc>
          <w:tcPr>
            <w:tcW w:type="dxa" w:w="648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 xml:space="preserve">Longitude: 072 degrees, 1.75 minutes West (fixed-width </w:t>
            </w:r>
            <w:r>
              <w:rPr>
                <w:rFonts w:ascii="Consolas" w:hAnsi="Consolas"/>
                <w:sz w:val="19"/>
              </w:rPr>
              <w:t>dddmm.hh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E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W</w:t>
            </w:r>
            <w:r>
              <w:rPr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216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&gt;</w:t>
            </w:r>
          </w:p>
        </w:tc>
        <w:tc>
          <w:tcPr>
            <w:tcW w:type="dxa" w:w="64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 xml:space="preserve">Symbol code — on the primary table, </w:t>
            </w:r>
            <w:r>
              <w:rPr>
                <w:rFonts w:ascii="Consolas" w:hAnsi="Consolas"/>
                <w:sz w:val="19"/>
              </w:rPr>
              <w:t>&gt;</w:t>
            </w:r>
            <w:r>
              <w:rPr>
                <w:sz w:val="19"/>
              </w:rPr>
              <w:t xml:space="preserve"> renders as a car icon on a map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Test1234</w:t>
            </w:r>
          </w:p>
        </w:tc>
        <w:tc>
          <w:tcPr>
            <w:tcW w:type="dxa" w:w="648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Free-text comment — up to 40 characters, shown alongside the station on a map or in a station list</w:t>
            </w:r>
          </w:p>
        </w:tc>
      </w:tr>
    </w:tbl>
    <w:p>
      <w:pPr>
        <w:spacing w:after="40"/>
      </w:pPr>
    </w:p>
    <w:p>
      <w:pPr>
        <w:pStyle w:val="Heading2"/>
      </w:pPr>
      <w:r>
        <w:t>Symbol tables: one character chooses the icon</w:t>
      </w:r>
    </w:p>
    <w:p>
      <w:r>
        <w:t xml:space="preserve">APRS defines two symbol tables — </w:t>
      </w:r>
      <w:r>
        <w:rPr>
          <w:b/>
        </w:rPr>
        <w:t>primary</w:t>
      </w:r>
      <w:r>
        <w:t xml:space="preserve"> (selected with </w:t>
      </w:r>
      <w:r>
        <w:rPr>
          <w:rFonts w:ascii="Consolas" w:hAnsi="Consolas"/>
          <w:sz w:val="19"/>
        </w:rPr>
        <w:t>/</w:t>
      </w:r>
      <w:r>
        <w:t xml:space="preserve">) and </w:t>
      </w:r>
      <w:r>
        <w:rPr>
          <w:b/>
        </w:rPr>
        <w:t>alternate</w:t>
      </w:r>
      <w:r>
        <w:t xml:space="preserve"> (selected with </w:t>
      </w:r>
      <w:r>
        <w:rPr>
          <w:rFonts w:ascii="Consolas" w:hAnsi="Consolas"/>
          <w:sz w:val="19"/>
        </w:rPr>
        <w:t>\</w:t>
      </w:r>
      <w:r>
        <w:t>) — each holding dozens of single-character icon codes (a car, a house, a digipeater, a weather station, and many more). The symbol table character and the symbol code character together are what a mapping application — like the one built into APRS-Command — uses to choose which icon to draw at a station's reported position.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E8F5E9"/>
            <w:tcBorders>
              <w:top w:val="single" w:sz="4" w:space="0" w:color="43A047"/>
              <w:left w:val="single" w:sz="30" w:space="0" w:color="43A047"/>
              <w:bottom w:val="single" w:sz="4" w:space="0" w:color="43A047"/>
              <w:right w:val="single" w:sz="4" w:space="0" w:color="43A047"/>
            </w:tcBorders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21"/>
              </w:rPr>
              <w:t xml:space="preserve">SCOPE NOTE FOR THIS CHAPTER   </w:t>
            </w:r>
            <w:r>
              <w:rPr>
                <w:color w:val="222B38"/>
              </w:rPr>
              <w:t xml:space="preserve">APRS also defines a </w:t>
            </w:r>
            <w:r>
              <w:rPr>
                <w:b/>
                <w:color w:val="222B38"/>
              </w:rPr>
              <w:t>compressed</w:t>
            </w:r>
            <w:r>
              <w:rPr>
                <w:color w:val="222B38"/>
              </w:rPr>
              <w:t xml:space="preserve"> position format — a denser encoding (using a base-91 numbering scheme) that packs latitude, longitude, and optionally course/speed or altitude into fewer bytes than the fixed-width format shown above. It's real, it's in daily use, and it deserves its own full treatment — deliberately left to a later chapter rather than folded in here at reduced rigor.</w:t>
            </w:r>
          </w:p>
        </w:tc>
      </w:tr>
    </w:tbl>
    <w:p>
      <w:pPr>
        <w:spacing w:after="80"/>
      </w:pPr>
    </w:p>
    <w:p>
      <w:pPr>
        <w:pStyle w:val="Heading1"/>
      </w:pPr>
      <w:r>
        <w:t>The Network Layer: How One Packet Reaches an Entire Region</w:t>
      </w:r>
    </w:p>
    <w:p>
      <w:pPr>
        <w:pStyle w:val="Heading2"/>
      </w:pPr>
      <w:r>
        <w:t>Digipeating: radios relaying radios</w:t>
      </w:r>
    </w:p>
    <w:p>
      <w:r>
        <w:t xml:space="preserve">A single APRS station transmitting at typical handheld or mobile power might reach a few miles. To cover a region, APRS relies on </w:t>
      </w:r>
      <w:r>
        <w:rPr>
          <w:b/>
        </w:rPr>
        <w:t>digipeaters</w:t>
      </w:r>
      <w:r>
        <w:t xml:space="preserve"> — stations, usually on hilltops or towers, that simply repeat any packet whose digipeater address field names them, then remove their own callsign from that field (or decrement a counter, covered next) so the packet isn't repeated by the same digipeater twice.</w:t>
      </w:r>
    </w:p>
    <w:p>
      <w:pPr>
        <w:pStyle w:val="Heading2"/>
      </w:pPr>
      <w:r>
        <w:t>The New-N Paradigm: WIDE2-2 and WIDE1-1,WIDE2-1</w:t>
      </w:r>
    </w:p>
    <w:p>
      <w:r>
        <w:t xml:space="preserve">Early APRS used generic aliases like </w:t>
      </w:r>
      <w:r>
        <w:rPr>
          <w:rFonts w:ascii="Consolas" w:hAnsi="Consolas"/>
          <w:sz w:val="19"/>
        </w:rPr>
        <w:t>RELAY</w:t>
      </w:r>
      <w:r>
        <w:t xml:space="preserve"> and </w:t>
      </w:r>
      <w:r>
        <w:rPr>
          <w:rFonts w:ascii="Consolas" w:hAnsi="Consolas"/>
          <w:sz w:val="19"/>
        </w:rPr>
        <w:t>WIDE</w:t>
      </w:r>
      <w:r>
        <w:t>, and operators would often chain several of them together (</w:t>
      </w:r>
      <w:r>
        <w:rPr>
          <w:rFonts w:ascii="Consolas" w:hAnsi="Consolas"/>
          <w:sz w:val="19"/>
        </w:rPr>
        <w:t>WIDE,WIDE,WIDE</w:t>
      </w:r>
      <w:r>
        <w:t xml:space="preserve">) hoping for wider reach — which instead flooded busy areas with duplicate packets as every digipeater in range repeated every hop. National operating rules were standardized around 2004 under the </w:t>
      </w:r>
      <w:r>
        <w:rPr>
          <w:b/>
        </w:rPr>
        <w:t>New-N Paradigm</w:t>
      </w:r>
      <w:r>
        <w:t xml:space="preserve"> specifically to eliminate that inefficient routing.</w:t>
      </w:r>
    </w:p>
    <w:p>
      <w:r>
        <w:t xml:space="preserve">The New-N Paradigm uses a </w:t>
      </w:r>
      <w:r>
        <w:rPr>
          <w:b/>
        </w:rPr>
        <w:t>generic alias with a built-in hop-count</w:t>
      </w:r>
      <w:r>
        <w:t xml:space="preserve">, written </w:t>
      </w:r>
      <w:r>
        <w:rPr>
          <w:rFonts w:ascii="Consolas" w:hAnsi="Consolas"/>
          <w:sz w:val="19"/>
        </w:rPr>
        <w:t>WIDEn-N</w:t>
      </w:r>
      <w:r>
        <w:t xml:space="preserve"> — for example </w:t>
      </w:r>
      <w:r>
        <w:rPr>
          <w:rFonts w:ascii="Consolas" w:hAnsi="Consolas"/>
          <w:sz w:val="19"/>
        </w:rPr>
        <w:t>WIDE2-2</w:t>
      </w:r>
      <w:r>
        <w:t xml:space="preserve"> means "repeat this up to 2 more times, generically." Each time a digipeater repeats the packet, it decrements that trailing number by one; once it reaches zero, no further digipeater will repeat it. The current guidance: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rPr>
          <w:b/>
        </w:rPr>
        <w:t>`WIDE2-2`</w:t>
      </w:r>
      <w:r>
        <w:t xml:space="preserve"> — a general-purpose 2-hop path, the recommended default in essentially all areas for a station with no specific local knowledge of the digipeater network around it.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rPr>
          <w:b/>
        </w:rPr>
        <w:t>`WIDE1-1,WIDE2-1`</w:t>
      </w:r>
      <w:r>
        <w:t xml:space="preserve"> — a specialized 2-hop path for mobiles that have a nearby </w:t>
      </w:r>
      <w:r>
        <w:rPr>
          <w:b/>
        </w:rPr>
        <w:t>fill-in digipeater</w:t>
      </w:r>
      <w:r>
        <w:t xml:space="preserve"> (a lower-power, local-coverage digipeater that only responds to </w:t>
      </w:r>
      <w:r>
        <w:rPr>
          <w:rFonts w:ascii="Consolas" w:hAnsi="Consolas"/>
          <w:sz w:val="19"/>
        </w:rPr>
        <w:t>WIDE1-1</w:t>
      </w:r>
      <w:r>
        <w:t>), letting that local digipeater pick the packet up first before it's repeated once more onto the wider regional network.</w:t>
      </w:r>
    </w:p>
    <w:p>
      <w:pPr>
        <w:pStyle w:val="Heading2"/>
      </w:pPr>
      <w:r>
        <w:t>APRS-IS: where RF meets the Internet</w:t>
      </w:r>
    </w:p>
    <w:p>
      <w:r>
        <w:t xml:space="preserve">Digipeating alone only reaches as far as the RF network extends. </w:t>
      </w:r>
      <w:r>
        <w:rPr>
          <w:b/>
        </w:rPr>
        <w:t>APRS-IS (the APRS Internet System)</w:t>
      </w:r>
      <w:r>
        <w:t xml:space="preserve"> is a worldwide, Internet-connected network of servers that any station can connect to directly, and that an </w:t>
      </w:r>
      <w:r>
        <w:rPr>
          <w:b/>
        </w:rPr>
        <w:t>iGate</w:t>
      </w:r>
      <w:r>
        <w:t xml:space="preserve"> — a station configured to bridge the two worlds — feeds with everything it hears over RF. This is why a station transmitting nothing but a 5-watt handheld on a hilltop can still show up, moments later, on a map viewed from anywhere in the world: RF got the packet to one iGate, and APRS-IS carried it the rest of the way.</w:t>
      </w:r>
    </w:p>
    <w:p>
      <w:pPr>
        <w:pStyle w:val="Heading1"/>
      </w:pPr>
      <w:r>
        <w:t>Seeing It Work: APRS-Command as a Reference Implementation</w:t>
      </w:r>
    </w:p>
    <w:p>
      <w:r>
        <w:t xml:space="preserve">Every layer described in this chapter is real, working code in </w:t>
      </w:r>
      <w:r>
        <w:rPr>
          <w:b/>
        </w:rPr>
        <w:t>APRS-Command</w:t>
      </w:r>
      <w:r>
        <w:t>, the cross-platform APRS client built as part of this project (GPL v3, C# / .NET, Avalonia UI — runs on Windows, macOS, Linux, and Raspberry Pi from one codebase). It's worth connecting the two directly, so this chapter isn't just theory: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320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Layer in this chapter</w:t>
            </w:r>
          </w:p>
        </w:tc>
        <w:tc>
          <w:tcPr>
            <w:tcW w:type="dxa" w:w="4608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Where it lives in APRS-Command</w:t>
            </w:r>
          </w:p>
        </w:tc>
      </w:tr>
      <w:tr>
        <w:trPr>
          <w:cantSplit/>
        </w:trPr>
        <w:tc>
          <w:tcPr>
            <w:tcW w:type="dxa" w:w="432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Link layer (AX.25 frames, packet parsing)</w:t>
            </w:r>
          </w:p>
        </w:tc>
        <w:tc>
          <w:tcPr>
            <w:tcW w:type="dxa" w:w="4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src/Aprs.Core</w:t>
            </w:r>
            <w:r>
              <w:rPr>
                <w:sz w:val="19"/>
              </w:rPr>
              <w:t xml:space="preserve"> — APRS packet types and parser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Physical/transport layer (serial KISS TNC, TCP KISS, AGWPE, APRS-IS)</w:t>
            </w:r>
          </w:p>
        </w:tc>
        <w:tc>
          <w:tcPr>
            <w:tcW w:type="dxa" w:w="4608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src/Aprs.Transport</w:t>
            </w:r>
          </w:p>
        </w:tc>
      </w:tr>
      <w:tr>
        <w:trPr>
          <w:cantSplit/>
        </w:trPr>
        <w:tc>
          <w:tcPr>
            <w:tcW w:type="dxa" w:w="432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Digipeating (New-N Paradigm, fill-in and full modes)</w:t>
            </w:r>
          </w:p>
        </w:tc>
        <w:tc>
          <w:tcPr>
            <w:tcW w:type="dxa" w:w="4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src/Aprs.Services</w:t>
            </w:r>
            <w:r>
              <w:rPr>
                <w:sz w:val="19"/>
              </w:rPr>
              <w:t xml:space="preserve"> — configurable digipeater with alias support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APRS-IS / iGate bridging</w:t>
            </w:r>
          </w:p>
        </w:tc>
        <w:tc>
          <w:tcPr>
            <w:tcW w:type="dxa" w:w="4608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src/Aprs.Services</w:t>
            </w:r>
            <w:r>
              <w:rPr>
                <w:sz w:val="19"/>
              </w:rPr>
              <w:t xml:space="preserve"> — iGate with packet-type filtering</w:t>
            </w:r>
          </w:p>
        </w:tc>
      </w:tr>
      <w:tr>
        <w:trPr>
          <w:cantSplit/>
        </w:trPr>
        <w:tc>
          <w:tcPr>
            <w:tcW w:type="dxa" w:w="432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Application layer (position reports, symbol tables)</w:t>
            </w:r>
          </w:p>
        </w:tc>
        <w:tc>
          <w:tcPr>
            <w:tcW w:type="dxa" w:w="4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Beacon scheduler + symbol picker in </w:t>
            </w:r>
            <w:r>
              <w:rPr>
                <w:rFonts w:ascii="Consolas" w:hAnsi="Consolas"/>
                <w:sz w:val="19"/>
              </w:rPr>
              <w:t>src/Aprs.Desktop</w:t>
            </w:r>
            <w:r>
              <w:rPr>
                <w:sz w:val="19"/>
              </w:rPr>
              <w:t xml:space="preserve">, rendered via </w:t>
            </w:r>
            <w:r>
              <w:rPr>
                <w:rFonts w:ascii="Consolas" w:hAnsi="Consolas"/>
                <w:sz w:val="19"/>
              </w:rPr>
              <w:t>src/Aprs.Mapping</w:t>
            </w:r>
          </w:p>
        </w:tc>
      </w:tr>
    </w:tbl>
    <w:p>
      <w:pPr>
        <w:spacing w:after="40"/>
      </w:pPr>
    </w:p>
    <w:p>
      <w:r>
        <w:t>The project's own README describes its guiding philosophy in terms that echo exactly what this chapter opened with: APRS-Command exists to give operators "a common operating picture" — situational awareness, not just a tracker — which is the same distinction Bob Bruninga built the whole protocol around forty years earlier.</w:t>
      </w:r>
    </w:p>
    <w:p>
      <w:pPr>
        <w:pStyle w:val="Heading1"/>
      </w:pPr>
      <w:r>
        <w:t>Why This Matters for Project AROC</w:t>
      </w:r>
    </w:p>
    <w:p>
      <w:r>
        <w:t>An Amateur Radio Operations Center needs exactly what APRS was designed to provide: a shared, continuously-updating picture of positions, resources, and messages across everyone operating on a network — the same need behind Book 6 (Operations) and Book 10 (Emergency Communications). Understanding APRS from the tone pair up, not just as "the app that shows dots on a map," is what makes it possible to actually design, troubleshoot, and extend an operations center that depends on it — placing a digipeater, choosing a path, diagnosing why a station isn't showing up, or deciding whether a feature belongs in APRS-Command at all.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FF4CC"/>
            <w:tcBorders>
              <w:top w:val="single" w:sz="4" w:space="0" w:color="E0A800"/>
              <w:left w:val="single" w:sz="30" w:space="0" w:color="E0A800"/>
              <w:bottom w:val="single" w:sz="4" w:space="0" w:color="E0A800"/>
              <w:right w:val="single" w:sz="4" w:space="0" w:color="E0A800"/>
            </w:tcBorders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8A6D00"/>
                <w:sz w:val="21"/>
              </w:rPr>
              <w:t xml:space="preserve">DESIGN TAKEAWAY   </w:t>
            </w:r>
            <w:r>
              <w:rPr>
                <w:color w:val="222B38"/>
              </w:rPr>
              <w:t>Every layer in this chapter exists to solve one specific, real problem: AFSK/Bell 202 lets APRS ride on ordinary FM voice radios; NRZI and bit stuffing make the frame boundary unambiguous; AX.25's UI frame skips connection overhead a one-shot broadcast doesn't need; the New-N Paradigm exists because the old alternative flooded the airwaves; and APRS-IS exists because RF range alone was never going to be global. None of it is arbitrary — and that's the pattern worth carrying into every other chapter of this library.</w:t>
            </w:r>
          </w:p>
        </w:tc>
      </w:tr>
    </w:tbl>
    <w:p>
      <w:pPr>
        <w:spacing w:after="80"/>
      </w:pPr>
    </w:p>
    <w:p>
      <w:pPr>
        <w:pStyle w:val="Heading1"/>
      </w:pPr>
      <w:r>
        <w:t>Sources &amp; Further Reading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t>aprs.org — Bob Bruninga's original APRS reference site: http://www.aprs.org/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t>aprs.org — The New-N Paradigm: http://www.aprs.org/newN/new-N.html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t>APRS Protocol Reference, Version 1.0.1 (APRS101.PDF): https://www.aprs.org/doc/APRS101.PDF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t>Kenneth W. Finnegan, W6KWF — "Clarifying the Amateur Bell 202 Modem" (TAPR Digital Communications Conference 2014): https://files.tapr.org/meetings/DCC_2014/DCC2014-Amateur-Bell-202-Modem-W6KWF-and-Bridget-Benson.pdf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t>Joshua Jerred — "APRS &amp; AX.25 Demystified: Full Packet Generation and Frame Encoding": https://joshuajer.red/blog/2023-01-04-APRS-and-ax25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t>APRS-Command source and documentation: https://github.com/KE4CON/APRS-Command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/>
      <w:pBdr>
        <w:bottom w:val="single" w:sz="6" w:space="2" w:color="1F3A5F"/>
      </w:pBdr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6480"/>
          <w:tcBorders>
            <w:top w:val="nil" w:sz="6" w:space="0" w:color="auto"/>
            <w:left w:val="nil" w:sz="6" w:space="0" w:color="auto"/>
            <w:bottom w:val="nil" w:sz="6" w:space="0" w:color="auto"/>
            <w:right w:val="nil" w:sz="6" w:space="0" w:color="auto"/>
          </w:tcBorders>
        </w:tcPr>
        <w:p>
          <w:pPr>
            <w:spacing w:after="0"/>
          </w:pPr>
          <w:r>
            <w:rPr>
              <w:rFonts w:ascii="Segoe UI" w:hAnsi="Segoe UI"/>
              <w:color w:val="64748B"/>
              <w:sz w:val="16"/>
            </w:rPr>
            <w:t>Project AROC  ·  KE4CON Technical Library and Engineering System</w:t>
          </w:r>
        </w:p>
      </w:tc>
      <w:tc>
        <w:tcPr>
          <w:tcW w:type="dxa" w:w="2880"/>
          <w:tcBorders>
            <w:top w:val="nil" w:sz="6" w:space="0" w:color="auto"/>
            <w:left w:val="nil" w:sz="6" w:space="0" w:color="auto"/>
            <w:bottom w:val="nil" w:sz="6" w:space="0" w:color="auto"/>
            <w:right w:val="nil" w:sz="6" w:space="0" w:color="auto"/>
          </w:tcBorders>
        </w:tcPr>
        <w:p>
          <w:pPr>
            <w:spacing w:after="0"/>
            <w:jc w:val="right"/>
          </w:pPr>
          <w:r>
            <w:rPr>
              <w:rFonts w:ascii="Segoe UI" w:hAnsi="Segoe UI"/>
              <w:color w:val="64748B"/>
              <w:sz w:val="16"/>
            </w:rPr>
            <w:t xml:space="preserve">Page </w:t>
          </w:r>
          <w:r>
            <w:rPr>
              <w:color w:val="64748B"/>
              <w:sz w:val="16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Segoe UI" w:hAnsi="Segoe UI"/>
              <w:color w:val="64748B"/>
              <w:sz w:val="16"/>
            </w:rPr>
            <w:t xml:space="preserve"> of </w:t>
          </w:r>
          <w:r>
            <w:rPr>
              <w:color w:val="64748B"/>
              <w:sz w:val="16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center"/>
      <w:pBdr>
        <w:bottom w:val="single" w:sz="12" w:space="6" w:color="D9A521"/>
      </w:pBdr>
    </w:pPr>
    <w:r>
      <w:rPr>
        <w:rFonts w:ascii="Segoe UI Semibold" w:hAnsi="Segoe UI Semibold"/>
        <w:color w:val="1F3A5F"/>
        <w:sz w:val="19"/>
      </w:rPr>
      <w:t>Project AROC — Book 7 - APRS</w:t>
    </w:r>
    <w:r>
      <w:br/>
    </w:r>
    <w:r>
      <w:rPr>
        <w:rFonts w:ascii="Segoe UI" w:hAnsi="Segoe UI"/>
        <w:color w:val="64748B"/>
        <w:sz w:val="16"/>
      </w:rPr>
      <w:t>AROC-BOOK-0007 · Revision 0.1 · KE4CON Amateur Radio Operations Center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Segoe UI" w:hAnsi="Segoe UI"/>
      <w:color w:val="222B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 Semibold" w:hAnsi="Segoe UI Semibold"/>
      <w:b w:val="0"/>
      <w:bCs/>
      <w:color w:val="1F3A5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Segoe UI Semibold" w:hAnsi="Segoe UI Semibold"/>
      <w:b w:val="0"/>
      <w:bCs/>
      <w:color w:val="2E6DA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