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26" w:space="1" w:color="D9A52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11520" w:hRule="atLeast"/>
        </w:trPr>
        <w:tc>
          <w:tcPr>
            <w:tcW w:type="dxa" w:w="9360"/>
            <w:shd w:val="clear" w:color="auto" w:fill="1F3A5F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260" w:type="dxa"/>
              <w:start w:w="320" w:type="dxa"/>
              <w:bottom w:w="260" w:type="dxa"/>
              <w:end w:w="320" w:type="dxa"/>
            </w:tcMar>
          </w:tcPr>
          <w:p>
            <w:pPr>
              <w:spacing w:after="40"/>
              <w:jc w:val="center"/>
            </w:pPr>
            <w:r>
              <w:rPr>
                <w:rFonts w:ascii="Segoe UI Semibold" w:hAnsi="Segoe UI Semibold"/>
                <w:color w:val="D9A521"/>
                <w:sz w:val="22"/>
              </w:rPr>
              <w:t>PROJECT AROC</w:t>
            </w:r>
          </w:p>
          <w:p>
            <w:pPr>
              <w:spacing w:before="920" w:after="8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92"/>
              </w:rPr>
              <w:t>Project AROC</w:t>
            </w:r>
          </w:p>
          <w:p>
            <w:pPr>
              <w:spacing w:before="0" w:after="240"/>
              <w:jc w:val="center"/>
            </w:pPr>
            <w:r>
              <w:rPr>
                <w:rFonts w:ascii="Segoe UI Semibold" w:hAnsi="Segoe UI Semibold"/>
                <w:b w:val="0"/>
                <w:color w:val="D9A521"/>
                <w:sz w:val="32"/>
              </w:rPr>
              <w:t>Engineering Standards   Approved</w:t>
            </w:r>
          </w:p>
          <w:p>
            <w:pPr>
              <w:spacing w:before="0" w:after="280"/>
              <w:jc w:val="center"/>
              <w:pBdr>
                <w:bottom w:val="single" w:sz="12" w:space="6" w:color="D9A521"/>
              </w:pBdr>
            </w:pPr>
          </w:p>
          <w:p>
            <w:pPr>
              <w:spacing w:before="0" w:after="12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48"/>
              </w:rPr>
              <w:t>AROC-STD-0002  ·  REV 1.0</w:t>
            </w:r>
          </w:p>
          <w:p>
            <w:pPr>
              <w:spacing w:before="520" w:after="240"/>
              <w:jc w:val="center"/>
            </w:pPr>
            <w:r>
              <w:rPr>
                <w:rFonts w:ascii="Segoe UI" w:hAnsi="Segoe UI"/>
                <w:b w:val="0"/>
                <w:color w:val="C7D6E8"/>
                <w:sz w:val="21"/>
              </w:rPr>
              <w:t>Build with Purpose. Document with Precision. Learn without End.</w:t>
            </w:r>
          </w:p>
          <w:p>
            <w:pPr>
              <w:spacing w:before="0" w:after="4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24"/>
              </w:rPr>
              <w:t>James  ·  KE4CON</w:t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b w:val="0"/>
                <w:color w:val="9FB3CC"/>
                <w:sz w:val="20"/>
              </w:rPr>
              <w:t>August 25, 2026</w:t>
            </w:r>
          </w:p>
        </w:tc>
      </w:tr>
    </w:tbl>
    <w:p>
      <w:pPr>
        <w:spacing w:after="0"/>
      </w:pPr>
    </w:p>
    <w:p>
      <w:pPr>
        <w:pStyle w:val="Heading1"/>
        <w:outlineLvl w:val="0"/>
      </w:pPr>
      <w:r>
        <w:rPr>
          <w:rFonts w:ascii="Segoe UI Semibold" w:hAnsi="Segoe UI Semibold"/>
          <w:color w:val="1F3A5F"/>
          <w:sz w:val="48"/>
        </w:rPr>
        <w:t>Document Control</w:t>
      </w:r>
    </w:p>
    <w:p>
      <w:pPr>
        <w:pBdr>
          <w:bottom w:val="single" w:sz="12" w:space="8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88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Document Number</w:t>
            </w:r>
          </w:p>
        </w:tc>
        <w:tc>
          <w:tcPr>
            <w:tcW w:type="dxa" w:w="64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AROC-STD-0002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Title</w:t>
            </w:r>
          </w:p>
        </w:tc>
        <w:tc>
          <w:tcPr>
            <w:tcW w:type="dxa" w:w="64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Engineering Standards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Revision</w:t>
            </w:r>
          </w:p>
        </w:tc>
        <w:tc>
          <w:tcPr>
            <w:tcW w:type="dxa" w:w="64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Status</w:t>
            </w:r>
          </w:p>
        </w:tc>
        <w:tc>
          <w:tcPr>
            <w:tcW w:type="dxa" w:w="64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Approved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Owner</w:t>
            </w:r>
          </w:p>
        </w:tc>
        <w:tc>
          <w:tcPr>
            <w:tcW w:type="dxa" w:w="64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James / KE4CON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Technical Author</w:t>
            </w:r>
          </w:p>
        </w:tc>
        <w:tc>
          <w:tcPr>
            <w:tcW w:type="dxa" w:w="64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Claude (Claude Code)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Applies To</w:t>
            </w:r>
          </w:p>
        </w:tc>
        <w:tc>
          <w:tcPr>
            <w:tcW w:type="dxa" w:w="64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Project AROC Technical Library and Engineering Documentation</w:t>
            </w:r>
          </w:p>
        </w:tc>
      </w:tr>
    </w:tbl>
    <w:p>
      <w:pPr>
        <w:spacing w:after="40"/>
      </w:pPr>
    </w:p>
    <w:p>
      <w:pPr>
        <w:pStyle w:val="Heading1"/>
        <w:outlineLvl w:val="0"/>
      </w:pPr>
      <w:r>
        <w:rPr>
          <w:rFonts w:ascii="Segoe UI Semibold" w:hAnsi="Segoe UI Semibold"/>
          <w:color w:val="1F3A5F"/>
          <w:sz w:val="48"/>
        </w:rPr>
        <w:t>Revision History</w:t>
      </w:r>
    </w:p>
    <w:p>
      <w:pPr>
        <w:pBdr>
          <w:bottom w:val="single" w:sz="12" w:space="8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864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Rev</w:t>
            </w:r>
          </w:p>
        </w:tc>
        <w:tc>
          <w:tcPr>
            <w:tcW w:type="dxa" w:w="1584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888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86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1.0</w:t>
            </w:r>
          </w:p>
        </w:tc>
        <w:tc>
          <w:tcPr>
            <w:tcW w:type="dxa" w:w="158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2026-08-25</w:t>
            </w:r>
          </w:p>
        </w:tc>
        <w:tc>
          <w:tcPr>
            <w:tcW w:type="dxa" w:w="216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Claude (Claude Code)</w:t>
            </w:r>
          </w:p>
        </w:tc>
        <w:tc>
          <w:tcPr>
            <w:tcW w:type="dxa" w:w="388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Milestone 0003B — first release. Document numbering, folder structure, revision control, file naming, figure/table numbering, diagram standards</w:t>
            </w:r>
          </w:p>
        </w:tc>
        <w:tc>
          <w:tcPr>
            <w:tcW w:type="dxa" w:w="1296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Approved</w:t>
            </w:r>
          </w:p>
        </w:tc>
      </w:tr>
    </w:tbl>
    <w:p>
      <w:pPr>
        <w:spacing w:after="40"/>
      </w:pPr>
    </w:p>
    <w:p>
      <w:pPr>
        <w:pStyle w:val="Heading1"/>
        <w:outlineLvl w:val="0"/>
      </w:pPr>
      <w:r>
        <w:rPr>
          <w:rFonts w:ascii="Segoe UI Semibold" w:hAnsi="Segoe UI Semibold"/>
          <w:color w:val="1F3A5F"/>
          <w:sz w:val="48"/>
        </w:rPr>
        <w:t>Contents</w:t>
      </w:r>
    </w:p>
    <w:p>
      <w:pPr>
        <w:pBdr>
          <w:bottom w:val="single" w:sz="12" w:space="8" w:color="1F3A5F"/>
        </w:pBdr>
      </w:pP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1036" w:hRule="atLeast"/>
        </w:trPr>
        <w:tc>
          <w:tcPr>
            <w:tcW w:type="dxa" w:w="1368"/>
            <w:shd w:val="clear" w:color="auto" w:fill="1F3A5F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60"/>
              </w:rPr>
              <w:t>1</w:t>
            </w:r>
          </w:p>
        </w:tc>
        <w:tc>
          <w:tcPr>
            <w:tcW w:type="dxa" w:w="7992"/>
            <w:shd w:val="clear" w:color="auto" w:fill="EAF0F6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60" w:type="dxa"/>
              <w:start w:w="220" w:type="dxa"/>
              <w:bottom w:w="60" w:type="dxa"/>
              <w:end w:w="140" w:type="dxa"/>
            </w:tcMar>
          </w:tcPr>
          <w:p>
            <w:pPr>
              <w:pStyle w:val="Heading1"/>
              <w:spacing w:after="0"/>
              <w:outlineLvl w:val="0"/>
            </w:pPr>
            <w:r>
              <w:rPr>
                <w:rFonts w:ascii="Segoe UI Semibold" w:hAnsi="Segoe UI Semibold"/>
                <w:b/>
                <w:color w:val="1F3A5F"/>
                <w:sz w:val="44"/>
              </w:rPr>
              <w:t>Document Numbering &amp; Folder Structure</w:t>
            </w:r>
          </w:p>
        </w:tc>
      </w:tr>
    </w:tbl>
    <w:p>
      <w:pPr>
        <w:spacing w:before="60" w:after="160"/>
        <w:pBdr>
          <w:bottom w:val="single" w:sz="16" w:space="6" w:color="D9A521"/>
        </w:pBdr>
      </w:pPr>
    </w:p>
    <w:p>
      <w:r>
        <w:rPr>
          <w:i/>
          <w:color w:val="64748B"/>
          <w:sz w:val="23"/>
        </w:rPr>
        <w:t>Milestone 0003B — how anything in this repository is identified and where it lives.</w:t>
      </w:r>
    </w:p>
    <w:p>
      <w:pPr>
        <w:spacing w:after="0"/>
      </w:pPr>
    </w:p>
    <w:p>
      <w:pPr>
        <w:spacing w:after="40"/>
      </w:pPr>
      <w:r>
        <w:rPr>
          <w:rFonts w:ascii="Segoe UI Semibold" w:hAnsi="Segoe UI Semibold"/>
          <w:b/>
          <w:color w:val="64748B"/>
          <w:sz w:val="18"/>
        </w:rPr>
        <w:t>IN THIS CHAPTER</w:t>
      </w:r>
    </w:p>
    <w:p>
      <w:pPr>
        <w:spacing w:after="20"/>
        <w:ind w:left="288"/>
      </w:pPr>
      <w:r>
        <w:rPr>
          <w:color w:val="222B38"/>
          <w:sz w:val="20"/>
        </w:rPr>
        <w:t>•  The document numbering scheme in full</w:t>
      </w:r>
    </w:p>
    <w:p>
      <w:pPr>
        <w:spacing w:after="20"/>
        <w:ind w:left="288"/>
      </w:pPr>
      <w:r>
        <w:rPr>
          <w:color w:val="222B38"/>
          <w:sz w:val="20"/>
        </w:rPr>
        <w:t>•  What each numbered top-level folder is for</w:t>
      </w:r>
    </w:p>
    <w:p>
      <w:pPr>
        <w:spacing w:after="20"/>
        <w:ind w:left="288"/>
      </w:pPr>
      <w:r>
        <w:rPr>
          <w:color w:val="222B38"/>
          <w:sz w:val="20"/>
        </w:rPr>
        <w:t>•  Where repo-engineering-only material (not part of the library) lives</w:t>
      </w:r>
    </w:p>
    <w:p>
      <w:pPr>
        <w:spacing w:after="40"/>
      </w:pPr>
    </w:p>
    <w:p>
      <w:pPr>
        <w:pStyle w:val="Heading1"/>
      </w:pPr>
      <w:r>
        <w:t>Document Numbering</w:t>
      </w:r>
    </w:p>
    <w:p>
      <w:r>
        <w:t xml:space="preserve">Every formal document carries a number in the form </w:t>
      </w:r>
      <w:r>
        <w:rPr>
          <w:rFonts w:ascii="Consolas" w:hAnsi="Consolas"/>
          <w:sz w:val="19"/>
        </w:rPr>
        <w:t>AROC-&lt;TYPE&gt;-&lt;NUMBER&gt;</w:t>
      </w:r>
      <w:r>
        <w:t xml:space="preserve">. </w:t>
      </w:r>
      <w:r>
        <w:rPr>
          <w:rFonts w:ascii="Consolas" w:hAnsi="Consolas"/>
          <w:sz w:val="19"/>
        </w:rPr>
        <w:t>&lt;NUMBER&gt;</w:t>
      </w:r>
      <w:r>
        <w:t xml:space="preserve"> is a 4-digit sequence, assigned in order within its </w:t>
      </w:r>
      <w:r>
        <w:rPr>
          <w:rFonts w:ascii="Consolas" w:hAnsi="Consolas"/>
          <w:sz w:val="19"/>
        </w:rPr>
        <w:t>&lt;TYPE&gt;</w:t>
      </w:r>
      <w:r>
        <w:t>, never reused even if a document is retired. A milestone-scoped document (a release, a phase deliverable) may append a letter suffix (</w:t>
      </w:r>
      <w:r>
        <w:rPr>
          <w:rFonts w:ascii="Consolas" w:hAnsi="Consolas"/>
          <w:sz w:val="19"/>
        </w:rPr>
        <w:t>0003A</w:t>
      </w:r>
      <w:r>
        <w:t xml:space="preserve">, </w:t>
      </w:r>
      <w:r>
        <w:rPr>
          <w:rFonts w:ascii="Consolas" w:hAnsi="Consolas"/>
          <w:sz w:val="19"/>
        </w:rPr>
        <w:t>0003B</w:t>
      </w:r>
      <w:r>
        <w:t xml:space="preserve">, </w:t>
      </w:r>
      <w:r>
        <w:rPr>
          <w:rFonts w:ascii="Consolas" w:hAnsi="Consolas"/>
          <w:sz w:val="19"/>
        </w:rPr>
        <w:t>0003C</w:t>
      </w:r>
      <w:r>
        <w:t>, ...) for sub-parts of the same milestone.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584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Prefix</w:t>
            </w:r>
          </w:p>
        </w:tc>
        <w:tc>
          <w:tcPr>
            <w:tcW w:type="dxa" w:w="4176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60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Numbering scope</w:t>
            </w:r>
          </w:p>
        </w:tc>
      </w:tr>
      <w:tr>
        <w:trPr>
          <w:cantSplit/>
        </w:trPr>
        <w:tc>
          <w:tcPr>
            <w:tcW w:type="dxa" w:w="158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b/>
                <w:sz w:val="19"/>
              </w:rPr>
              <w:t>STD</w:t>
            </w:r>
          </w:p>
        </w:tc>
        <w:tc>
          <w:tcPr>
            <w:tcW w:type="dxa" w:w="4176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Publishing / engineering standards</w:t>
            </w:r>
          </w:p>
        </w:tc>
        <w:tc>
          <w:tcPr>
            <w:tcW w:type="dxa" w:w="360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Sequential, never reused (AROC-STD-0001, -0002, ...)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b/>
                <w:sz w:val="19"/>
              </w:rPr>
              <w:t>BRAND</w:t>
            </w:r>
          </w:p>
        </w:tc>
        <w:tc>
          <w:tcPr>
            <w:tcW w:type="dxa" w:w="4176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Visual identity / branding</w:t>
            </w:r>
          </w:p>
        </w:tc>
        <w:tc>
          <w:tcPr>
            <w:tcW w:type="dxa" w:w="360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Sequential (typically stays at 0001 — revised in place via Revision History, not renumbered)</w:t>
            </w:r>
          </w:p>
        </w:tc>
      </w:tr>
      <w:tr>
        <w:trPr>
          <w:cantSplit/>
        </w:trPr>
        <w:tc>
          <w:tcPr>
            <w:tcW w:type="dxa" w:w="158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b/>
                <w:sz w:val="19"/>
              </w:rPr>
              <w:t>REL</w:t>
            </w:r>
          </w:p>
        </w:tc>
        <w:tc>
          <w:tcPr>
            <w:tcW w:type="dxa" w:w="4176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Milestone / release notes</w:t>
            </w:r>
          </w:p>
        </w:tc>
        <w:tc>
          <w:tcPr>
            <w:tcW w:type="dxa" w:w="360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One per milestone, letter-suffixed for sub-releases (AROC-REL-0003A)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b/>
                <w:sz w:val="19"/>
              </w:rPr>
              <w:t>BOOK</w:t>
            </w:r>
          </w:p>
        </w:tc>
        <w:tc>
          <w:tcPr>
            <w:tcW w:type="dxa" w:w="4176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Technical library volumes</w:t>
            </w:r>
          </w:p>
        </w:tc>
        <w:tc>
          <w:tcPr>
            <w:tcW w:type="dxa" w:w="360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Matches the Book number in the README (AROC-BOOK-0001 = Book 1, ...)</w:t>
            </w:r>
          </w:p>
        </w:tc>
      </w:tr>
      <w:tr>
        <w:trPr>
          <w:cantSplit/>
        </w:trPr>
        <w:tc>
          <w:tcPr>
            <w:tcW w:type="dxa" w:w="158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OPS</w:t>
            </w:r>
          </w:p>
        </w:tc>
        <w:tc>
          <w:tcPr>
            <w:tcW w:type="dxa" w:w="4176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Operations runbooks (Book 6 material)</w:t>
            </w:r>
          </w:p>
        </w:tc>
        <w:tc>
          <w:tcPr>
            <w:tcW w:type="dxa" w:w="360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Sequential per runbook</w:t>
            </w:r>
          </w:p>
        </w:tc>
      </w:tr>
    </w:tbl>
    <w:p>
      <w:pPr>
        <w:spacing w:after="40"/>
      </w:pPr>
    </w:p>
    <w:p>
      <w:pPr>
        <w:pStyle w:val="Heading1"/>
      </w:pPr>
      <w:r>
        <w:t>Top-Level Folder Structure</w:t>
      </w:r>
    </w:p>
    <w:p>
      <w:r>
        <w:t xml:space="preserve">The </w:t>
      </w:r>
      <w:r>
        <w:rPr>
          <w:rFonts w:ascii="Consolas" w:hAnsi="Consolas"/>
          <w:sz w:val="19"/>
        </w:rPr>
        <w:t>README.md</w:t>
      </w:r>
      <w:r>
        <w:t xml:space="preserve"> repository-structure list is the authoritative folder set. Each folder's purpose: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448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6912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00 Engineering</w:t>
            </w:r>
          </w:p>
        </w:tc>
        <w:tc>
          <w:tcPr>
            <w:tcW w:type="dxa" w:w="691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 xml:space="preserve">Formal engineering documents: publishing/engineering standards, branding, standards for the library itself — each formal document gets its own sub-folder holding </w:t>
            </w:r>
            <w:r>
              <w:rPr>
                <w:rFonts w:ascii="Consolas" w:hAnsi="Consolas"/>
                <w:sz w:val="19"/>
              </w:rPr>
              <w:t>chapters/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build.py</w:t>
            </w:r>
            <w:r>
              <w:rPr>
                <w:sz w:val="19"/>
              </w:rPr>
              <w:t xml:space="preserve">, with the built </w:t>
            </w:r>
            <w:r>
              <w:rPr>
                <w:rFonts w:ascii="Consolas" w:hAnsi="Consolas"/>
                <w:sz w:val="19"/>
              </w:rPr>
              <w:t>.md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.docx</w:t>
            </w:r>
            <w:r>
              <w:rPr>
                <w:sz w:val="19"/>
              </w:rPr>
              <w:t xml:space="preserve"> one level up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01 Publications</w:t>
            </w:r>
          </w:p>
        </w:tc>
        <w:tc>
          <w:tcPr>
            <w:tcW w:type="dxa" w:w="6912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The technical library itself once it exists — Books 0-10, one sub-folder per book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02 Operations</w:t>
            </w:r>
          </w:p>
        </w:tc>
        <w:tc>
          <w:tcPr>
            <w:tcW w:type="dxa" w:w="691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Runbooks, checklists, and standard operating procedures for running the actual Operations Center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03 Software Development</w:t>
            </w:r>
          </w:p>
        </w:tc>
        <w:tc>
          <w:tcPr>
            <w:tcW w:type="dxa" w:w="6912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Any AROC-specific software (dashboards, automation, integrations) — not the general-purpose apps that live in their own separate repos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04 Website</w:t>
            </w:r>
          </w:p>
        </w:tc>
        <w:tc>
          <w:tcPr>
            <w:tcW w:type="dxa" w:w="691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Source for any AROC-facing web presence, if it ends up separate from the main KE4CON website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05 Media</w:t>
            </w:r>
          </w:p>
        </w:tc>
        <w:tc>
          <w:tcPr>
            <w:tcW w:type="dxa" w:w="6912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Logos, diagrams source files, palettes, and other reusable media assets referenced by documents or the website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06 Downloads</w:t>
            </w:r>
          </w:p>
        </w:tc>
        <w:tc>
          <w:tcPr>
            <w:tcW w:type="dxa" w:w="691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Point-in-time release packages handed to readers (e.g. Milestone Release Notes) — historical snapshots, not living documents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07 Templates</w:t>
            </w:r>
          </w:p>
        </w:tc>
        <w:tc>
          <w:tcPr>
            <w:tcW w:type="dxa" w:w="6912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 xml:space="preserve">Reusable starting points — today that means the chapters/build.py pattern itself (see AROC-STD-0001 Chapter 3), not hand-edited </w:t>
            </w:r>
            <w:r>
              <w:rPr>
                <w:rFonts w:ascii="Consolas" w:hAnsi="Consolas"/>
                <w:sz w:val="19"/>
              </w:rPr>
              <w:t>.docx</w:t>
            </w:r>
            <w:r>
              <w:rPr>
                <w:sz w:val="19"/>
              </w:rPr>
              <w:t xml:space="preserve"> templates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99 Archive</w:t>
            </w:r>
          </w:p>
        </w:tc>
        <w:tc>
          <w:tcPr>
            <w:tcW w:type="dxa" w:w="691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Superseded material, kept for history via </w:t>
            </w:r>
            <w:r>
              <w:rPr>
                <w:rFonts w:ascii="Consolas" w:hAnsi="Consolas"/>
                <w:sz w:val="19"/>
              </w:rPr>
              <w:t>git mv</w:t>
            </w:r>
            <w:r>
              <w:rPr>
                <w:sz w:val="19"/>
              </w:rPr>
              <w:t xml:space="preserve"> rather than deleted — e.g. </w:t>
            </w:r>
            <w:r>
              <w:rPr>
                <w:rFonts w:ascii="Consolas" w:hAnsi="Consolas"/>
                <w:sz w:val="19"/>
              </w:rPr>
              <w:t>99 Archive/0003A-chatgpt-draft-rev0.1/</w:t>
            </w:r>
          </w:p>
        </w:tc>
      </w:tr>
    </w:tbl>
    <w:p>
      <w:pPr>
        <w:spacing w:after="40"/>
      </w:pPr>
    </w:p>
    <w:p>
      <w:pPr>
        <w:pStyle w:val="Heading1"/>
      </w:pPr>
      <w:r>
        <w:t>Repo-Engineering-Only Material</w:t>
      </w:r>
    </w:p>
    <w:p>
      <w:r>
        <w:t xml:space="preserve">Material that exists to help build/maintain this repository but is not itself part of the published library — pipeline planning notes, recovered project history, audit checklists — lives under </w:t>
      </w:r>
      <w:r>
        <w:rPr>
          <w:rFonts w:ascii="Consolas" w:hAnsi="Consolas"/>
          <w:sz w:val="19"/>
        </w:rPr>
        <w:t>docs/internal/</w:t>
      </w:r>
      <w:r>
        <w:t xml:space="preserve">, per the global KE4CON documentation standard. It is deliberately kept out of the numbered </w:t>
      </w:r>
      <w:r>
        <w:rPr>
          <w:rFonts w:ascii="Consolas" w:hAnsi="Consolas"/>
          <w:sz w:val="19"/>
        </w:rPr>
        <w:t>00</w:t>
      </w:r>
      <w:r>
        <w:t>-</w:t>
      </w:r>
      <w:r>
        <w:rPr>
          <w:rFonts w:ascii="Consolas" w:hAnsi="Consolas"/>
          <w:sz w:val="19"/>
        </w:rPr>
        <w:t>99</w:t>
      </w:r>
      <w:r>
        <w:t xml:space="preserve"> structure so a reader of the library never has to wonder whether a numbered folder holds real content or repo housekeeping.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744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5616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Holds</w:t>
            </w:r>
          </w:p>
        </w:tc>
      </w:tr>
      <w:tr>
        <w:trPr>
          <w:cantSplit/>
        </w:trPr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docs/docs_generators/style.py</w:t>
            </w:r>
          </w:p>
        </w:tc>
        <w:tc>
          <w:tcPr>
            <w:tcW w:type="dxa" w:w="5616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 xml:space="preserve">The one shared house-style renderer, imported by every document's </w:t>
            </w:r>
            <w:r>
              <w:rPr>
                <w:rFonts w:ascii="Consolas" w:hAnsi="Consolas"/>
                <w:sz w:val="19"/>
              </w:rPr>
              <w:t>build.py</w:t>
            </w:r>
            <w:r>
              <w:rPr>
                <w:sz w:val="19"/>
              </w:rPr>
              <w:t xml:space="preserve"> in this repo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docs/internal/</w:t>
            </w:r>
          </w:p>
        </w:tc>
        <w:tc>
          <w:tcPr>
            <w:tcW w:type="dxa" w:w="5616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 xml:space="preserve">Repo-engineering-only material — see </w:t>
            </w:r>
            <w:r>
              <w:rPr>
                <w:rFonts w:ascii="Consolas" w:hAnsi="Consolas"/>
                <w:sz w:val="19"/>
              </w:rPr>
              <w:t>docs/internal/README.md</w:t>
            </w:r>
          </w:p>
        </w:tc>
      </w:tr>
      <w:tr>
        <w:trPr>
          <w:cantSplit/>
        </w:trPr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docs/internal/planning/</w:t>
            </w:r>
          </w:p>
        </w:tc>
        <w:tc>
          <w:tcPr>
            <w:tcW w:type="dxa" w:w="5616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Project history/origin notes, milestone planning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1036" w:hRule="atLeast"/>
        </w:trPr>
        <w:tc>
          <w:tcPr>
            <w:tcW w:type="dxa" w:w="1368"/>
            <w:shd w:val="clear" w:color="auto" w:fill="1F3A5F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60"/>
              </w:rPr>
              <w:t>2</w:t>
            </w:r>
          </w:p>
        </w:tc>
        <w:tc>
          <w:tcPr>
            <w:tcW w:type="dxa" w:w="7992"/>
            <w:shd w:val="clear" w:color="auto" w:fill="EAF0F6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60" w:type="dxa"/>
              <w:start w:w="220" w:type="dxa"/>
              <w:bottom w:w="60" w:type="dxa"/>
              <w:end w:w="140" w:type="dxa"/>
            </w:tcMar>
          </w:tcPr>
          <w:p>
            <w:pPr>
              <w:pStyle w:val="Heading1"/>
              <w:spacing w:after="0"/>
              <w:outlineLvl w:val="0"/>
            </w:pPr>
            <w:r>
              <w:rPr>
                <w:rFonts w:ascii="Segoe UI Semibold" w:hAnsi="Segoe UI Semibold"/>
                <w:b/>
                <w:color w:val="1F3A5F"/>
                <w:sz w:val="44"/>
              </w:rPr>
              <w:t>Revision Control, File Naming &amp; Figure Numbering</w:t>
            </w:r>
          </w:p>
        </w:tc>
      </w:tr>
    </w:tbl>
    <w:p>
      <w:pPr>
        <w:spacing w:before="60" w:after="160"/>
        <w:pBdr>
          <w:bottom w:val="single" w:sz="16" w:space="6" w:color="D9A521"/>
        </w:pBdr>
      </w:pPr>
    </w:p>
    <w:p>
      <w:r>
        <w:rPr>
          <w:i/>
          <w:color w:val="64748B"/>
          <w:sz w:val="23"/>
        </w:rPr>
        <w:t>Keeping the library consistent as it grows past a handful of documents.</w:t>
      </w:r>
    </w:p>
    <w:p>
      <w:pPr>
        <w:spacing w:after="0"/>
      </w:pPr>
    </w:p>
    <w:p>
      <w:pPr>
        <w:spacing w:after="40"/>
      </w:pPr>
      <w:r>
        <w:rPr>
          <w:rFonts w:ascii="Segoe UI Semibold" w:hAnsi="Segoe UI Semibold"/>
          <w:b/>
          <w:color w:val="64748B"/>
          <w:sz w:val="18"/>
        </w:rPr>
        <w:t>IN THIS CHAPTER</w:t>
      </w:r>
    </w:p>
    <w:p>
      <w:pPr>
        <w:spacing w:after="20"/>
        <w:ind w:left="288"/>
      </w:pPr>
      <w:r>
        <w:rPr>
          <w:color w:val="222B38"/>
          <w:sz w:val="20"/>
        </w:rPr>
        <w:t>•  How revisions are tracked (git + a Revision History table, not filename churn for drafts)</w:t>
      </w:r>
    </w:p>
    <w:p>
      <w:pPr>
        <w:spacing w:after="20"/>
        <w:ind w:left="288"/>
      </w:pPr>
      <w:r>
        <w:rPr>
          <w:color w:val="222B38"/>
          <w:sz w:val="20"/>
        </w:rPr>
        <w:t>•  File and folder naming conventions</w:t>
      </w:r>
    </w:p>
    <w:p>
      <w:pPr>
        <w:spacing w:after="20"/>
        <w:ind w:left="288"/>
      </w:pPr>
      <w:r>
        <w:rPr>
          <w:color w:val="222B38"/>
          <w:sz w:val="20"/>
        </w:rPr>
        <w:t>•  Figure, table, and diagram numbering</w:t>
      </w:r>
    </w:p>
    <w:p>
      <w:pPr>
        <w:spacing w:after="40"/>
      </w:pPr>
    </w:p>
    <w:p>
      <w:pPr>
        <w:pStyle w:val="Heading1"/>
      </w:pPr>
      <w:r>
        <w:t>Revision Control</w:t>
      </w:r>
    </w:p>
    <w:p>
      <w:r>
        <w:t>Git is the authoritative revision history for every source file (</w:t>
      </w:r>
      <w:r>
        <w:rPr>
          <w:rFonts w:ascii="Consolas" w:hAnsi="Consolas"/>
          <w:sz w:val="19"/>
        </w:rPr>
        <w:t>.json</w:t>
      </w:r>
      <w:r>
        <w:t xml:space="preserve"> chapters, </w:t>
      </w:r>
      <w:r>
        <w:rPr>
          <w:rFonts w:ascii="Consolas" w:hAnsi="Consolas"/>
          <w:sz w:val="19"/>
        </w:rPr>
        <w:t>.py</w:t>
      </w:r>
      <w:r>
        <w:t xml:space="preserve"> build scripts, </w:t>
      </w:r>
      <w:r>
        <w:rPr>
          <w:rFonts w:ascii="Consolas" w:hAnsi="Consolas"/>
          <w:sz w:val="19"/>
        </w:rPr>
        <w:t>.md</w:t>
      </w:r>
      <w:r>
        <w:t xml:space="preserve">). The </w:t>
      </w:r>
      <w:r>
        <w:rPr>
          <w:b/>
        </w:rPr>
        <w:t>Revision History table</w:t>
      </w:r>
      <w:r>
        <w:t xml:space="preserve"> inside each formal document is the authoritative history for *that document's meaning to a reader* — it should read clearly on its own, without needing </w:t>
      </w:r>
      <w:r>
        <w:rPr>
          <w:rFonts w:ascii="Consolas" w:hAnsi="Consolas"/>
          <w:sz w:val="19"/>
        </w:rPr>
        <w:t>git log</w:t>
      </w:r>
      <w:r>
        <w:t>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>A revision number bumps (</w:t>
      </w:r>
      <w:r>
        <w:rPr>
          <w:rFonts w:ascii="Consolas" w:hAnsi="Consolas"/>
          <w:sz w:val="19"/>
        </w:rPr>
        <w:t>0.1</w:t>
      </w:r>
      <w:r>
        <w:t xml:space="preserve"> → </w:t>
      </w:r>
      <w:r>
        <w:rPr>
          <w:rFonts w:ascii="Consolas" w:hAnsi="Consolas"/>
          <w:sz w:val="19"/>
        </w:rPr>
        <w:t>0.2</w:t>
      </w:r>
      <w:r>
        <w:t xml:space="preserve"> → </w:t>
      </w:r>
      <w:r>
        <w:rPr>
          <w:rFonts w:ascii="Consolas" w:hAnsi="Consolas"/>
          <w:sz w:val="19"/>
        </w:rPr>
        <w:t>1.0</w:t>
      </w:r>
      <w:r>
        <w:t xml:space="preserve">) only when the built </w:t>
      </w:r>
      <w:r>
        <w:rPr>
          <w:rFonts w:ascii="Consolas" w:hAnsi="Consolas"/>
          <w:sz w:val="19"/>
        </w:rPr>
        <w:t>.docx</w:t>
      </w:r>
      <w:r>
        <w:t>/</w:t>
      </w:r>
      <w:r>
        <w:rPr>
          <w:rFonts w:ascii="Consolas" w:hAnsi="Consolas"/>
          <w:sz w:val="19"/>
        </w:rPr>
        <w:t>.md</w:t>
      </w:r>
      <w:r>
        <w:t xml:space="preserve"> actually changes for a reader — not for every commit.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>Whole-number revisions (</w:t>
      </w:r>
      <w:r>
        <w:rPr>
          <w:rFonts w:ascii="Consolas" w:hAnsi="Consolas"/>
          <w:sz w:val="19"/>
        </w:rPr>
        <w:t>1.0</w:t>
      </w:r>
      <w:r>
        <w:t xml:space="preserve">, </w:t>
      </w:r>
      <w:r>
        <w:rPr>
          <w:rFonts w:ascii="Consolas" w:hAnsi="Consolas"/>
          <w:sz w:val="19"/>
        </w:rPr>
        <w:t>2.0</w:t>
      </w:r>
      <w:r>
        <w:t xml:space="preserve">, ...) mark a document reaching </w:t>
      </w:r>
      <w:r>
        <w:rPr>
          <w:b/>
        </w:rPr>
        <w:t>Approved</w:t>
      </w:r>
      <w:r>
        <w:t xml:space="preserve"> status for the first time, or a rewrite substantial enough to treat as a new baseline.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>Decimal revisions (</w:t>
      </w:r>
      <w:r>
        <w:rPr>
          <w:rFonts w:ascii="Consolas" w:hAnsi="Consolas"/>
          <w:sz w:val="19"/>
        </w:rPr>
        <w:t>0.1</w:t>
      </w:r>
      <w:r>
        <w:t xml:space="preserve">, </w:t>
      </w:r>
      <w:r>
        <w:rPr>
          <w:rFonts w:ascii="Consolas" w:hAnsi="Consolas"/>
          <w:sz w:val="19"/>
        </w:rPr>
        <w:t>0.2</w:t>
      </w:r>
      <w:r>
        <w:t>, ...) are drafts and in-progress updates.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>Every revision bump gets one row in the Revision History table: revision, date, author, one-line description, status.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 xml:space="preserve">Superseded formal </w:t>
      </w:r>
      <w:r>
        <w:rPr>
          <w:rFonts w:ascii="Consolas" w:hAnsi="Consolas"/>
          <w:sz w:val="19"/>
        </w:rPr>
        <w:t>.docx</w:t>
      </w:r>
      <w:r>
        <w:t>/</w:t>
      </w:r>
      <w:r>
        <w:rPr>
          <w:rFonts w:ascii="Consolas" w:hAnsi="Consolas"/>
          <w:sz w:val="19"/>
        </w:rPr>
        <w:t>.pdf</w:t>
      </w:r>
      <w:r>
        <w:t>/</w:t>
      </w:r>
      <w:r>
        <w:rPr>
          <w:rFonts w:ascii="Consolas" w:hAnsi="Consolas"/>
          <w:sz w:val="19"/>
        </w:rPr>
        <w:t>.md</w:t>
      </w:r>
      <w:r>
        <w:t xml:space="preserve"> files move to </w:t>
      </w:r>
      <w:r>
        <w:rPr>
          <w:rFonts w:ascii="Consolas" w:hAnsi="Consolas"/>
          <w:sz w:val="19"/>
        </w:rPr>
        <w:t>99 Archive/</w:t>
      </w:r>
      <w:r>
        <w:t xml:space="preserve"> via </w:t>
      </w:r>
      <w:r>
        <w:rPr>
          <w:rFonts w:ascii="Consolas" w:hAnsi="Consolas"/>
          <w:sz w:val="19"/>
        </w:rPr>
        <w:t>git mv</w:t>
      </w:r>
      <w:r>
        <w:t xml:space="preserve"> — never deleted, so the reasoning behind an old revision stays readable.</w:t>
      </w:r>
    </w:p>
    <w:p>
      <w:pPr>
        <w:pStyle w:val="Heading1"/>
      </w:pPr>
      <w:r>
        <w:t>File and Folder Naming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024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What</w:t>
            </w:r>
          </w:p>
        </w:tc>
        <w:tc>
          <w:tcPr>
            <w:tcW w:type="dxa" w:w="3744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Convention</w:t>
            </w:r>
          </w:p>
        </w:tc>
        <w:tc>
          <w:tcPr>
            <w:tcW w:type="dxa" w:w="288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Example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Formal document source folder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&lt;DOC-NUMBER&gt; &lt;Document Title&gt;</w:t>
            </w:r>
            <w:r>
              <w:rPr>
                <w:sz w:val="19"/>
              </w:rPr>
              <w:t xml:space="preserve"> under </w:t>
            </w:r>
            <w:r>
              <w:rPr>
                <w:rFonts w:ascii="Consolas" w:hAnsi="Consolas"/>
                <w:sz w:val="19"/>
              </w:rPr>
              <w:t>00 Engineering</w:t>
            </w:r>
          </w:p>
        </w:tc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AROC-STD-0002 Engineering Standards/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Chapter JSON files</w:t>
            </w:r>
          </w:p>
        </w:tc>
        <w:tc>
          <w:tcPr>
            <w:tcW w:type="dxa" w:w="3744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&lt;2-digit order&gt;-&lt;kebab-case-slug&gt;.json</w:t>
            </w:r>
          </w:p>
        </w:tc>
        <w:tc>
          <w:tcPr>
            <w:tcW w:type="dxa" w:w="28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01-numbering-folders.json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 xml:space="preserve">Built </w:t>
            </w:r>
            <w:r>
              <w:rPr>
                <w:rFonts w:ascii="Consolas" w:hAnsi="Consolas"/>
                <w:sz w:val="19"/>
              </w:rPr>
              <w:t>.docx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.md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&lt;DOC-NUMBER&gt; &lt;Document Title&gt; Rev&lt;Revision&gt;.&lt;ext&gt;</w:t>
            </w:r>
          </w:p>
        </w:tc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AROC-STD-0002 Engineering Standards Rev1.0.docx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Media / palette / template assets</w:t>
            </w:r>
          </w:p>
        </w:tc>
        <w:tc>
          <w:tcPr>
            <w:tcW w:type="dxa" w:w="3744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Project_AROC_&lt;Purpose&gt;.&lt;ext&gt;</w:t>
            </w:r>
            <w:r>
              <w:rPr>
                <w:sz w:val="19"/>
              </w:rPr>
              <w:t xml:space="preserve"> (underscores)</w:t>
            </w:r>
          </w:p>
        </w:tc>
        <w:tc>
          <w:tcPr>
            <w:tcW w:type="dxa" w:w="28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Project_AROC_Color_Palette.json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Archived material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Original filename, unchanged, under a dated sub-folder</w:t>
            </w:r>
          </w:p>
        </w:tc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99 Archive/0003A-chatgpt-draft-rev0.1/...</w:t>
            </w:r>
          </w:p>
        </w:tc>
      </w:tr>
    </w:tbl>
    <w:p>
      <w:pPr>
        <w:spacing w:after="40"/>
      </w:pPr>
    </w:p>
    <w:p>
      <w:pPr>
        <w:pStyle w:val="Heading1"/>
      </w:pPr>
      <w:r>
        <w:t>Figure and Table Numbering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 xml:space="preserve">Figures: </w:t>
      </w:r>
      <w:r>
        <w:rPr>
          <w:rFonts w:ascii="Consolas" w:hAnsi="Consolas"/>
          <w:sz w:val="19"/>
        </w:rPr>
        <w:t>Figure &lt;chapter&gt;-&lt;number&gt;: &lt;caption&gt;</w:t>
      </w:r>
      <w:r>
        <w:t xml:space="preserve"> — numbered per chapter, restarting at each chapter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 xml:space="preserve">Tables: </w:t>
      </w:r>
      <w:r>
        <w:rPr>
          <w:rFonts w:ascii="Consolas" w:hAnsi="Consolas"/>
          <w:sz w:val="19"/>
        </w:rPr>
        <w:t>Table &lt;chapter&gt;-&lt;number&gt;: &lt;caption&gt;</w:t>
      </w:r>
      <w:r>
        <w:t xml:space="preserve"> — same rule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 xml:space="preserve">Diagrams are authored as SVG under </w:t>
      </w:r>
      <w:r>
        <w:rPr>
          <w:rFonts w:ascii="Consolas" w:hAnsi="Consolas"/>
          <w:sz w:val="19"/>
        </w:rPr>
        <w:t>05 Media/diagrams/</w:t>
      </w:r>
      <w:r>
        <w:t xml:space="preserve"> where practical (create that folder when the first diagram is needed) — text-diffable, no binary churn, easy to edit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>Every diagram states its purpose in one sentence directly below its caption — a reader should never have to guess why a diagram exists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pBdr>
        <w:bottom w:val="single" w:sz="6" w:space="2" w:color="1F3A5F"/>
      </w:pBdr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6480"/>
          <w:tcBorders>
            <w:top w:val="nil" w:sz="6" w:space="0" w:color="auto"/>
            <w:left w:val="nil" w:sz="6" w:space="0" w:color="auto"/>
            <w:bottom w:val="nil" w:sz="6" w:space="0" w:color="auto"/>
            <w:right w:val="nil" w:sz="6" w:space="0" w:color="auto"/>
          </w:tcBorders>
        </w:tcPr>
        <w:p>
          <w:pPr>
            <w:spacing w:after="0"/>
          </w:pPr>
          <w:r>
            <w:rPr>
              <w:rFonts w:ascii="Segoe UI" w:hAnsi="Segoe UI"/>
              <w:color w:val="64748B"/>
              <w:sz w:val="16"/>
            </w:rPr>
            <w:t>Project AROC  ·  KE4CON Technical Library and Engineering System</w:t>
          </w:r>
        </w:p>
      </w:tc>
      <w:tc>
        <w:tcPr>
          <w:tcW w:type="dxa" w:w="2880"/>
          <w:tcBorders>
            <w:top w:val="nil" w:sz="6" w:space="0" w:color="auto"/>
            <w:left w:val="nil" w:sz="6" w:space="0" w:color="auto"/>
            <w:bottom w:val="nil" w:sz="6" w:space="0" w:color="auto"/>
            <w:right w:val="nil" w:sz="6" w:space="0" w:color="auto"/>
          </w:tcBorders>
        </w:tcPr>
        <w:p>
          <w:pPr>
            <w:spacing w:after="0"/>
            <w:jc w:val="right"/>
          </w:pPr>
          <w:r>
            <w:rPr>
              <w:rFonts w:ascii="Segoe UI" w:hAnsi="Segoe UI"/>
              <w:color w:val="64748B"/>
              <w:sz w:val="16"/>
            </w:rPr>
            <w:t xml:space="preserve">Page </w:t>
          </w:r>
          <w:r>
            <w:rPr>
              <w:color w:val="64748B"/>
              <w:sz w:val="16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Segoe UI" w:hAnsi="Segoe UI"/>
              <w:color w:val="64748B"/>
              <w:sz w:val="16"/>
            </w:rPr>
            <w:t xml:space="preserve"> of </w:t>
          </w:r>
          <w:r>
            <w:rPr>
              <w:color w:val="64748B"/>
              <w:sz w:val="16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  <w:pBdr>
        <w:bottom w:val="single" w:sz="12" w:space="6" w:color="D9A521"/>
      </w:pBdr>
    </w:pPr>
    <w:r>
      <w:rPr>
        <w:rFonts w:ascii="Segoe UI Semibold" w:hAnsi="Segoe UI Semibold"/>
        <w:color w:val="1F3A5F"/>
        <w:sz w:val="19"/>
      </w:rPr>
      <w:t>Project AROC — Engineering Standards</w:t>
    </w:r>
    <w:r>
      <w:br/>
    </w:r>
    <w:r>
      <w:rPr>
        <w:rFonts w:ascii="Segoe UI" w:hAnsi="Segoe UI"/>
        <w:color w:val="64748B"/>
        <w:sz w:val="16"/>
      </w:rPr>
      <w:t>AROC-STD-0002 · Revision 1.0 · KE4CON Amateur Radio Operations Center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Segoe UI" w:hAnsi="Segoe UI"/>
      <w:color w:val="222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 w:val="0"/>
      <w:bCs/>
      <w:color w:val="1F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Segoe UI Semibold" w:hAnsi="Segoe UI Semibold"/>
      <w:b w:val="0"/>
      <w:bCs/>
      <w:color w:val="2E6DA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