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26" w:space="1" w:color="D9A521"/>
        </w:pBdr>
      </w:pPr>
    </w:p>
    <w:tbl>
      <w:tblPr>
        <w:tblW w:type="auto" w:w="0"/>
        <w:jc w:val="center"/>
        <w:tblLayout w:type="fixed"/>
        <w:tblLook w:firstColumn="1" w:firstRow="1" w:lastColumn="0" w:lastRow="0" w:noHBand="0" w:noVBand="1" w:val="04A0"/>
      </w:tblPr>
      <w:tblGrid>
        <w:gridCol w:w="9360"/>
      </w:tblGrid>
      <w:tr>
        <w:trPr>
          <w:trHeight w:val="11520" w:hRule="atLeast"/>
        </w:trPr>
        <w:tc>
          <w:tcPr>
            <w:tcW w:type="dxa" w:w="9360"/>
            <w:shd w:val="clear" w:color="auto" w:fill="1F3A5F"/>
            <w:tcBorders>
              <w:top w:val="nil" w:sz="6" w:space="0" w:color="auto"/>
              <w:left w:val="nil" w:sz="6" w:space="0" w:color="auto"/>
              <w:bottom w:val="nil" w:sz="6" w:space="0" w:color="auto"/>
              <w:right w:val="nil" w:sz="6" w:space="0" w:color="auto"/>
            </w:tcBorders>
            <w:vAlign w:val="center"/>
            <w:tcMar>
              <w:top w:w="260" w:type="dxa"/>
              <w:start w:w="320" w:type="dxa"/>
              <w:bottom w:w="260" w:type="dxa"/>
              <w:end w:w="320" w:type="dxa"/>
            </w:tcMar>
          </w:tcPr>
          <w:p>
            <w:pPr>
              <w:spacing w:after="40"/>
              <w:jc w:val="center"/>
            </w:pPr>
            <w:r>
              <w:rPr>
                <w:rFonts w:ascii="Segoe UI Semibold" w:hAnsi="Segoe UI Semibold"/>
                <w:color w:val="D9A521"/>
                <w:sz w:val="22"/>
              </w:rPr>
              <w:t>PROJECT AROC</w:t>
            </w:r>
          </w:p>
          <w:p>
            <w:pPr>
              <w:spacing w:before="920" w:after="80"/>
              <w:jc w:val="center"/>
            </w:pPr>
            <w:r>
              <w:rPr>
                <w:rFonts w:ascii="Segoe UI Semibold" w:hAnsi="Segoe UI Semibold"/>
                <w:b/>
                <w:color w:val="FFFFFF"/>
                <w:sz w:val="92"/>
              </w:rPr>
              <w:t>Project AROC</w:t>
            </w:r>
          </w:p>
          <w:p>
            <w:pPr>
              <w:spacing w:before="0" w:after="240"/>
              <w:jc w:val="center"/>
            </w:pPr>
            <w:r>
              <w:rPr>
                <w:rFonts w:ascii="Segoe UI Semibold" w:hAnsi="Segoe UI Semibold"/>
                <w:b w:val="0"/>
                <w:color w:val="D9A521"/>
                <w:sz w:val="32"/>
              </w:rPr>
              <w:t>Project AROC Publishing Standard   Approved for Review</w:t>
            </w:r>
          </w:p>
          <w:p>
            <w:pPr>
              <w:spacing w:before="0" w:after="280"/>
              <w:jc w:val="center"/>
              <w:pBdr>
                <w:bottom w:val="single" w:sz="12" w:space="6" w:color="D9A521"/>
              </w:pBdr>
            </w:pPr>
          </w:p>
          <w:p>
            <w:pPr>
              <w:spacing w:before="0" w:after="120"/>
              <w:jc w:val="center"/>
            </w:pPr>
            <w:r>
              <w:rPr>
                <w:rFonts w:ascii="Segoe UI Semibold" w:hAnsi="Segoe UI Semibold"/>
                <w:b/>
                <w:color w:val="FFFFFF"/>
                <w:sz w:val="48"/>
              </w:rPr>
              <w:t>AROC-STD-0001  ·  REV 0.2</w:t>
            </w:r>
          </w:p>
          <w:p>
            <w:pPr>
              <w:spacing w:before="520" w:after="240"/>
              <w:jc w:val="center"/>
            </w:pPr>
            <w:r>
              <w:rPr>
                <w:rFonts w:ascii="Segoe UI" w:hAnsi="Segoe UI"/>
                <w:b w:val="0"/>
                <w:color w:val="C7D6E8"/>
                <w:sz w:val="21"/>
              </w:rPr>
              <w:t>Build with Purpose. Document with Precision. Learn without End.</w:t>
            </w:r>
          </w:p>
          <w:p>
            <w:pPr>
              <w:spacing w:before="0" w:after="40"/>
              <w:jc w:val="center"/>
            </w:pPr>
            <w:r>
              <w:rPr>
                <w:rFonts w:ascii="Segoe UI Semibold" w:hAnsi="Segoe UI Semibold"/>
                <w:b/>
                <w:color w:val="FFFFFF"/>
                <w:sz w:val="24"/>
              </w:rPr>
              <w:t>James  ·  KE4CON</w:t>
            </w:r>
          </w:p>
          <w:p>
            <w:pPr>
              <w:spacing w:before="40" w:after="0"/>
              <w:jc w:val="center"/>
            </w:pPr>
            <w:r>
              <w:rPr>
                <w:rFonts w:ascii="Segoe UI" w:hAnsi="Segoe UI"/>
                <w:b w:val="0"/>
                <w:color w:val="9FB3CC"/>
                <w:sz w:val="20"/>
              </w:rPr>
              <w:t>August 25, 2026</w:t>
            </w:r>
          </w:p>
        </w:tc>
      </w:tr>
    </w:tbl>
    <w:p>
      <w:pPr>
        <w:spacing w:after="0"/>
      </w:pPr>
    </w:p>
    <w:p>
      <w:pPr>
        <w:pStyle w:val="Heading1"/>
        <w:outlineLvl w:val="0"/>
      </w:pPr>
      <w:r>
        <w:rPr>
          <w:rFonts w:ascii="Segoe UI Semibold" w:hAnsi="Segoe UI Semibold"/>
          <w:color w:val="1F3A5F"/>
          <w:sz w:val="48"/>
        </w:rPr>
        <w:t>Document Control</w:t>
      </w:r>
    </w:p>
    <w:p>
      <w:pPr>
        <w:pBdr>
          <w:bottom w:val="single" w:sz="12" w:space="8" w:color="1F3A5F"/>
        </w:pBdr>
      </w:pP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8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64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Value</w:t>
            </w:r>
          </w:p>
        </w:tc>
      </w:tr>
      <w:tr>
        <w:trPr>
          <w:cantSplit/>
        </w:trPr>
        <w:tc>
          <w:tcPr>
            <w:tcW w:type="dxa" w:w="2880"/>
            <w:tcMar>
              <w:top w:w="60" w:type="dxa"/>
              <w:start w:w="120" w:type="dxa"/>
              <w:bottom w:w="60" w:type="dxa"/>
              <w:end w:w="120" w:type="dxa"/>
            </w:tcMar>
          </w:tcPr>
          <w:p>
            <w:pPr>
              <w:spacing w:after="0"/>
              <w:keepNext/>
              <w:keepLines/>
            </w:pPr>
            <w:r>
              <w:rPr>
                <w:sz w:val="19"/>
              </w:rPr>
              <w:t>Document Number</w:t>
            </w:r>
          </w:p>
        </w:tc>
        <w:tc>
          <w:tcPr>
            <w:tcW w:type="dxa" w:w="6480"/>
            <w:tcMar>
              <w:top w:w="60" w:type="dxa"/>
              <w:start w:w="120" w:type="dxa"/>
              <w:bottom w:w="60" w:type="dxa"/>
              <w:end w:w="120" w:type="dxa"/>
            </w:tcMar>
          </w:tcPr>
          <w:p>
            <w:pPr>
              <w:spacing w:after="0"/>
              <w:keepNext/>
              <w:keepLines/>
            </w:pPr>
            <w:r>
              <w:rPr>
                <w:sz w:val="19"/>
              </w:rPr>
              <w:t>AROC-STD-0001</w:t>
            </w:r>
          </w:p>
        </w:tc>
      </w:tr>
      <w:tr>
        <w:trPr>
          <w:cantSplit/>
        </w:trPr>
        <w:tc>
          <w:tcPr>
            <w:tcW w:type="dxa" w:w="2880"/>
            <w:shd w:val="clear" w:color="auto" w:fill="F3F6FA"/>
            <w:tcMar>
              <w:top w:w="60" w:type="dxa"/>
              <w:start w:w="120" w:type="dxa"/>
              <w:bottom w:w="60" w:type="dxa"/>
              <w:end w:w="120" w:type="dxa"/>
            </w:tcMar>
          </w:tcPr>
          <w:p>
            <w:pPr>
              <w:spacing w:after="0"/>
              <w:keepNext/>
              <w:keepLines/>
            </w:pPr>
            <w:r>
              <w:rPr>
                <w:sz w:val="19"/>
              </w:rPr>
              <w:t>Title</w:t>
            </w:r>
          </w:p>
        </w:tc>
        <w:tc>
          <w:tcPr>
            <w:tcW w:type="dxa" w:w="6480"/>
            <w:shd w:val="clear" w:color="auto" w:fill="F3F6FA"/>
            <w:tcMar>
              <w:top w:w="60" w:type="dxa"/>
              <w:start w:w="120" w:type="dxa"/>
              <w:bottom w:w="60" w:type="dxa"/>
              <w:end w:w="120" w:type="dxa"/>
            </w:tcMar>
          </w:tcPr>
          <w:p>
            <w:pPr>
              <w:spacing w:after="0"/>
              <w:keepNext/>
              <w:keepLines/>
            </w:pPr>
            <w:r>
              <w:rPr>
                <w:sz w:val="19"/>
              </w:rPr>
              <w:t>Project AROC Publishing Standard</w:t>
            </w:r>
          </w:p>
        </w:tc>
      </w:tr>
      <w:tr>
        <w:trPr>
          <w:cantSplit/>
        </w:trPr>
        <w:tc>
          <w:tcPr>
            <w:tcW w:type="dxa" w:w="2880"/>
            <w:tcMar>
              <w:top w:w="60" w:type="dxa"/>
              <w:start w:w="120" w:type="dxa"/>
              <w:bottom w:w="60" w:type="dxa"/>
              <w:end w:w="120" w:type="dxa"/>
            </w:tcMar>
          </w:tcPr>
          <w:p>
            <w:pPr>
              <w:spacing w:after="0"/>
              <w:keepNext/>
              <w:keepLines/>
            </w:pPr>
            <w:r>
              <w:rPr>
                <w:sz w:val="19"/>
              </w:rPr>
              <w:t>Revision</w:t>
            </w:r>
          </w:p>
        </w:tc>
        <w:tc>
          <w:tcPr>
            <w:tcW w:type="dxa" w:w="6480"/>
            <w:tcMar>
              <w:top w:w="60" w:type="dxa"/>
              <w:start w:w="120" w:type="dxa"/>
              <w:bottom w:w="60" w:type="dxa"/>
              <w:end w:w="120" w:type="dxa"/>
            </w:tcMar>
          </w:tcPr>
          <w:p>
            <w:pPr>
              <w:spacing w:after="0"/>
              <w:keepNext/>
              <w:keepLines/>
            </w:pPr>
            <w:r>
              <w:rPr>
                <w:sz w:val="19"/>
              </w:rPr>
              <w:t>0.2</w:t>
            </w:r>
          </w:p>
        </w:tc>
      </w:tr>
      <w:tr>
        <w:trPr>
          <w:cantSplit/>
        </w:trPr>
        <w:tc>
          <w:tcPr>
            <w:tcW w:type="dxa" w:w="2880"/>
            <w:shd w:val="clear" w:color="auto" w:fill="F3F6FA"/>
            <w:tcMar>
              <w:top w:w="60" w:type="dxa"/>
              <w:start w:w="120" w:type="dxa"/>
              <w:bottom w:w="60" w:type="dxa"/>
              <w:end w:w="120" w:type="dxa"/>
            </w:tcMar>
          </w:tcPr>
          <w:p>
            <w:pPr>
              <w:spacing w:after="0"/>
              <w:keepNext/>
              <w:keepLines/>
            </w:pPr>
            <w:r>
              <w:rPr>
                <w:sz w:val="19"/>
              </w:rPr>
              <w:t>Status</w:t>
            </w:r>
          </w:p>
        </w:tc>
        <w:tc>
          <w:tcPr>
            <w:tcW w:type="dxa" w:w="6480"/>
            <w:shd w:val="clear" w:color="auto" w:fill="F3F6FA"/>
            <w:tcMar>
              <w:top w:w="60" w:type="dxa"/>
              <w:start w:w="120" w:type="dxa"/>
              <w:bottom w:w="60" w:type="dxa"/>
              <w:end w:w="120" w:type="dxa"/>
            </w:tcMar>
          </w:tcPr>
          <w:p>
            <w:pPr>
              <w:spacing w:after="0"/>
              <w:keepNext/>
              <w:keepLines/>
            </w:pPr>
            <w:r>
              <w:rPr>
                <w:sz w:val="19"/>
              </w:rPr>
              <w:t>Approved</w:t>
            </w:r>
          </w:p>
        </w:tc>
      </w:tr>
      <w:tr>
        <w:trPr>
          <w:cantSplit/>
        </w:trPr>
        <w:tc>
          <w:tcPr>
            <w:tcW w:type="dxa" w:w="2880"/>
            <w:tcMar>
              <w:top w:w="60" w:type="dxa"/>
              <w:start w:w="120" w:type="dxa"/>
              <w:bottom w:w="60" w:type="dxa"/>
              <w:end w:w="120" w:type="dxa"/>
            </w:tcMar>
          </w:tcPr>
          <w:p>
            <w:pPr>
              <w:spacing w:after="0"/>
              <w:keepNext/>
              <w:keepLines/>
            </w:pPr>
            <w:r>
              <w:rPr>
                <w:sz w:val="19"/>
              </w:rPr>
              <w:t>Owner</w:t>
            </w:r>
          </w:p>
        </w:tc>
        <w:tc>
          <w:tcPr>
            <w:tcW w:type="dxa" w:w="6480"/>
            <w:tcMar>
              <w:top w:w="60" w:type="dxa"/>
              <w:start w:w="120" w:type="dxa"/>
              <w:bottom w:w="60" w:type="dxa"/>
              <w:end w:w="120" w:type="dxa"/>
            </w:tcMar>
          </w:tcPr>
          <w:p>
            <w:pPr>
              <w:spacing w:after="0"/>
              <w:keepNext/>
              <w:keepLines/>
            </w:pPr>
            <w:r>
              <w:rPr>
                <w:sz w:val="19"/>
              </w:rPr>
              <w:t>James / KE4CON</w:t>
            </w:r>
          </w:p>
        </w:tc>
      </w:tr>
      <w:tr>
        <w:trPr>
          <w:cantSplit/>
        </w:trPr>
        <w:tc>
          <w:tcPr>
            <w:tcW w:type="dxa" w:w="2880"/>
            <w:shd w:val="clear" w:color="auto" w:fill="F3F6FA"/>
            <w:tcMar>
              <w:top w:w="60" w:type="dxa"/>
              <w:start w:w="120" w:type="dxa"/>
              <w:bottom w:w="60" w:type="dxa"/>
              <w:end w:w="120" w:type="dxa"/>
            </w:tcMar>
          </w:tcPr>
          <w:p>
            <w:pPr>
              <w:spacing w:after="0"/>
              <w:keepNext/>
              <w:keepLines/>
            </w:pPr>
            <w:r>
              <w:rPr>
                <w:sz w:val="19"/>
              </w:rPr>
              <w:t>Technical Author</w:t>
            </w:r>
          </w:p>
        </w:tc>
        <w:tc>
          <w:tcPr>
            <w:tcW w:type="dxa" w:w="6480"/>
            <w:shd w:val="clear" w:color="auto" w:fill="F3F6FA"/>
            <w:tcMar>
              <w:top w:w="60" w:type="dxa"/>
              <w:start w:w="120" w:type="dxa"/>
              <w:bottom w:w="60" w:type="dxa"/>
              <w:end w:w="120" w:type="dxa"/>
            </w:tcMar>
          </w:tcPr>
          <w:p>
            <w:pPr>
              <w:spacing w:after="0"/>
              <w:keepNext/>
              <w:keepLines/>
            </w:pPr>
            <w:r>
              <w:rPr>
                <w:sz w:val="19"/>
              </w:rPr>
              <w:t>Claude (Claude Code)</w:t>
            </w:r>
          </w:p>
        </w:tc>
      </w:tr>
      <w:tr>
        <w:trPr>
          <w:cantSplit/>
        </w:trPr>
        <w:tc>
          <w:tcPr>
            <w:tcW w:type="dxa" w:w="2880"/>
            <w:tcMar>
              <w:top w:w="60" w:type="dxa"/>
              <w:start w:w="120" w:type="dxa"/>
              <w:bottom w:w="60" w:type="dxa"/>
              <w:end w:w="120" w:type="dxa"/>
            </w:tcMar>
          </w:tcPr>
          <w:p>
            <w:pPr>
              <w:spacing w:after="0"/>
            </w:pPr>
            <w:r>
              <w:rPr>
                <w:sz w:val="19"/>
              </w:rPr>
              <w:t>Applies To</w:t>
            </w:r>
          </w:p>
        </w:tc>
        <w:tc>
          <w:tcPr>
            <w:tcW w:type="dxa" w:w="6480"/>
            <w:tcMar>
              <w:top w:w="60" w:type="dxa"/>
              <w:start w:w="120" w:type="dxa"/>
              <w:bottom w:w="60" w:type="dxa"/>
              <w:end w:w="120" w:type="dxa"/>
            </w:tcMar>
          </w:tcPr>
          <w:p>
            <w:pPr>
              <w:spacing w:after="0"/>
            </w:pPr>
            <w:r>
              <w:rPr>
                <w:sz w:val="19"/>
              </w:rPr>
              <w:t>Project AROC Technical Library and Engineering Documentation</w:t>
            </w:r>
          </w:p>
        </w:tc>
      </w:tr>
    </w:tbl>
    <w:p>
      <w:pPr>
        <w:spacing w:after="40"/>
      </w:pPr>
    </w:p>
    <w:p>
      <w:pPr>
        <w:pStyle w:val="Heading1"/>
        <w:outlineLvl w:val="0"/>
      </w:pPr>
      <w:r>
        <w:rPr>
          <w:rFonts w:ascii="Segoe UI Semibold" w:hAnsi="Segoe UI Semibold"/>
          <w:color w:val="1F3A5F"/>
          <w:sz w:val="48"/>
        </w:rPr>
        <w:t>Revision History</w:t>
      </w:r>
    </w:p>
    <w:p>
      <w:pPr>
        <w:pBdr>
          <w:bottom w:val="single" w:sz="12" w:space="8" w:color="1F3A5F"/>
        </w:pBdr>
      </w:pP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1872"/>
        <w:gridCol w:w="1872"/>
        <w:gridCol w:w="1872"/>
        <w:gridCol w:w="1872"/>
        <w:gridCol w:w="1872"/>
      </w:tblGrid>
      <w:tr>
        <w:trPr>
          <w:cantSplit/>
          <w:tblHeader/>
        </w:trPr>
        <w:tc>
          <w:tcPr>
            <w:tcW w:type="dxa" w:w="86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Rev</w:t>
            </w:r>
          </w:p>
        </w:tc>
        <w:tc>
          <w:tcPr>
            <w:tcW w:type="dxa" w:w="158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Date</w:t>
            </w:r>
          </w:p>
        </w:tc>
        <w:tc>
          <w:tcPr>
            <w:tcW w:type="dxa" w:w="216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Author</w:t>
            </w:r>
          </w:p>
        </w:tc>
        <w:tc>
          <w:tcPr>
            <w:tcW w:type="dxa" w:w="388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Description</w:t>
            </w:r>
          </w:p>
        </w:tc>
        <w:tc>
          <w:tcPr>
            <w:tcW w:type="dxa" w:w="129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Status</w:t>
            </w:r>
          </w:p>
        </w:tc>
      </w:tr>
      <w:tr>
        <w:trPr>
          <w:cantSplit/>
        </w:trPr>
        <w:tc>
          <w:tcPr>
            <w:tcW w:type="dxa" w:w="864"/>
            <w:tcMar>
              <w:top w:w="60" w:type="dxa"/>
              <w:start w:w="120" w:type="dxa"/>
              <w:bottom w:w="60" w:type="dxa"/>
              <w:end w:w="120" w:type="dxa"/>
            </w:tcMar>
          </w:tcPr>
          <w:p>
            <w:pPr>
              <w:spacing w:after="0"/>
              <w:keepNext/>
              <w:keepLines/>
            </w:pPr>
            <w:r>
              <w:rPr>
                <w:sz w:val="19"/>
              </w:rPr>
              <w:t>0.1</w:t>
            </w:r>
          </w:p>
        </w:tc>
        <w:tc>
          <w:tcPr>
            <w:tcW w:type="dxa" w:w="1584"/>
            <w:tcMar>
              <w:top w:w="60" w:type="dxa"/>
              <w:start w:w="120" w:type="dxa"/>
              <w:bottom w:w="60" w:type="dxa"/>
              <w:end w:w="120" w:type="dxa"/>
            </w:tcMar>
          </w:tcPr>
          <w:p>
            <w:pPr>
              <w:spacing w:after="0"/>
              <w:keepNext/>
              <w:keepLines/>
            </w:pPr>
            <w:r>
              <w:rPr>
                <w:sz w:val="19"/>
              </w:rPr>
              <w:t>2026-06-30</w:t>
            </w:r>
          </w:p>
        </w:tc>
        <w:tc>
          <w:tcPr>
            <w:tcW w:type="dxa" w:w="2160"/>
            <w:tcMar>
              <w:top w:w="60" w:type="dxa"/>
              <w:start w:w="120" w:type="dxa"/>
              <w:bottom w:w="60" w:type="dxa"/>
              <w:end w:w="120" w:type="dxa"/>
            </w:tcMar>
          </w:tcPr>
          <w:p>
            <w:pPr>
              <w:spacing w:after="0"/>
              <w:keepNext/>
              <w:keepLines/>
            </w:pPr>
            <w:r>
              <w:rPr>
                <w:sz w:val="19"/>
              </w:rPr>
              <w:t>ChatGPT</w:t>
            </w:r>
          </w:p>
        </w:tc>
        <w:tc>
          <w:tcPr>
            <w:tcW w:type="dxa" w:w="3888"/>
            <w:tcMar>
              <w:top w:w="60" w:type="dxa"/>
              <w:start w:w="120" w:type="dxa"/>
              <w:bottom w:w="60" w:type="dxa"/>
              <w:end w:w="120" w:type="dxa"/>
            </w:tcMar>
          </w:tcPr>
          <w:p>
            <w:pPr>
              <w:spacing w:after="0"/>
              <w:keepNext/>
              <w:keepLines/>
            </w:pPr>
            <w:r>
              <w:rPr>
                <w:sz w:val="19"/>
              </w:rPr>
              <w:t>Initial Milestone 0003A publication framework draft (navy/blue identity)</w:t>
            </w:r>
          </w:p>
        </w:tc>
        <w:tc>
          <w:tcPr>
            <w:tcW w:type="dxa" w:w="1296"/>
            <w:tcMar>
              <w:top w:w="60" w:type="dxa"/>
              <w:start w:w="120" w:type="dxa"/>
              <w:bottom w:w="60" w:type="dxa"/>
              <w:end w:w="120" w:type="dxa"/>
            </w:tcMar>
          </w:tcPr>
          <w:p>
            <w:pPr>
              <w:spacing w:after="0"/>
              <w:keepNext/>
              <w:keepLines/>
            </w:pPr>
            <w:r>
              <w:rPr>
                <w:sz w:val="19"/>
              </w:rPr>
              <w:t>Superseded</w:t>
            </w:r>
          </w:p>
        </w:tc>
      </w:tr>
      <w:tr>
        <w:trPr>
          <w:cantSplit/>
        </w:trPr>
        <w:tc>
          <w:tcPr>
            <w:tcW w:type="dxa" w:w="864"/>
            <w:shd w:val="clear" w:color="auto" w:fill="F3F6FA"/>
            <w:tcMar>
              <w:top w:w="60" w:type="dxa"/>
              <w:start w:w="120" w:type="dxa"/>
              <w:bottom w:w="60" w:type="dxa"/>
              <w:end w:w="120" w:type="dxa"/>
            </w:tcMar>
          </w:tcPr>
          <w:p>
            <w:pPr>
              <w:spacing w:after="0"/>
            </w:pPr>
            <w:r>
              <w:rPr>
                <w:sz w:val="19"/>
              </w:rPr>
              <w:t>0.2</w:t>
            </w:r>
          </w:p>
        </w:tc>
        <w:tc>
          <w:tcPr>
            <w:tcW w:type="dxa" w:w="1584"/>
            <w:shd w:val="clear" w:color="auto" w:fill="F3F6FA"/>
            <w:tcMar>
              <w:top w:w="60" w:type="dxa"/>
              <w:start w:w="120" w:type="dxa"/>
              <w:bottom w:w="60" w:type="dxa"/>
              <w:end w:w="120" w:type="dxa"/>
            </w:tcMar>
          </w:tcPr>
          <w:p>
            <w:pPr>
              <w:spacing w:after="0"/>
            </w:pPr>
            <w:r>
              <w:rPr>
                <w:sz w:val="19"/>
              </w:rPr>
              <w:t>2026-08-25</w:t>
            </w:r>
          </w:p>
        </w:tc>
        <w:tc>
          <w:tcPr>
            <w:tcW w:type="dxa" w:w="2160"/>
            <w:shd w:val="clear" w:color="auto" w:fill="F3F6FA"/>
            <w:tcMar>
              <w:top w:w="60" w:type="dxa"/>
              <w:start w:w="120" w:type="dxa"/>
              <w:bottom w:w="60" w:type="dxa"/>
              <w:end w:w="120" w:type="dxa"/>
            </w:tcMar>
          </w:tcPr>
          <w:p>
            <w:pPr>
              <w:spacing w:after="0"/>
            </w:pPr>
            <w:r>
              <w:rPr>
                <w:sz w:val="19"/>
              </w:rPr>
              <w:t>Claude (Claude Code)</w:t>
            </w:r>
          </w:p>
        </w:tc>
        <w:tc>
          <w:tcPr>
            <w:tcW w:type="dxa" w:w="3888"/>
            <w:shd w:val="clear" w:color="auto" w:fill="F3F6FA"/>
            <w:tcMar>
              <w:top w:w="60" w:type="dxa"/>
              <w:start w:w="120" w:type="dxa"/>
              <w:bottom w:w="60" w:type="dxa"/>
              <w:end w:w="120" w:type="dxa"/>
            </w:tcMar>
          </w:tcPr>
          <w:p>
            <w:pPr>
              <w:spacing w:after="0"/>
            </w:pPr>
            <w:r>
              <w:rPr>
                <w:sz w:val="19"/>
              </w:rPr>
              <w:t>Migrated to the Claude Code per-chapter JSON pipeline; adopted the shared KE4CON navy+gold house style; folded in AROC-STD-0002 cross-references</w:t>
            </w:r>
          </w:p>
        </w:tc>
        <w:tc>
          <w:tcPr>
            <w:tcW w:type="dxa" w:w="1296"/>
            <w:shd w:val="clear" w:color="auto" w:fill="F3F6FA"/>
            <w:tcMar>
              <w:top w:w="60" w:type="dxa"/>
              <w:start w:w="120" w:type="dxa"/>
              <w:bottom w:w="60" w:type="dxa"/>
              <w:end w:w="120" w:type="dxa"/>
            </w:tcMar>
          </w:tcPr>
          <w:p>
            <w:pPr>
              <w:spacing w:after="0"/>
            </w:pPr>
            <w:r>
              <w:rPr>
                <w:sz w:val="19"/>
              </w:rPr>
              <w:t>Approved</w:t>
            </w:r>
          </w:p>
        </w:tc>
      </w:tr>
    </w:tbl>
    <w:p>
      <w:pPr>
        <w:spacing w:after="40"/>
      </w:pPr>
    </w:p>
    <w:p>
      <w:pPr>
        <w:pStyle w:val="Heading1"/>
        <w:outlineLvl w:val="0"/>
      </w:pPr>
      <w:r>
        <w:rPr>
          <w:rFonts w:ascii="Segoe UI Semibold" w:hAnsi="Segoe UI Semibold"/>
          <w:color w:val="1F3A5F"/>
          <w:sz w:val="48"/>
        </w:rPr>
        <w:t>Contents</w:t>
      </w:r>
    </w:p>
    <w:p>
      <w:pPr>
        <w:pBdr>
          <w:bottom w:val="single" w:sz="12" w:space="8" w:color="1F3A5F"/>
        </w:pBdr>
      </w:pPr>
    </w:p>
    <w:p>
      <w:r>
        <w:fldChar w:fldCharType="begin"/>
        <w:instrText xml:space="preserve">TOC \o "1-2" \h \z \u</w:instrText>
        <w:fldChar w:fldCharType="separate"/>
        <w:fldChar w:fldCharType="end"/>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Purpose, Scope &amp; Document Structure</w:t>
            </w:r>
          </w:p>
        </w:tc>
      </w:tr>
    </w:tbl>
    <w:p>
      <w:pPr>
        <w:spacing w:before="60" w:after="160"/>
        <w:pBdr>
          <w:bottom w:val="single" w:sz="16" w:space="6" w:color="D9A521"/>
        </w:pBdr>
      </w:pPr>
    </w:p>
    <w:p>
      <w:r>
        <w:rPr>
          <w:i/>
          <w:color w:val="64748B"/>
          <w:sz w:val="23"/>
        </w:rPr>
        <w:t>Why Project AROC has a publishing standard, and what every formal document must contain.</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this standard governs and why it exists</w:t>
      </w:r>
    </w:p>
    <w:p>
      <w:pPr>
        <w:spacing w:after="20"/>
        <w:ind w:left="288"/>
      </w:pPr>
      <w:r>
        <w:rPr>
          <w:color w:val="222B38"/>
          <w:sz w:val="20"/>
        </w:rPr>
        <w:t>•  The required structure for every formal Project AROC document</w:t>
      </w:r>
    </w:p>
    <w:p>
      <w:pPr>
        <w:spacing w:after="20"/>
        <w:ind w:left="288"/>
      </w:pPr>
      <w:r>
        <w:rPr>
          <w:color w:val="222B38"/>
          <w:sz w:val="20"/>
        </w:rPr>
        <w:t>•  Document numbering and status labels</w:t>
      </w:r>
    </w:p>
    <w:p>
      <w:pPr>
        <w:spacing w:after="40"/>
      </w:pPr>
    </w:p>
    <w:p>
      <w:pPr>
        <w:pStyle w:val="Heading1"/>
      </w:pPr>
      <w:r>
        <w:t>Purpose and Scope</w:t>
      </w:r>
    </w:p>
    <w:p>
      <w:r>
        <w:t xml:space="preserve">This standard defines the official publishing system for Project AROC. It exists so every future Project AROC document looks, reads, and behaves like part of one coherent professional engineering library rather than a collection of unrelated files — whether that document is an installation guide, a network diagram set, an operations runbook, or a piece of the technical library (Books 0-10, see the repository </w:t>
      </w:r>
      <w:r>
        <w:rPr>
          <w:rFonts w:ascii="Consolas" w:hAnsi="Consolas"/>
          <w:sz w:val="19"/>
        </w:rPr>
        <w:t>README.md</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ENGINEERING NOTE   </w:t>
            </w:r>
            <w:r>
              <w:rPr>
                <w:color w:val="222B38"/>
              </w:rPr>
              <w:t>The publishing framework is treated as infrastructure. Just as a Raspberry Pi, a switch, and network cabling support the technical system, this publishing framework supports the documentation system. A consistent document system reduces confusion, makes updates easier, and lets the Project AROC library grow for years without losing organization.</w:t>
            </w:r>
          </w:p>
        </w:tc>
      </w:tr>
    </w:tbl>
    <w:p>
      <w:pPr>
        <w:spacing w:after="80"/>
      </w:pPr>
    </w:p>
    <w:p>
      <w:pPr>
        <w:pStyle w:val="Heading1"/>
      </w:pPr>
      <w:r>
        <w:t>Standard Document Structure</w:t>
      </w:r>
    </w:p>
    <w:p>
      <w:r>
        <w:t>Every formal Project AROC publication shall use the following structure unless the document type makes a section unnecessary:</w:t>
      </w:r>
    </w:p>
    <w:p>
      <w:pPr>
        <w:tabs>
          <w:tab w:pos="547" w:val="left"/>
        </w:tabs>
        <w:spacing w:after="80"/>
        <w:ind w:left="547" w:hanging="288"/>
      </w:pPr>
      <w:r>
        <w:rPr>
          <w:color w:val="2E6DA4"/>
        </w:rPr>
        <w:t>▪</w:t>
        <w:tab/>
      </w:r>
      <w:r>
        <w:t>Cover page</w:t>
      </w:r>
    </w:p>
    <w:p>
      <w:pPr>
        <w:tabs>
          <w:tab w:pos="547" w:val="left"/>
        </w:tabs>
        <w:spacing w:after="80"/>
        <w:ind w:left="547" w:hanging="288"/>
      </w:pPr>
      <w:r>
        <w:rPr>
          <w:color w:val="2E6DA4"/>
        </w:rPr>
        <w:t>▪</w:t>
        <w:tab/>
      </w:r>
      <w:r>
        <w:t>Document control page (owner, author, status, applicability)</w:t>
      </w:r>
    </w:p>
    <w:p>
      <w:pPr>
        <w:tabs>
          <w:tab w:pos="547" w:val="left"/>
        </w:tabs>
        <w:spacing w:after="80"/>
        <w:ind w:left="547" w:hanging="288"/>
      </w:pPr>
      <w:r>
        <w:rPr>
          <w:color w:val="2E6DA4"/>
        </w:rPr>
        <w:t>▪</w:t>
        <w:tab/>
      </w:r>
      <w:r>
        <w:t>Revision history page</w:t>
      </w:r>
    </w:p>
    <w:p>
      <w:pPr>
        <w:tabs>
          <w:tab w:pos="547" w:val="left"/>
        </w:tabs>
        <w:spacing w:after="80"/>
        <w:ind w:left="547" w:hanging="288"/>
      </w:pPr>
      <w:r>
        <w:rPr>
          <w:color w:val="2E6DA4"/>
        </w:rPr>
        <w:t>▪</w:t>
        <w:tab/>
      </w:r>
      <w:r>
        <w:t>Table of contents</w:t>
      </w:r>
    </w:p>
    <w:p>
      <w:pPr>
        <w:tabs>
          <w:tab w:pos="547" w:val="left"/>
        </w:tabs>
        <w:spacing w:after="80"/>
        <w:ind w:left="547" w:hanging="288"/>
      </w:pPr>
      <w:r>
        <w:rPr>
          <w:color w:val="2E6DA4"/>
        </w:rPr>
        <w:t>▪</w:t>
        <w:tab/>
      </w:r>
      <w:r>
        <w:t>Main body, organized into numbered chapters</w:t>
      </w:r>
    </w:p>
    <w:p>
      <w:pPr>
        <w:tabs>
          <w:tab w:pos="547" w:val="left"/>
        </w:tabs>
        <w:spacing w:after="80"/>
        <w:ind w:left="547" w:hanging="288"/>
      </w:pPr>
      <w:r>
        <w:rPr>
          <w:color w:val="2E6DA4"/>
        </w:rPr>
        <w:t>▪</w:t>
        <w:tab/>
      </w:r>
      <w:r>
        <w:t>Appendices, if applicable</w:t>
      </w:r>
    </w:p>
    <w:p>
      <w:pPr>
        <w:tabs>
          <w:tab w:pos="547" w:val="left"/>
        </w:tabs>
        <w:spacing w:after="80"/>
        <w:ind w:left="547" w:hanging="288"/>
      </w:pPr>
      <w:r>
        <w:rPr>
          <w:color w:val="2E6DA4"/>
        </w:rPr>
        <w:t>▪</w:t>
        <w:tab/>
      </w:r>
      <w:r>
        <w:t>Glossary, if applicable</w:t>
      </w:r>
    </w:p>
    <w:p>
      <w:pPr>
        <w:tabs>
          <w:tab w:pos="547" w:val="left"/>
        </w:tabs>
        <w:spacing w:after="80"/>
        <w:ind w:left="547" w:hanging="288"/>
      </w:pPr>
      <w:r>
        <w:rPr>
          <w:color w:val="2E6DA4"/>
        </w:rPr>
        <w:t>▪</w:t>
        <w:tab/>
      </w:r>
      <w:r>
        <w:t>Index, if applicable</w:t>
      </w:r>
    </w:p>
    <w:p>
      <w:pPr>
        <w:pStyle w:val="Heading1"/>
      </w:pPr>
      <w:r>
        <w:t>Document Numbering</w:t>
      </w:r>
    </w:p>
    <w:p>
      <w:r>
        <w:t xml:space="preserve">Every formal document carries a document number in the form </w:t>
      </w:r>
      <w:r>
        <w:rPr>
          <w:rFonts w:ascii="Consolas" w:hAnsi="Consolas"/>
          <w:sz w:val="19"/>
        </w:rPr>
        <w:t>AROC-&lt;TYPE&gt;-&lt;NUMBER&gt;</w:t>
      </w:r>
      <w:r>
        <w:t xml:space="preserve">, where </w:t>
      </w:r>
      <w:r>
        <w:rPr>
          <w:rFonts w:ascii="Consolas" w:hAnsi="Consolas"/>
          <w:sz w:val="19"/>
        </w:rPr>
        <w:t>&lt;TYPE&gt;</w:t>
      </w:r>
      <w:r>
        <w:t xml:space="preserve"> identifies the document category and </w:t>
      </w:r>
      <w:r>
        <w:rPr>
          <w:rFonts w:ascii="Consolas" w:hAnsi="Consolas"/>
          <w:sz w:val="19"/>
        </w:rPr>
        <w:t>&lt;NUMBER&gt;</w:t>
      </w:r>
      <w:r>
        <w:t xml:space="preserve"> is a 4-digit sequence assigned in order within that category:</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158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Prefix</w:t>
            </w:r>
          </w:p>
        </w:tc>
        <w:tc>
          <w:tcPr>
            <w:tcW w:type="dxa" w:w="460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Category</w:t>
            </w:r>
          </w:p>
        </w:tc>
        <w:tc>
          <w:tcPr>
            <w:tcW w:type="dxa" w:w="31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Example</w:t>
            </w:r>
          </w:p>
        </w:tc>
      </w:tr>
      <w:tr>
        <w:trPr>
          <w:cantSplit/>
        </w:trPr>
        <w:tc>
          <w:tcPr>
            <w:tcW w:type="dxa" w:w="1584"/>
            <w:tcMar>
              <w:top w:w="60" w:type="dxa"/>
              <w:start w:w="120" w:type="dxa"/>
              <w:bottom w:w="60" w:type="dxa"/>
              <w:end w:w="120" w:type="dxa"/>
            </w:tcMar>
          </w:tcPr>
          <w:p>
            <w:pPr>
              <w:spacing w:after="0"/>
              <w:keepNext/>
              <w:keepLines/>
            </w:pPr>
            <w:r>
              <w:rPr>
                <w:b/>
                <w:sz w:val="19"/>
              </w:rPr>
              <w:t>STD</w:t>
            </w:r>
          </w:p>
        </w:tc>
        <w:tc>
          <w:tcPr>
            <w:tcW w:type="dxa" w:w="4608"/>
            <w:tcMar>
              <w:top w:w="60" w:type="dxa"/>
              <w:start w:w="120" w:type="dxa"/>
              <w:bottom w:w="60" w:type="dxa"/>
              <w:end w:w="120" w:type="dxa"/>
            </w:tcMar>
          </w:tcPr>
          <w:p>
            <w:pPr>
              <w:spacing w:after="0"/>
              <w:keepNext/>
              <w:keepLines/>
            </w:pPr>
            <w:r>
              <w:rPr>
                <w:sz w:val="19"/>
              </w:rPr>
              <w:t>Publishing / engineering standards</w:t>
            </w:r>
          </w:p>
        </w:tc>
        <w:tc>
          <w:tcPr>
            <w:tcW w:type="dxa" w:w="3168"/>
            <w:tcMar>
              <w:top w:w="60" w:type="dxa"/>
              <w:start w:w="120" w:type="dxa"/>
              <w:bottom w:w="60" w:type="dxa"/>
              <w:end w:w="120" w:type="dxa"/>
            </w:tcMar>
          </w:tcPr>
          <w:p>
            <w:pPr>
              <w:spacing w:after="0"/>
              <w:keepNext/>
              <w:keepLines/>
            </w:pPr>
            <w:r>
              <w:rPr>
                <w:sz w:val="19"/>
              </w:rPr>
              <w:t>AROC-STD-0001</w:t>
            </w:r>
          </w:p>
        </w:tc>
      </w:tr>
      <w:tr>
        <w:trPr>
          <w:cantSplit/>
        </w:trPr>
        <w:tc>
          <w:tcPr>
            <w:tcW w:type="dxa" w:w="1584"/>
            <w:shd w:val="clear" w:color="auto" w:fill="F3F6FA"/>
            <w:tcMar>
              <w:top w:w="60" w:type="dxa"/>
              <w:start w:w="120" w:type="dxa"/>
              <w:bottom w:w="60" w:type="dxa"/>
              <w:end w:w="120" w:type="dxa"/>
            </w:tcMar>
          </w:tcPr>
          <w:p>
            <w:pPr>
              <w:spacing w:after="0"/>
              <w:keepNext/>
              <w:keepLines/>
            </w:pPr>
            <w:r>
              <w:rPr>
                <w:b/>
                <w:sz w:val="19"/>
              </w:rPr>
              <w:t>BRAND</w:t>
            </w:r>
          </w:p>
        </w:tc>
        <w:tc>
          <w:tcPr>
            <w:tcW w:type="dxa" w:w="4608"/>
            <w:shd w:val="clear" w:color="auto" w:fill="F3F6FA"/>
            <w:tcMar>
              <w:top w:w="60" w:type="dxa"/>
              <w:start w:w="120" w:type="dxa"/>
              <w:bottom w:w="60" w:type="dxa"/>
              <w:end w:w="120" w:type="dxa"/>
            </w:tcMar>
          </w:tcPr>
          <w:p>
            <w:pPr>
              <w:spacing w:after="0"/>
              <w:keepNext/>
              <w:keepLines/>
            </w:pPr>
            <w:r>
              <w:rPr>
                <w:sz w:val="19"/>
              </w:rPr>
              <w:t>Visual identity / branding references</w:t>
            </w:r>
          </w:p>
        </w:tc>
        <w:tc>
          <w:tcPr>
            <w:tcW w:type="dxa" w:w="3168"/>
            <w:shd w:val="clear" w:color="auto" w:fill="F3F6FA"/>
            <w:tcMar>
              <w:top w:w="60" w:type="dxa"/>
              <w:start w:w="120" w:type="dxa"/>
              <w:bottom w:w="60" w:type="dxa"/>
              <w:end w:w="120" w:type="dxa"/>
            </w:tcMar>
          </w:tcPr>
          <w:p>
            <w:pPr>
              <w:spacing w:after="0"/>
              <w:keepNext/>
              <w:keepLines/>
            </w:pPr>
            <w:r>
              <w:rPr>
                <w:sz w:val="19"/>
              </w:rPr>
              <w:t>AROC-BRAND-0001</w:t>
            </w:r>
          </w:p>
        </w:tc>
      </w:tr>
      <w:tr>
        <w:trPr>
          <w:cantSplit/>
        </w:trPr>
        <w:tc>
          <w:tcPr>
            <w:tcW w:type="dxa" w:w="1584"/>
            <w:tcMar>
              <w:top w:w="60" w:type="dxa"/>
              <w:start w:w="120" w:type="dxa"/>
              <w:bottom w:w="60" w:type="dxa"/>
              <w:end w:w="120" w:type="dxa"/>
            </w:tcMar>
          </w:tcPr>
          <w:p>
            <w:pPr>
              <w:spacing w:after="0"/>
              <w:keepNext/>
              <w:keepLines/>
            </w:pPr>
            <w:r>
              <w:rPr>
                <w:b/>
                <w:sz w:val="19"/>
              </w:rPr>
              <w:t>REL</w:t>
            </w:r>
          </w:p>
        </w:tc>
        <w:tc>
          <w:tcPr>
            <w:tcW w:type="dxa" w:w="4608"/>
            <w:tcMar>
              <w:top w:w="60" w:type="dxa"/>
              <w:start w:w="120" w:type="dxa"/>
              <w:bottom w:w="60" w:type="dxa"/>
              <w:end w:w="120" w:type="dxa"/>
            </w:tcMar>
          </w:tcPr>
          <w:p>
            <w:pPr>
              <w:spacing w:after="0"/>
              <w:keepNext/>
              <w:keepLines/>
            </w:pPr>
            <w:r>
              <w:rPr>
                <w:sz w:val="19"/>
              </w:rPr>
              <w:t>Milestone / release notes</w:t>
            </w:r>
          </w:p>
        </w:tc>
        <w:tc>
          <w:tcPr>
            <w:tcW w:type="dxa" w:w="3168"/>
            <w:tcMar>
              <w:top w:w="60" w:type="dxa"/>
              <w:start w:w="120" w:type="dxa"/>
              <w:bottom w:w="60" w:type="dxa"/>
              <w:end w:w="120" w:type="dxa"/>
            </w:tcMar>
          </w:tcPr>
          <w:p>
            <w:pPr>
              <w:spacing w:after="0"/>
              <w:keepNext/>
              <w:keepLines/>
            </w:pPr>
            <w:r>
              <w:rPr>
                <w:sz w:val="19"/>
              </w:rPr>
              <w:t>AROC-REL-0003A</w:t>
            </w:r>
          </w:p>
        </w:tc>
      </w:tr>
      <w:tr>
        <w:trPr>
          <w:cantSplit/>
        </w:trPr>
        <w:tc>
          <w:tcPr>
            <w:tcW w:type="dxa" w:w="1584"/>
            <w:shd w:val="clear" w:color="auto" w:fill="F3F6FA"/>
            <w:tcMar>
              <w:top w:w="60" w:type="dxa"/>
              <w:start w:w="120" w:type="dxa"/>
              <w:bottom w:w="60" w:type="dxa"/>
              <w:end w:w="120" w:type="dxa"/>
            </w:tcMar>
          </w:tcPr>
          <w:p>
            <w:pPr>
              <w:spacing w:after="0"/>
            </w:pPr>
            <w:r>
              <w:rPr>
                <w:b/>
                <w:sz w:val="19"/>
              </w:rPr>
              <w:t>BOOK</w:t>
            </w:r>
          </w:p>
        </w:tc>
        <w:tc>
          <w:tcPr>
            <w:tcW w:type="dxa" w:w="4608"/>
            <w:shd w:val="clear" w:color="auto" w:fill="F3F6FA"/>
            <w:tcMar>
              <w:top w:w="60" w:type="dxa"/>
              <w:start w:w="120" w:type="dxa"/>
              <w:bottom w:w="60" w:type="dxa"/>
              <w:end w:w="120" w:type="dxa"/>
            </w:tcMar>
          </w:tcPr>
          <w:p>
            <w:pPr>
              <w:spacing w:after="0"/>
            </w:pPr>
            <w:r>
              <w:rPr>
                <w:sz w:val="19"/>
              </w:rPr>
              <w:t>Technical library volumes (Books 0-10)</w:t>
            </w:r>
          </w:p>
        </w:tc>
        <w:tc>
          <w:tcPr>
            <w:tcW w:type="dxa" w:w="3168"/>
            <w:shd w:val="clear" w:color="auto" w:fill="F3F6FA"/>
            <w:tcMar>
              <w:top w:w="60" w:type="dxa"/>
              <w:start w:w="120" w:type="dxa"/>
              <w:bottom w:w="60" w:type="dxa"/>
              <w:end w:w="120" w:type="dxa"/>
            </w:tcMar>
          </w:tcPr>
          <w:p>
            <w:pPr>
              <w:spacing w:after="0"/>
            </w:pPr>
            <w:r>
              <w:rPr>
                <w:sz w:val="19"/>
              </w:rPr>
              <w:t>AROC-BOOK-0007 (APRS)</w:t>
            </w:r>
          </w:p>
        </w:tc>
      </w:tr>
    </w:tbl>
    <w:p>
      <w:pPr>
        <w:spacing w:after="40"/>
      </w:pPr>
    </w:p>
    <w:p>
      <w:r>
        <w:t xml:space="preserve">Full engineering-standards detail — folder structure, revision-control conventions, file naming, and figure/table numbering — lives in </w:t>
      </w:r>
      <w:r>
        <w:rPr>
          <w:b/>
        </w:rPr>
        <w:t>AROC-STD-0002 Engineering Standards</w:t>
      </w:r>
      <w:r>
        <w:t xml:space="preserve"> (Chapter 3 of this standard gives the short version that applies to publishing specifically).</w:t>
      </w:r>
    </w:p>
    <w:p>
      <w:pPr>
        <w:pStyle w:val="Heading1"/>
      </w:pPr>
      <w:r>
        <w:t>Status Labels</w:t>
      </w:r>
    </w:p>
    <w:p>
      <w:r>
        <w:t>Every document control page carries one of the following statuses: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1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Status</w:t>
            </w:r>
          </w:p>
        </w:tc>
        <w:tc>
          <w:tcPr>
            <w:tcW w:type="dxa" w:w="619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Meaning</w:t>
            </w:r>
          </w:p>
        </w:tc>
      </w:tr>
      <w:tr>
        <w:trPr>
          <w:cantSplit/>
        </w:trPr>
        <w:tc>
          <w:tcPr>
            <w:tcW w:type="dxa" w:w="3168"/>
            <w:tcMar>
              <w:top w:w="60" w:type="dxa"/>
              <w:start w:w="120" w:type="dxa"/>
              <w:bottom w:w="60" w:type="dxa"/>
              <w:end w:w="120" w:type="dxa"/>
            </w:tcMar>
          </w:tcPr>
          <w:p>
            <w:pPr>
              <w:spacing w:after="0"/>
              <w:keepNext/>
              <w:keepLines/>
            </w:pPr>
            <w:r>
              <w:rPr>
                <w:b/>
                <w:sz w:val="19"/>
              </w:rPr>
              <w:t>Draft</w:t>
            </w:r>
          </w:p>
        </w:tc>
        <w:tc>
          <w:tcPr>
            <w:tcW w:type="dxa" w:w="6192"/>
            <w:tcMar>
              <w:top w:w="60" w:type="dxa"/>
              <w:start w:w="120" w:type="dxa"/>
              <w:bottom w:w="60" w:type="dxa"/>
              <w:end w:w="120" w:type="dxa"/>
            </w:tcMar>
          </w:tcPr>
          <w:p>
            <w:pPr>
              <w:spacing w:after="0"/>
              <w:keepNext/>
              <w:keepLines/>
            </w:pPr>
            <w:r>
              <w:rPr>
                <w:sz w:val="19"/>
              </w:rPr>
              <w:t>In progress; content may still change materially</w:t>
            </w:r>
          </w:p>
        </w:tc>
      </w:tr>
      <w:tr>
        <w:trPr>
          <w:cantSplit/>
        </w:trPr>
        <w:tc>
          <w:tcPr>
            <w:tcW w:type="dxa" w:w="3168"/>
            <w:shd w:val="clear" w:color="auto" w:fill="F3F6FA"/>
            <w:tcMar>
              <w:top w:w="60" w:type="dxa"/>
              <w:start w:w="120" w:type="dxa"/>
              <w:bottom w:w="60" w:type="dxa"/>
              <w:end w:w="120" w:type="dxa"/>
            </w:tcMar>
          </w:tcPr>
          <w:p>
            <w:pPr>
              <w:spacing w:after="0"/>
              <w:keepNext/>
              <w:keepLines/>
            </w:pPr>
            <w:r>
              <w:rPr>
                <w:b/>
                <w:sz w:val="19"/>
              </w:rPr>
              <w:t>Final / Approved for Review</w:t>
            </w:r>
          </w:p>
        </w:tc>
        <w:tc>
          <w:tcPr>
            <w:tcW w:type="dxa" w:w="6192"/>
            <w:shd w:val="clear" w:color="auto" w:fill="F3F6FA"/>
            <w:tcMar>
              <w:top w:w="60" w:type="dxa"/>
              <w:start w:w="120" w:type="dxa"/>
              <w:bottom w:w="60" w:type="dxa"/>
              <w:end w:w="120" w:type="dxa"/>
            </w:tcMar>
          </w:tcPr>
          <w:p>
            <w:pPr>
              <w:spacing w:after="0"/>
              <w:keepNext/>
              <w:keepLines/>
            </w:pPr>
            <w:r>
              <w:rPr>
                <w:sz w:val="19"/>
              </w:rPr>
              <w:t>Content-complete and ready to be read; not yet a locked reference</w:t>
            </w:r>
          </w:p>
        </w:tc>
      </w:tr>
      <w:tr>
        <w:trPr>
          <w:cantSplit/>
        </w:trPr>
        <w:tc>
          <w:tcPr>
            <w:tcW w:type="dxa" w:w="3168"/>
            <w:tcMar>
              <w:top w:w="60" w:type="dxa"/>
              <w:start w:w="120" w:type="dxa"/>
              <w:bottom w:w="60" w:type="dxa"/>
              <w:end w:w="120" w:type="dxa"/>
            </w:tcMar>
          </w:tcPr>
          <w:p>
            <w:pPr>
              <w:spacing w:after="0"/>
              <w:keepNext/>
              <w:keepLines/>
            </w:pPr>
            <w:r>
              <w:rPr>
                <w:b/>
                <w:sz w:val="19"/>
              </w:rPr>
              <w:t>Approved</w:t>
            </w:r>
          </w:p>
        </w:tc>
        <w:tc>
          <w:tcPr>
            <w:tcW w:type="dxa" w:w="6192"/>
            <w:tcMar>
              <w:top w:w="60" w:type="dxa"/>
              <w:start w:w="120" w:type="dxa"/>
              <w:bottom w:w="60" w:type="dxa"/>
              <w:end w:w="120" w:type="dxa"/>
            </w:tcMar>
          </w:tcPr>
          <w:p>
            <w:pPr>
              <w:spacing w:after="0"/>
              <w:keepNext/>
              <w:keepLines/>
            </w:pPr>
            <w:r>
              <w:rPr>
                <w:sz w:val="19"/>
              </w:rPr>
              <w:t>Locked as the authoritative version of that revision</w:t>
            </w:r>
          </w:p>
        </w:tc>
      </w:tr>
      <w:tr>
        <w:trPr>
          <w:cantSplit/>
        </w:trPr>
        <w:tc>
          <w:tcPr>
            <w:tcW w:type="dxa" w:w="3168"/>
            <w:shd w:val="clear" w:color="auto" w:fill="F3F6FA"/>
            <w:tcMar>
              <w:top w:w="60" w:type="dxa"/>
              <w:start w:w="120" w:type="dxa"/>
              <w:bottom w:w="60" w:type="dxa"/>
              <w:end w:w="120" w:type="dxa"/>
            </w:tcMar>
          </w:tcPr>
          <w:p>
            <w:pPr>
              <w:spacing w:after="0"/>
            </w:pPr>
            <w:r>
              <w:rPr>
                <w:b/>
                <w:sz w:val="19"/>
              </w:rPr>
              <w:t>Superseded</w:t>
            </w:r>
          </w:p>
        </w:tc>
        <w:tc>
          <w:tcPr>
            <w:tcW w:type="dxa" w:w="6192"/>
            <w:shd w:val="clear" w:color="auto" w:fill="F3F6FA"/>
            <w:tcMar>
              <w:top w:w="60" w:type="dxa"/>
              <w:start w:w="120" w:type="dxa"/>
              <w:bottom w:w="60" w:type="dxa"/>
              <w:end w:w="120" w:type="dxa"/>
            </w:tcMar>
          </w:tcPr>
          <w:p>
            <w:pPr>
              <w:spacing w:after="0"/>
            </w:pPr>
            <w:r>
              <w:rPr>
                <w:sz w:val="19"/>
              </w:rPr>
              <w:t xml:space="preserve">Replaced by a later revision; kept for history in </w:t>
            </w:r>
            <w:r>
              <w:rPr>
                <w:rFonts w:ascii="Consolas" w:hAnsi="Consolas"/>
                <w:sz w:val="19"/>
              </w:rPr>
              <w:t>99 Archive</w:t>
            </w:r>
          </w:p>
        </w:tc>
      </w:tr>
    </w:tbl>
    <w:p>
      <w:pPr>
        <w:spacing w:after="4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2</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Branding, Typography &amp; Color Palette</w:t>
            </w:r>
          </w:p>
        </w:tc>
      </w:tr>
    </w:tbl>
    <w:p>
      <w:pPr>
        <w:spacing w:before="60" w:after="160"/>
        <w:pBdr>
          <w:bottom w:val="single" w:sz="16" w:space="6" w:color="D9A521"/>
        </w:pBdr>
      </w:pPr>
    </w:p>
    <w:p>
      <w:r>
        <w:rPr>
          <w:i/>
          <w:color w:val="64748B"/>
          <w:sz w:val="23"/>
        </w:rPr>
        <w:t>The shared KE4CON visual identity Project AROC documents are built on.</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Project identity — name, motto, visual theme</w:t>
      </w:r>
    </w:p>
    <w:p>
      <w:pPr>
        <w:spacing w:after="20"/>
        <w:ind w:left="288"/>
      </w:pPr>
      <w:r>
        <w:rPr>
          <w:color w:val="222B38"/>
          <w:sz w:val="20"/>
        </w:rPr>
        <w:t>•  The navy + gold house palette and where each color is used</w:t>
      </w:r>
    </w:p>
    <w:p>
      <w:pPr>
        <w:spacing w:after="20"/>
        <w:ind w:left="288"/>
      </w:pPr>
      <w:r>
        <w:rPr>
          <w:color w:val="222B38"/>
          <w:sz w:val="20"/>
        </w:rPr>
        <w:t>•  Typography rules for body text, headings, and code</w:t>
      </w:r>
    </w:p>
    <w:p>
      <w:pPr>
        <w:spacing w:after="40"/>
      </w:pPr>
    </w:p>
    <w:p>
      <w:pPr>
        <w:pStyle w:val="Heading1"/>
      </w:pPr>
      <w:r>
        <w:t>Project AROC Branding</w:t>
      </w:r>
    </w:p>
    <w:p>
      <w:r>
        <w:t>Project AROC branding identifies every document as part of the KE4CON Amateur Radio Operations Center library. Branding shall remain consistent across every formal document.</w:t>
      </w:r>
    </w:p>
    <w:p>
      <w:pPr>
        <w:tabs>
          <w:tab w:pos="547" w:val="left"/>
        </w:tabs>
        <w:spacing w:after="80"/>
        <w:ind w:left="547" w:hanging="288"/>
      </w:pPr>
      <w:r>
        <w:rPr>
          <w:color w:val="2E6DA4"/>
        </w:rPr>
        <w:t>▪</w:t>
        <w:tab/>
      </w:r>
      <w:r>
        <w:t xml:space="preserve">Project name: </w:t>
      </w:r>
      <w:r>
        <w:rPr>
          <w:b/>
        </w:rPr>
        <w:t>Project AROC</w:t>
      </w:r>
    </w:p>
    <w:p>
      <w:pPr>
        <w:tabs>
          <w:tab w:pos="547" w:val="left"/>
        </w:tabs>
        <w:spacing w:after="80"/>
        <w:ind w:left="547" w:hanging="288"/>
      </w:pPr>
      <w:r>
        <w:rPr>
          <w:color w:val="2E6DA4"/>
        </w:rPr>
        <w:t>▪</w:t>
        <w:tab/>
      </w:r>
      <w:r>
        <w:t xml:space="preserve">Expanded name: </w:t>
      </w:r>
      <w:r>
        <w:rPr>
          <w:b/>
        </w:rPr>
        <w:t>Amateur Radio Operations Center</w:t>
      </w:r>
    </w:p>
    <w:p>
      <w:pPr>
        <w:tabs>
          <w:tab w:pos="547" w:val="left"/>
        </w:tabs>
        <w:spacing w:after="80"/>
        <w:ind w:left="547" w:hanging="288"/>
      </w:pPr>
      <w:r>
        <w:rPr>
          <w:color w:val="2E6DA4"/>
        </w:rPr>
        <w:t>▪</w:t>
        <w:tab/>
      </w:r>
      <w:r>
        <w:t xml:space="preserve">Station identity: </w:t>
      </w:r>
      <w:r>
        <w:rPr>
          <w:b/>
        </w:rPr>
        <w:t>KE4CON</w:t>
      </w:r>
    </w:p>
    <w:p>
      <w:pPr>
        <w:tabs>
          <w:tab w:pos="547" w:val="left"/>
        </w:tabs>
        <w:spacing w:after="80"/>
        <w:ind w:left="547" w:hanging="288"/>
      </w:pPr>
      <w:r>
        <w:rPr>
          <w:color w:val="2E6DA4"/>
        </w:rPr>
        <w:t>▪</w:t>
        <w:tab/>
      </w:r>
      <w:r>
        <w:t xml:space="preserve">Motto: </w:t>
      </w:r>
      <w:r>
        <w:rPr>
          <w:i/>
        </w:rPr>
        <w:t>Build with Purpose. Document with Precision. Learn without End.</w:t>
      </w:r>
    </w:p>
    <w:p>
      <w:pPr>
        <w:tabs>
          <w:tab w:pos="547" w:val="left"/>
        </w:tabs>
        <w:spacing w:after="80"/>
        <w:ind w:left="547" w:hanging="288"/>
      </w:pPr>
      <w:r>
        <w:rPr>
          <w:color w:val="2E6DA4"/>
        </w:rPr>
        <w:t>▪</w:t>
        <w:tab/>
      </w:r>
      <w:r>
        <w:t>Primary visual theme: professional engineering, amateur radio, network infrastructure, long-term maintainability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DESIGN DECISION — HOUSE STYLE ADOPTED   </w:t>
            </w:r>
            <w:r>
              <w:rPr>
                <w:color w:val="222B38"/>
              </w:rPr>
              <w:t>Milestone 0003A (2026-06-30, drafted in ChatGPT chat) shipped Project AROC with its own draft navy/blue identity (</w:t>
            </w:r>
            <w:r>
              <w:rPr>
                <w:rFonts w:ascii="Consolas" w:hAnsi="Consolas"/>
                <w:color w:val="222B38"/>
                <w:sz w:val="19"/>
              </w:rPr>
              <w:t>#1F4E79</w:t>
            </w:r>
            <w:r>
              <w:rPr>
                <w:color w:val="222B38"/>
              </w:rPr>
              <w:t xml:space="preserve"> / </w:t>
            </w:r>
            <w:r>
              <w:rPr>
                <w:rFonts w:ascii="Consolas" w:hAnsi="Consolas"/>
                <w:color w:val="222B38"/>
                <w:sz w:val="19"/>
              </w:rPr>
              <w:t>#2E86C1</w:t>
            </w:r>
            <w:r>
              <w:rPr>
                <w:color w:val="222B38"/>
              </w:rPr>
              <w:t xml:space="preserve">) and a custom radio-tower logo. As part of moving the project onto the Claude Code documentation pipeline (2026-08-25), Project AROC adopted the </w:t>
            </w:r>
            <w:r>
              <w:rPr>
                <w:b/>
                <w:color w:val="222B38"/>
              </w:rPr>
              <w:t>shared KE4CON navy + gold house style</w:t>
            </w:r>
            <w:r>
              <w:rPr>
                <w:color w:val="222B38"/>
              </w:rPr>
              <w:t xml:space="preserve"> — the same one used by APRS-Command, OpenTrack, and ActivationPlanner — so every KE4CON project's documents look like one family. See </w:t>
            </w:r>
            <w:r>
              <w:rPr>
                <w:b/>
                <w:color w:val="222B38"/>
              </w:rPr>
              <w:t>AROC-BRAND-0001 Rev0.2</w:t>
            </w:r>
            <w:r>
              <w:rPr>
                <w:color w:val="222B38"/>
              </w:rPr>
              <w:t xml:space="preserve"> for the full rationale; the original draft identity is preserved in </w:t>
            </w:r>
            <w:r>
              <w:rPr>
                <w:rFonts w:ascii="Consolas" w:hAnsi="Consolas"/>
                <w:color w:val="222B38"/>
                <w:sz w:val="19"/>
              </w:rPr>
              <w:t>99 Archive/0003A-chatgpt-draft-rev0.1/</w:t>
            </w:r>
            <w:r>
              <w:rPr>
                <w:color w:val="222B38"/>
              </w:rPr>
              <w:t xml:space="preserve"> for history.</w:t>
            </w:r>
          </w:p>
        </w:tc>
      </w:tr>
    </w:tbl>
    <w:p>
      <w:pPr>
        <w:spacing w:after="80"/>
      </w:pPr>
    </w:p>
    <w:p>
      <w:pPr>
        <w:pStyle w:val="Heading1"/>
      </w:pPr>
      <w:r>
        <w:t>Color Palette</w:t>
      </w:r>
    </w:p>
    <w:p>
      <w:r>
        <w:t xml:space="preserve">The house palette is implemented in </w:t>
      </w:r>
      <w:r>
        <w:rPr>
          <w:rFonts w:ascii="Consolas" w:hAnsi="Consolas"/>
          <w:sz w:val="19"/>
        </w:rPr>
        <w:t>docs/docs_generators/style.py</w:t>
      </w:r>
      <w:r>
        <w:t xml:space="preserve"> and used automatically by every document's build script — authors never pick colors by hand.</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8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Name</w:t>
            </w:r>
          </w:p>
        </w:tc>
        <w:tc>
          <w:tcPr>
            <w:tcW w:type="dxa" w:w="158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Hex</w:t>
            </w:r>
          </w:p>
        </w:tc>
        <w:tc>
          <w:tcPr>
            <w:tcW w:type="dxa" w:w="489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Usage</w:t>
            </w:r>
          </w:p>
        </w:tc>
      </w:tr>
      <w:tr>
        <w:trPr>
          <w:cantSplit/>
        </w:trPr>
        <w:tc>
          <w:tcPr>
            <w:tcW w:type="dxa" w:w="2880"/>
            <w:tcMar>
              <w:top w:w="60" w:type="dxa"/>
              <w:start w:w="120" w:type="dxa"/>
              <w:bottom w:w="60" w:type="dxa"/>
              <w:end w:w="120" w:type="dxa"/>
            </w:tcMar>
          </w:tcPr>
          <w:p>
            <w:pPr>
              <w:spacing w:after="0"/>
              <w:keepNext/>
              <w:keepLines/>
            </w:pPr>
            <w:r>
              <w:rPr>
                <w:b/>
                <w:sz w:val="19"/>
              </w:rPr>
              <w:t>navy</w:t>
            </w:r>
          </w:p>
        </w:tc>
        <w:tc>
          <w:tcPr>
            <w:tcW w:type="dxa" w:w="1584"/>
            <w:tcMar>
              <w:top w:w="60" w:type="dxa"/>
              <w:start w:w="120" w:type="dxa"/>
              <w:bottom w:w="60" w:type="dxa"/>
              <w:end w:w="120" w:type="dxa"/>
            </w:tcMar>
          </w:tcPr>
          <w:p>
            <w:pPr>
              <w:spacing w:after="0"/>
              <w:keepNext/>
              <w:keepLines/>
            </w:pPr>
            <w:r>
              <w:rPr>
                <w:sz w:val="19"/>
              </w:rPr>
              <w:t>#1F3A5F</w:t>
            </w:r>
          </w:p>
        </w:tc>
        <w:tc>
          <w:tcPr>
            <w:tcW w:type="dxa" w:w="4896"/>
            <w:tcMar>
              <w:top w:w="60" w:type="dxa"/>
              <w:start w:w="120" w:type="dxa"/>
              <w:bottom w:w="60" w:type="dxa"/>
              <w:end w:w="120" w:type="dxa"/>
            </w:tcMar>
          </w:tcPr>
          <w:p>
            <w:pPr>
              <w:spacing w:after="0"/>
              <w:keepNext/>
              <w:keepLines/>
            </w:pPr>
            <w:r>
              <w:rPr>
                <w:sz w:val="19"/>
              </w:rPr>
              <w:t>Cover panel, chapter-number block, headings, header text</w:t>
            </w:r>
          </w:p>
        </w:tc>
      </w:tr>
      <w:tr>
        <w:trPr>
          <w:cantSplit/>
        </w:trPr>
        <w:tc>
          <w:tcPr>
            <w:tcW w:type="dxa" w:w="2880"/>
            <w:shd w:val="clear" w:color="auto" w:fill="F3F6FA"/>
            <w:tcMar>
              <w:top w:w="60" w:type="dxa"/>
              <w:start w:w="120" w:type="dxa"/>
              <w:bottom w:w="60" w:type="dxa"/>
              <w:end w:w="120" w:type="dxa"/>
            </w:tcMar>
          </w:tcPr>
          <w:p>
            <w:pPr>
              <w:spacing w:after="0"/>
              <w:keepNext/>
              <w:keepLines/>
            </w:pPr>
            <w:r>
              <w:rPr>
                <w:b/>
                <w:sz w:val="19"/>
              </w:rPr>
              <w:t>gold</w:t>
            </w:r>
          </w:p>
        </w:tc>
        <w:tc>
          <w:tcPr>
            <w:tcW w:type="dxa" w:w="1584"/>
            <w:shd w:val="clear" w:color="auto" w:fill="F3F6FA"/>
            <w:tcMar>
              <w:top w:w="60" w:type="dxa"/>
              <w:start w:w="120" w:type="dxa"/>
              <w:bottom w:w="60" w:type="dxa"/>
              <w:end w:w="120" w:type="dxa"/>
            </w:tcMar>
          </w:tcPr>
          <w:p>
            <w:pPr>
              <w:spacing w:after="0"/>
              <w:keepNext/>
              <w:keepLines/>
            </w:pPr>
            <w:r>
              <w:rPr>
                <w:sz w:val="19"/>
              </w:rPr>
              <w:t>#D9A521</w:t>
            </w:r>
          </w:p>
        </w:tc>
        <w:tc>
          <w:tcPr>
            <w:tcW w:type="dxa" w:w="4896"/>
            <w:shd w:val="clear" w:color="auto" w:fill="F3F6FA"/>
            <w:tcMar>
              <w:top w:w="60" w:type="dxa"/>
              <w:start w:w="120" w:type="dxa"/>
              <w:bottom w:w="60" w:type="dxa"/>
              <w:end w:w="120" w:type="dxa"/>
            </w:tcMar>
          </w:tcPr>
          <w:p>
            <w:pPr>
              <w:spacing w:after="0"/>
              <w:keepNext/>
              <w:keepLines/>
            </w:pPr>
            <w:r>
              <w:rPr>
                <w:sz w:val="19"/>
              </w:rPr>
              <w:t>Marquee rules under headers/covers, subtitle text on the cover</w:t>
            </w:r>
          </w:p>
        </w:tc>
      </w:tr>
      <w:tr>
        <w:trPr>
          <w:cantSplit/>
        </w:trPr>
        <w:tc>
          <w:tcPr>
            <w:tcW w:type="dxa" w:w="2880"/>
            <w:tcMar>
              <w:top w:w="60" w:type="dxa"/>
              <w:start w:w="120" w:type="dxa"/>
              <w:bottom w:w="60" w:type="dxa"/>
              <w:end w:w="120" w:type="dxa"/>
            </w:tcMar>
          </w:tcPr>
          <w:p>
            <w:pPr>
              <w:spacing w:after="0"/>
              <w:keepNext/>
              <w:keepLines/>
            </w:pPr>
            <w:r>
              <w:rPr>
                <w:b/>
                <w:sz w:val="19"/>
              </w:rPr>
              <w:t>accent2 (medium blue)</w:t>
            </w:r>
          </w:p>
        </w:tc>
        <w:tc>
          <w:tcPr>
            <w:tcW w:type="dxa" w:w="1584"/>
            <w:tcMar>
              <w:top w:w="60" w:type="dxa"/>
              <w:start w:w="120" w:type="dxa"/>
              <w:bottom w:w="60" w:type="dxa"/>
              <w:end w:w="120" w:type="dxa"/>
            </w:tcMar>
          </w:tcPr>
          <w:p>
            <w:pPr>
              <w:spacing w:after="0"/>
              <w:keepNext/>
              <w:keepLines/>
            </w:pPr>
            <w:r>
              <w:rPr>
                <w:sz w:val="19"/>
              </w:rPr>
              <w:t>#2E6DA4</w:t>
            </w:r>
          </w:p>
        </w:tc>
        <w:tc>
          <w:tcPr>
            <w:tcW w:type="dxa" w:w="4896"/>
            <w:tcMar>
              <w:top w:w="60" w:type="dxa"/>
              <w:start w:w="120" w:type="dxa"/>
              <w:bottom w:w="60" w:type="dxa"/>
              <w:end w:w="120" w:type="dxa"/>
            </w:tcMar>
          </w:tcPr>
          <w:p>
            <w:pPr>
              <w:spacing w:after="0"/>
              <w:keepNext/>
              <w:keepLines/>
            </w:pPr>
            <w:r>
              <w:rPr>
                <w:sz w:val="19"/>
              </w:rPr>
              <w:t>Section (H2) headings, bullet markers</w:t>
            </w:r>
          </w:p>
        </w:tc>
      </w:tr>
      <w:tr>
        <w:trPr>
          <w:cantSplit/>
        </w:trPr>
        <w:tc>
          <w:tcPr>
            <w:tcW w:type="dxa" w:w="2880"/>
            <w:shd w:val="clear" w:color="auto" w:fill="F3F6FA"/>
            <w:tcMar>
              <w:top w:w="60" w:type="dxa"/>
              <w:start w:w="120" w:type="dxa"/>
              <w:bottom w:w="60" w:type="dxa"/>
              <w:end w:w="120" w:type="dxa"/>
            </w:tcMar>
          </w:tcPr>
          <w:p>
            <w:pPr>
              <w:spacing w:after="0"/>
              <w:keepNext/>
              <w:keepLines/>
            </w:pPr>
            <w:r>
              <w:rPr>
                <w:b/>
                <w:sz w:val="19"/>
              </w:rPr>
              <w:t>panel</w:t>
            </w:r>
          </w:p>
        </w:tc>
        <w:tc>
          <w:tcPr>
            <w:tcW w:type="dxa" w:w="1584"/>
            <w:shd w:val="clear" w:color="auto" w:fill="F3F6FA"/>
            <w:tcMar>
              <w:top w:w="60" w:type="dxa"/>
              <w:start w:w="120" w:type="dxa"/>
              <w:bottom w:w="60" w:type="dxa"/>
              <w:end w:w="120" w:type="dxa"/>
            </w:tcMar>
          </w:tcPr>
          <w:p>
            <w:pPr>
              <w:spacing w:after="0"/>
              <w:keepNext/>
              <w:keepLines/>
            </w:pPr>
            <w:r>
              <w:rPr>
                <w:sz w:val="19"/>
              </w:rPr>
              <w:t>#EAF0F6</w:t>
            </w:r>
          </w:p>
        </w:tc>
        <w:tc>
          <w:tcPr>
            <w:tcW w:type="dxa" w:w="4896"/>
            <w:shd w:val="clear" w:color="auto" w:fill="F3F6FA"/>
            <w:tcMar>
              <w:top w:w="60" w:type="dxa"/>
              <w:start w:w="120" w:type="dxa"/>
              <w:bottom w:w="60" w:type="dxa"/>
              <w:end w:w="120" w:type="dxa"/>
            </w:tcMar>
          </w:tcPr>
          <w:p>
            <w:pPr>
              <w:spacing w:after="0"/>
              <w:keepNext/>
              <w:keepLines/>
            </w:pPr>
            <w:r>
              <w:rPr>
                <w:sz w:val="19"/>
              </w:rPr>
              <w:t>Pale chapter-title banner fill</w:t>
            </w:r>
          </w:p>
        </w:tc>
      </w:tr>
      <w:tr>
        <w:trPr>
          <w:cantSplit/>
        </w:trPr>
        <w:tc>
          <w:tcPr>
            <w:tcW w:type="dxa" w:w="2880"/>
            <w:tcMar>
              <w:top w:w="60" w:type="dxa"/>
              <w:start w:w="120" w:type="dxa"/>
              <w:bottom w:w="60" w:type="dxa"/>
              <w:end w:w="120" w:type="dxa"/>
            </w:tcMar>
          </w:tcPr>
          <w:p>
            <w:pPr>
              <w:spacing w:after="0"/>
              <w:keepNext/>
              <w:keepLines/>
            </w:pPr>
            <w:r>
              <w:rPr>
                <w:b/>
                <w:sz w:val="19"/>
              </w:rPr>
              <w:t>ink</w:t>
            </w:r>
          </w:p>
        </w:tc>
        <w:tc>
          <w:tcPr>
            <w:tcW w:type="dxa" w:w="1584"/>
            <w:tcMar>
              <w:top w:w="60" w:type="dxa"/>
              <w:start w:w="120" w:type="dxa"/>
              <w:bottom w:w="60" w:type="dxa"/>
              <w:end w:w="120" w:type="dxa"/>
            </w:tcMar>
          </w:tcPr>
          <w:p>
            <w:pPr>
              <w:spacing w:after="0"/>
              <w:keepNext/>
              <w:keepLines/>
            </w:pPr>
            <w:r>
              <w:rPr>
                <w:sz w:val="19"/>
              </w:rPr>
              <w:t>#222B38</w:t>
            </w:r>
          </w:p>
        </w:tc>
        <w:tc>
          <w:tcPr>
            <w:tcW w:type="dxa" w:w="4896"/>
            <w:tcMar>
              <w:top w:w="60" w:type="dxa"/>
              <w:start w:w="120" w:type="dxa"/>
              <w:bottom w:w="60" w:type="dxa"/>
              <w:end w:w="120" w:type="dxa"/>
            </w:tcMar>
          </w:tcPr>
          <w:p>
            <w:pPr>
              <w:spacing w:after="0"/>
              <w:keepNext/>
              <w:keepLines/>
            </w:pPr>
            <w:r>
              <w:rPr>
                <w:sz w:val="19"/>
              </w:rPr>
              <w:t>Body text</w:t>
            </w:r>
          </w:p>
        </w:tc>
      </w:tr>
      <w:tr>
        <w:trPr>
          <w:cantSplit/>
        </w:trPr>
        <w:tc>
          <w:tcPr>
            <w:tcW w:type="dxa" w:w="2880"/>
            <w:shd w:val="clear" w:color="auto" w:fill="F3F6FA"/>
            <w:tcMar>
              <w:top w:w="60" w:type="dxa"/>
              <w:start w:w="120" w:type="dxa"/>
              <w:bottom w:w="60" w:type="dxa"/>
              <w:end w:w="120" w:type="dxa"/>
            </w:tcMar>
          </w:tcPr>
          <w:p>
            <w:pPr>
              <w:spacing w:after="0"/>
            </w:pPr>
            <w:r>
              <w:rPr>
                <w:b/>
                <w:sz w:val="19"/>
              </w:rPr>
              <w:t>muted</w:t>
            </w:r>
          </w:p>
        </w:tc>
        <w:tc>
          <w:tcPr>
            <w:tcW w:type="dxa" w:w="1584"/>
            <w:shd w:val="clear" w:color="auto" w:fill="F3F6FA"/>
            <w:tcMar>
              <w:top w:w="60" w:type="dxa"/>
              <w:start w:w="120" w:type="dxa"/>
              <w:bottom w:w="60" w:type="dxa"/>
              <w:end w:w="120" w:type="dxa"/>
            </w:tcMar>
          </w:tcPr>
          <w:p>
            <w:pPr>
              <w:spacing w:after="0"/>
            </w:pPr>
            <w:r>
              <w:rPr>
                <w:sz w:val="19"/>
              </w:rPr>
              <w:t>#64748B</w:t>
            </w:r>
          </w:p>
        </w:tc>
        <w:tc>
          <w:tcPr>
            <w:tcW w:type="dxa" w:w="4896"/>
            <w:shd w:val="clear" w:color="auto" w:fill="F3F6FA"/>
            <w:tcMar>
              <w:top w:w="60" w:type="dxa"/>
              <w:start w:w="120" w:type="dxa"/>
              <w:bottom w:w="60" w:type="dxa"/>
              <w:end w:w="120" w:type="dxa"/>
            </w:tcMar>
          </w:tcPr>
          <w:p>
            <w:pPr>
              <w:spacing w:after="0"/>
            </w:pPr>
            <w:r>
              <w:rPr>
                <w:sz w:val="19"/>
              </w:rPr>
              <w:t>Captions, footer text, subtitles</w:t>
            </w:r>
          </w:p>
        </w:tc>
      </w:tr>
    </w:tbl>
    <w:p>
      <w:pPr>
        <w:spacing w:after="40"/>
      </w:pPr>
    </w:p>
    <w:p>
      <w:r>
        <w:t>Callout colors (note / tip / important / warning) are listed in Chapter 3, §"Callout Styles."</w:t>
      </w:r>
    </w:p>
    <w:p>
      <w:pPr>
        <w:pStyle w:val="Heading1"/>
      </w:pPr>
      <w:r>
        <w:t>Typography</w:t>
      </w:r>
    </w:p>
    <w:p>
      <w:pPr>
        <w:tabs>
          <w:tab w:pos="547" w:val="left"/>
        </w:tabs>
        <w:spacing w:after="80"/>
        <w:ind w:left="547" w:hanging="288"/>
      </w:pPr>
      <w:r>
        <w:rPr>
          <w:color w:val="2E6DA4"/>
        </w:rPr>
        <w:t>▪</w:t>
        <w:tab/>
      </w:r>
      <w:r>
        <w:t xml:space="preserve">Primary body font: </w:t>
      </w:r>
      <w:r>
        <w:rPr>
          <w:b/>
        </w:rPr>
        <w:t>Segoe UI</w:t>
      </w:r>
      <w:r>
        <w:t>, 10.5 point</w:t>
      </w:r>
    </w:p>
    <w:p>
      <w:pPr>
        <w:tabs>
          <w:tab w:pos="547" w:val="left"/>
        </w:tabs>
        <w:spacing w:after="80"/>
        <w:ind w:left="547" w:hanging="288"/>
      </w:pPr>
      <w:r>
        <w:rPr>
          <w:color w:val="2E6DA4"/>
        </w:rPr>
        <w:t>▪</w:t>
        <w:tab/>
      </w:r>
      <w:r>
        <w:t xml:space="preserve">Heading font: </w:t>
      </w:r>
      <w:r>
        <w:rPr>
          <w:b/>
        </w:rPr>
        <w:t>Segoe UI Semibold</w:t>
      </w:r>
    </w:p>
    <w:p>
      <w:pPr>
        <w:tabs>
          <w:tab w:pos="547" w:val="left"/>
        </w:tabs>
        <w:spacing w:after="80"/>
        <w:ind w:left="547" w:hanging="288"/>
      </w:pPr>
      <w:r>
        <w:rPr>
          <w:color w:val="2E6DA4"/>
        </w:rPr>
        <w:t>▪</w:t>
        <w:tab/>
      </w:r>
      <w:r>
        <w:t xml:space="preserve">Code / configuration font: </w:t>
      </w:r>
      <w:r>
        <w:rPr>
          <w:b/>
        </w:rPr>
        <w:t>Consolas</w:t>
      </w:r>
    </w:p>
    <w:p>
      <w:pPr>
        <w:tabs>
          <w:tab w:pos="547" w:val="left"/>
        </w:tabs>
        <w:spacing w:after="80"/>
        <w:ind w:left="547" w:hanging="288"/>
      </w:pPr>
      <w:r>
        <w:rPr>
          <w:color w:val="2E6DA4"/>
        </w:rPr>
        <w:t>▪</w:t>
        <w:tab/>
      </w:r>
      <w:r>
        <w:t>Body line spacing: 1.15, with spacing after each paragraph</w:t>
      </w:r>
    </w:p>
    <w:p>
      <w:pPr>
        <w:tabs>
          <w:tab w:pos="547" w:val="left"/>
        </w:tabs>
        <w:spacing w:after="80"/>
        <w:ind w:left="547" w:hanging="288"/>
      </w:pPr>
      <w:r>
        <w:rPr>
          <w:color w:val="2E6DA4"/>
        </w:rPr>
        <w:t>▪</w:t>
        <w:tab/>
      </w:r>
      <w:r>
        <w:t>Avoid decorative fonts in technical content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SEGOE UI   </w:t>
            </w:r>
            <w:r>
              <w:rPr>
                <w:color w:val="222B38"/>
              </w:rPr>
              <w:t xml:space="preserve">The original draft specified Arial/Aptos. Segoe UI is the font the shared </w:t>
            </w:r>
            <w:r>
              <w:rPr>
                <w:rFonts w:ascii="Consolas" w:hAnsi="Consolas"/>
                <w:color w:val="222B38"/>
                <w:sz w:val="19"/>
              </w:rPr>
              <w:t>style.py</w:t>
            </w:r>
            <w:r>
              <w:rPr>
                <w:color w:val="222B38"/>
              </w:rPr>
              <w:t xml:space="preserve"> renders with across every KE4CON document — it ships with Windows, reads cleanly on screen and in print, and keeps Project AROC visually identical to the rest of the library without requiring a font install step for anyone reading a generated </w:t>
            </w:r>
            <w:r>
              <w:rPr>
                <w:rFonts w:ascii="Consolas" w:hAnsi="Consolas"/>
                <w:color w:val="222B38"/>
                <w:sz w:val="19"/>
              </w:rPr>
              <w:t>.docx</w:t>
            </w:r>
            <w:r>
              <w:rPr>
                <w:color w:val="222B38"/>
              </w:rPr>
              <w:t>.</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3</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Page Types, Callouts &amp; the Build Pipeline</w:t>
            </w:r>
          </w:p>
        </w:tc>
      </w:tr>
    </w:tbl>
    <w:p>
      <w:pPr>
        <w:spacing w:before="60" w:after="160"/>
        <w:pBdr>
          <w:bottom w:val="single" w:sz="16" w:space="6" w:color="D9A521"/>
        </w:pBdr>
      </w:pPr>
    </w:p>
    <w:p>
      <w:r>
        <w:rPr>
          <w:i/>
          <w:color w:val="64748B"/>
          <w:sz w:val="23"/>
        </w:rPr>
        <w:t>How a Project AROC document is actually assembled, and the quality bar before it ships.</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Standard page types and header/footer rules</w:t>
      </w:r>
    </w:p>
    <w:p>
      <w:pPr>
        <w:spacing w:after="20"/>
        <w:ind w:left="288"/>
      </w:pPr>
      <w:r>
        <w:rPr>
          <w:color w:val="222B38"/>
          <w:sz w:val="20"/>
        </w:rPr>
        <w:t>•  The four callout styles and when to use each</w:t>
      </w:r>
    </w:p>
    <w:p>
      <w:pPr>
        <w:spacing w:after="20"/>
        <w:ind w:left="288"/>
      </w:pPr>
      <w:r>
        <w:rPr>
          <w:color w:val="222B38"/>
          <w:sz w:val="20"/>
        </w:rPr>
        <w:t>•  Figure and table presentation</w:t>
      </w:r>
    </w:p>
    <w:p>
      <w:pPr>
        <w:spacing w:after="20"/>
        <w:ind w:left="288"/>
      </w:pPr>
      <w:r>
        <w:rPr>
          <w:color w:val="222B38"/>
          <w:sz w:val="20"/>
        </w:rPr>
        <w:t>•  How to build a document with the Claude Code pipeline</w:t>
      </w:r>
    </w:p>
    <w:p>
      <w:pPr>
        <w:spacing w:after="20"/>
        <w:ind w:left="288"/>
      </w:pPr>
      <w:r>
        <w:rPr>
          <w:color w:val="222B38"/>
          <w:sz w:val="20"/>
        </w:rPr>
        <w:t>•  The pre-publication quality checklist</w:t>
      </w:r>
    </w:p>
    <w:p>
      <w:pPr>
        <w:spacing w:after="40"/>
      </w:pPr>
    </w:p>
    <w:p>
      <w:pPr>
        <w:pStyle w:val="Heading1"/>
      </w:pPr>
      <w:r>
        <w:t>Headers and Footers</w:t>
      </w:r>
    </w:p>
    <w:p>
      <w:r>
        <w:t>Headers identify the project and document title; footers identify ownership and carry automatic page numbers ("Page X of Y"). Headers and footers are intentionally conservative — their purpose is navigation and identification, not decoration. A reader should always know which Project AROC document is open and where it belongs in the library.</w:t>
      </w:r>
    </w:p>
    <w:p>
      <w:pPr>
        <w:pStyle w:val="Heading1"/>
      </w:pPr>
      <w:r>
        <w:t>Standard Page Types</w:t>
      </w:r>
    </w:p>
    <w:p>
      <w:pPr>
        <w:tabs>
          <w:tab w:pos="547" w:val="left"/>
        </w:tabs>
        <w:spacing w:after="80"/>
        <w:ind w:left="547" w:hanging="288"/>
      </w:pPr>
      <w:r>
        <w:rPr>
          <w:color w:val="2E6DA4"/>
        </w:rPr>
        <w:t>▪</w:t>
        <w:tab/>
      </w:r>
      <w:r>
        <w:rPr>
          <w:b/>
        </w:rPr>
        <w:t>Cover page</w:t>
      </w:r>
      <w:r>
        <w:t xml:space="preserve"> — title, document kind, revision, project owner, motto (navy panel, gold marquee rule)</w:t>
      </w:r>
    </w:p>
    <w:p>
      <w:pPr>
        <w:tabs>
          <w:tab w:pos="547" w:val="left"/>
        </w:tabs>
        <w:spacing w:after="80"/>
        <w:ind w:left="547" w:hanging="288"/>
      </w:pPr>
      <w:r>
        <w:rPr>
          <w:color w:val="2E6DA4"/>
        </w:rPr>
        <w:t>▪</w:t>
        <w:tab/>
      </w:r>
      <w:r>
        <w:rPr>
          <w:b/>
        </w:rPr>
        <w:t>Document control page</w:t>
      </w:r>
      <w:r>
        <w:t xml:space="preserve"> — document number, owner, author, status, applicability</w:t>
      </w:r>
    </w:p>
    <w:p>
      <w:pPr>
        <w:tabs>
          <w:tab w:pos="547" w:val="left"/>
        </w:tabs>
        <w:spacing w:after="80"/>
        <w:ind w:left="547" w:hanging="288"/>
      </w:pPr>
      <w:r>
        <w:rPr>
          <w:color w:val="2E6DA4"/>
        </w:rPr>
        <w:t>▪</w:t>
        <w:tab/>
      </w:r>
      <w:r>
        <w:rPr>
          <w:b/>
        </w:rPr>
        <w:t>Revision history page</w:t>
      </w:r>
      <w:r>
        <w:t xml:space="preserve"> — revision, date, author, description, status</w:t>
      </w:r>
    </w:p>
    <w:p>
      <w:pPr>
        <w:tabs>
          <w:tab w:pos="547" w:val="left"/>
        </w:tabs>
        <w:spacing w:after="80"/>
        <w:ind w:left="547" w:hanging="288"/>
      </w:pPr>
      <w:r>
        <w:rPr>
          <w:color w:val="2E6DA4"/>
        </w:rPr>
        <w:t>▪</w:t>
        <w:tab/>
      </w:r>
      <w:r>
        <w:rPr>
          <w:b/>
        </w:rPr>
        <w:t>Table of contents</w:t>
      </w:r>
      <w:r>
        <w:t xml:space="preserve"> — auto-generated from chapter headings</w:t>
      </w:r>
    </w:p>
    <w:p>
      <w:pPr>
        <w:tabs>
          <w:tab w:pos="547" w:val="left"/>
        </w:tabs>
        <w:spacing w:after="80"/>
        <w:ind w:left="547" w:hanging="288"/>
      </w:pPr>
      <w:r>
        <w:rPr>
          <w:color w:val="2E6DA4"/>
        </w:rPr>
        <w:t>▪</w:t>
        <w:tab/>
      </w:r>
      <w:r>
        <w:rPr>
          <w:b/>
        </w:rPr>
        <w:t>Chapter pages</w:t>
      </w:r>
      <w:r>
        <w:t xml:space="preserve"> — each opens with a numbered navy block + gold rule, an optional "In This Chapter" summary</w:t>
      </w:r>
    </w:p>
    <w:p>
      <w:pPr>
        <w:pStyle w:val="Heading1"/>
      </w:pPr>
      <w:r>
        <w:t>Callout Styles</w:t>
      </w:r>
    </w:p>
    <w:p>
      <w:r>
        <w:t>Four callout kinds are available, matching the shared house style. Use the kind whose intent matches what you're writing — the visual style (fill, border, label color) is applied automatically:</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187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Kind</w:t>
            </w:r>
          </w:p>
        </w:tc>
        <w:tc>
          <w:tcPr>
            <w:tcW w:type="dxa" w:w="56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Use for</w:t>
            </w:r>
          </w:p>
        </w:tc>
        <w:tc>
          <w:tcPr>
            <w:tcW w:type="dxa" w:w="187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Color</w:t>
            </w:r>
          </w:p>
        </w:tc>
      </w:tr>
      <w:tr>
        <w:trPr>
          <w:cantSplit/>
        </w:trPr>
        <w:tc>
          <w:tcPr>
            <w:tcW w:type="dxa" w:w="1872"/>
            <w:tcMar>
              <w:top w:w="60" w:type="dxa"/>
              <w:start w:w="120" w:type="dxa"/>
              <w:bottom w:w="60" w:type="dxa"/>
              <w:end w:w="120" w:type="dxa"/>
            </w:tcMar>
          </w:tcPr>
          <w:p>
            <w:pPr>
              <w:spacing w:after="0"/>
              <w:keepNext/>
              <w:keepLines/>
            </w:pPr>
            <w:r>
              <w:rPr>
                <w:rFonts w:ascii="Consolas" w:hAnsi="Consolas"/>
                <w:sz w:val="19"/>
              </w:rPr>
              <w:t>note</w:t>
            </w:r>
          </w:p>
        </w:tc>
        <w:tc>
          <w:tcPr>
            <w:tcW w:type="dxa" w:w="5616"/>
            <w:tcMar>
              <w:top w:w="60" w:type="dxa"/>
              <w:start w:w="120" w:type="dxa"/>
              <w:bottom w:w="60" w:type="dxa"/>
              <w:end w:w="120" w:type="dxa"/>
            </w:tcMar>
          </w:tcPr>
          <w:p>
            <w:pPr>
              <w:spacing w:after="0"/>
              <w:keepNext/>
              <w:keepLines/>
            </w:pPr>
            <w:r>
              <w:rPr>
                <w:sz w:val="19"/>
              </w:rPr>
              <w:t>Engineering Notes — technical reasoning a reader benefits from understanding</w:t>
            </w:r>
          </w:p>
        </w:tc>
        <w:tc>
          <w:tcPr>
            <w:tcW w:type="dxa" w:w="1872"/>
            <w:tcMar>
              <w:top w:w="60" w:type="dxa"/>
              <w:start w:w="120" w:type="dxa"/>
              <w:bottom w:w="60" w:type="dxa"/>
              <w:end w:w="120" w:type="dxa"/>
            </w:tcMar>
          </w:tcPr>
          <w:p>
            <w:pPr>
              <w:spacing w:after="0"/>
              <w:keepNext/>
              <w:keepLines/>
            </w:pPr>
            <w:r>
              <w:rPr>
                <w:sz w:val="19"/>
              </w:rPr>
              <w:t>Blue</w:t>
            </w:r>
          </w:p>
        </w:tc>
      </w:tr>
      <w:tr>
        <w:trPr>
          <w:cantSplit/>
        </w:trPr>
        <w:tc>
          <w:tcPr>
            <w:tcW w:type="dxa" w:w="1872"/>
            <w:shd w:val="clear" w:color="auto" w:fill="F3F6FA"/>
            <w:tcMar>
              <w:top w:w="60" w:type="dxa"/>
              <w:start w:w="120" w:type="dxa"/>
              <w:bottom w:w="60" w:type="dxa"/>
              <w:end w:w="120" w:type="dxa"/>
            </w:tcMar>
          </w:tcPr>
          <w:p>
            <w:pPr>
              <w:spacing w:after="0"/>
              <w:keepNext/>
              <w:keepLines/>
            </w:pPr>
            <w:r>
              <w:rPr>
                <w:rFonts w:ascii="Consolas" w:hAnsi="Consolas"/>
                <w:sz w:val="19"/>
              </w:rPr>
              <w:t>important</w:t>
            </w:r>
          </w:p>
        </w:tc>
        <w:tc>
          <w:tcPr>
            <w:tcW w:type="dxa" w:w="5616"/>
            <w:shd w:val="clear" w:color="auto" w:fill="F3F6FA"/>
            <w:tcMar>
              <w:top w:w="60" w:type="dxa"/>
              <w:start w:w="120" w:type="dxa"/>
              <w:bottom w:w="60" w:type="dxa"/>
              <w:end w:w="120" w:type="dxa"/>
            </w:tcMar>
          </w:tcPr>
          <w:p>
            <w:pPr>
              <w:spacing w:after="0"/>
              <w:keepNext/>
              <w:keepLines/>
            </w:pPr>
            <w:r>
              <w:rPr>
                <w:sz w:val="19"/>
              </w:rPr>
              <w:t>Design Decisions — why one approach was chosen over another</w:t>
            </w:r>
          </w:p>
        </w:tc>
        <w:tc>
          <w:tcPr>
            <w:tcW w:type="dxa" w:w="1872"/>
            <w:shd w:val="clear" w:color="auto" w:fill="F3F6FA"/>
            <w:tcMar>
              <w:top w:w="60" w:type="dxa"/>
              <w:start w:w="120" w:type="dxa"/>
              <w:bottom w:w="60" w:type="dxa"/>
              <w:end w:w="120" w:type="dxa"/>
            </w:tcMar>
          </w:tcPr>
          <w:p>
            <w:pPr>
              <w:spacing w:after="0"/>
              <w:keepNext/>
              <w:keepLines/>
            </w:pPr>
            <w:r>
              <w:rPr>
                <w:sz w:val="19"/>
              </w:rPr>
              <w:t>Amber/gold</w:t>
            </w:r>
          </w:p>
        </w:tc>
      </w:tr>
      <w:tr>
        <w:trPr>
          <w:cantSplit/>
        </w:trPr>
        <w:tc>
          <w:tcPr>
            <w:tcW w:type="dxa" w:w="1872"/>
            <w:tcMar>
              <w:top w:w="60" w:type="dxa"/>
              <w:start w:w="120" w:type="dxa"/>
              <w:bottom w:w="60" w:type="dxa"/>
              <w:end w:w="120" w:type="dxa"/>
            </w:tcMar>
          </w:tcPr>
          <w:p>
            <w:pPr>
              <w:spacing w:after="0"/>
              <w:keepNext/>
              <w:keepLines/>
            </w:pPr>
            <w:r>
              <w:rPr>
                <w:rFonts w:ascii="Consolas" w:hAnsi="Consolas"/>
                <w:sz w:val="19"/>
              </w:rPr>
              <w:t>tip</w:t>
            </w:r>
          </w:p>
        </w:tc>
        <w:tc>
          <w:tcPr>
            <w:tcW w:type="dxa" w:w="5616"/>
            <w:tcMar>
              <w:top w:w="60" w:type="dxa"/>
              <w:start w:w="120" w:type="dxa"/>
              <w:bottom w:w="60" w:type="dxa"/>
              <w:end w:w="120" w:type="dxa"/>
            </w:tcMar>
          </w:tcPr>
          <w:p>
            <w:pPr>
              <w:spacing w:after="0"/>
              <w:keepNext/>
              <w:keepLines/>
            </w:pPr>
            <w:r>
              <w:rPr>
                <w:sz w:val="19"/>
              </w:rPr>
              <w:t>Future Expansion — ideas deferred to a later milestone, not blocking current work</w:t>
            </w:r>
          </w:p>
        </w:tc>
        <w:tc>
          <w:tcPr>
            <w:tcW w:type="dxa" w:w="1872"/>
            <w:tcMar>
              <w:top w:w="60" w:type="dxa"/>
              <w:start w:w="120" w:type="dxa"/>
              <w:bottom w:w="60" w:type="dxa"/>
              <w:end w:w="120" w:type="dxa"/>
            </w:tcMar>
          </w:tcPr>
          <w:p>
            <w:pPr>
              <w:spacing w:after="0"/>
              <w:keepNext/>
              <w:keepLines/>
            </w:pPr>
            <w:r>
              <w:rPr>
                <w:sz w:val="19"/>
              </w:rPr>
              <w:t>Green</w:t>
            </w:r>
          </w:p>
        </w:tc>
      </w:tr>
      <w:tr>
        <w:trPr>
          <w:cantSplit/>
        </w:trPr>
        <w:tc>
          <w:tcPr>
            <w:tcW w:type="dxa" w:w="1872"/>
            <w:shd w:val="clear" w:color="auto" w:fill="F3F6FA"/>
            <w:tcMar>
              <w:top w:w="60" w:type="dxa"/>
              <w:start w:w="120" w:type="dxa"/>
              <w:bottom w:w="60" w:type="dxa"/>
              <w:end w:w="120" w:type="dxa"/>
            </w:tcMar>
          </w:tcPr>
          <w:p>
            <w:pPr>
              <w:spacing w:after="0"/>
            </w:pPr>
            <w:r>
              <w:rPr>
                <w:rFonts w:ascii="Consolas" w:hAnsi="Consolas"/>
                <w:sz w:val="19"/>
              </w:rPr>
              <w:t>warning</w:t>
            </w:r>
          </w:p>
        </w:tc>
        <w:tc>
          <w:tcPr>
            <w:tcW w:type="dxa" w:w="5616"/>
            <w:shd w:val="clear" w:color="auto" w:fill="F3F6FA"/>
            <w:tcMar>
              <w:top w:w="60" w:type="dxa"/>
              <w:start w:w="120" w:type="dxa"/>
              <w:bottom w:w="60" w:type="dxa"/>
              <w:end w:w="120" w:type="dxa"/>
            </w:tcMar>
          </w:tcPr>
          <w:p>
            <w:pPr>
              <w:spacing w:after="0"/>
            </w:pPr>
            <w:r>
              <w:rPr>
                <w:sz w:val="19"/>
              </w:rPr>
              <w:t>Cautions and pitfalls — things that will break something if skipped</w:t>
            </w:r>
          </w:p>
        </w:tc>
        <w:tc>
          <w:tcPr>
            <w:tcW w:type="dxa" w:w="1872"/>
            <w:shd w:val="clear" w:color="auto" w:fill="F3F6FA"/>
            <w:tcMar>
              <w:top w:w="60" w:type="dxa"/>
              <w:start w:w="120" w:type="dxa"/>
              <w:bottom w:w="60" w:type="dxa"/>
              <w:end w:w="120" w:type="dxa"/>
            </w:tcMar>
          </w:tcPr>
          <w:p>
            <w:pPr>
              <w:spacing w:after="0"/>
            </w:pPr>
            <w:r>
              <w:rPr>
                <w:sz w:val="19"/>
              </w:rPr>
              <w:t>Red</w:t>
            </w:r>
          </w:p>
        </w:tc>
      </w:tr>
    </w:tbl>
    <w:p>
      <w:pPr>
        <w:spacing w:after="40"/>
      </w:pPr>
    </w:p>
    <w:p>
      <w:pPr>
        <w:pStyle w:val="Heading1"/>
      </w:pPr>
      <w:r>
        <w:t>Figure and Table Presentation</w:t>
      </w:r>
    </w:p>
    <w:p>
      <w:pPr>
        <w:tabs>
          <w:tab w:pos="547" w:val="left"/>
        </w:tabs>
        <w:spacing w:after="80"/>
        <w:ind w:left="547" w:hanging="288"/>
      </w:pPr>
      <w:r>
        <w:rPr>
          <w:color w:val="2E6DA4"/>
        </w:rPr>
        <w:t>▪</w:t>
        <w:tab/>
      </w:r>
      <w:r>
        <w:t xml:space="preserve">Figure format: </w:t>
      </w:r>
      <w:r>
        <w:rPr>
          <w:rFonts w:ascii="Consolas" w:hAnsi="Consolas"/>
          <w:sz w:val="19"/>
        </w:rPr>
        <w:t>Figure &lt;chapter&gt;-&lt;number&gt;: &lt;caption&gt;</w:t>
      </w:r>
    </w:p>
    <w:p>
      <w:pPr>
        <w:tabs>
          <w:tab w:pos="547" w:val="left"/>
        </w:tabs>
        <w:spacing w:after="80"/>
        <w:ind w:left="547" w:hanging="288"/>
      </w:pPr>
      <w:r>
        <w:rPr>
          <w:color w:val="2E6DA4"/>
        </w:rPr>
        <w:t>▪</w:t>
        <w:tab/>
      </w:r>
      <w:r>
        <w:t xml:space="preserve">Table format: </w:t>
      </w:r>
      <w:r>
        <w:rPr>
          <w:rFonts w:ascii="Consolas" w:hAnsi="Consolas"/>
          <w:sz w:val="19"/>
        </w:rPr>
        <w:t>Table &lt;chapter&gt;-&lt;number&gt;: &lt;caption&gt;</w:t>
      </w:r>
    </w:p>
    <w:p>
      <w:pPr>
        <w:tabs>
          <w:tab w:pos="547" w:val="left"/>
        </w:tabs>
        <w:spacing w:after="80"/>
        <w:ind w:left="547" w:hanging="288"/>
      </w:pPr>
      <w:r>
        <w:rPr>
          <w:color w:val="2E6DA4"/>
        </w:rPr>
        <w:t>▪</w:t>
        <w:tab/>
      </w:r>
      <w:r>
        <w:t>Every diagram shall have a title and a stated purpose</w:t>
      </w:r>
    </w:p>
    <w:p>
      <w:pPr>
        <w:tabs>
          <w:tab w:pos="547" w:val="left"/>
        </w:tabs>
        <w:spacing w:after="80"/>
        <w:ind w:left="547" w:hanging="288"/>
      </w:pPr>
      <w:r>
        <w:rPr>
          <w:color w:val="2E6DA4"/>
        </w:rPr>
        <w:t>▪</w:t>
        <w:tab/>
      </w:r>
      <w:r>
        <w:t>Screenshots shall be cropped for readability and annotated when needed</w:t>
      </w:r>
    </w:p>
    <w:p>
      <w:pPr>
        <w:tabs>
          <w:tab w:pos="547" w:val="left"/>
        </w:tabs>
        <w:spacing w:after="80"/>
        <w:ind w:left="547" w:hanging="288"/>
      </w:pPr>
      <w:r>
        <w:rPr>
          <w:color w:val="2E6DA4"/>
        </w:rPr>
        <w:t>▪</w:t>
        <w:tab/>
      </w:r>
      <w:r>
        <w:t>Diagrams are authored as SVG where practical (renders cleanly, stays editable, no binary diffing)</w:t>
      </w:r>
    </w:p>
    <w:p>
      <w:pPr>
        <w:pStyle w:val="Heading1"/>
      </w:pPr>
      <w:r>
        <w:t>The Build Pipeline</w:t>
      </w:r>
    </w:p>
    <w:p>
      <w:r>
        <w:rPr>
          <w:b/>
        </w:rPr>
        <w:t>Markdown is the living source of truth.</w:t>
      </w:r>
      <w:r>
        <w:t xml:space="preserve"> Every formal document is authored as JSON chapter files under a </w:t>
      </w:r>
      <w:r>
        <w:rPr>
          <w:rFonts w:ascii="Consolas" w:hAnsi="Consolas"/>
          <w:sz w:val="19"/>
        </w:rPr>
        <w:t>chapters/</w:t>
      </w:r>
      <w:r>
        <w:t xml:space="preserve"> folder next to a </w:t>
      </w:r>
      <w:r>
        <w:rPr>
          <w:rFonts w:ascii="Consolas" w:hAnsi="Consolas"/>
          <w:sz w:val="19"/>
        </w:rPr>
        <w:t>build.py</w:t>
      </w:r>
      <w:r>
        <w:t xml:space="preserve"> script. Running </w:t>
      </w:r>
      <w:r>
        <w:rPr>
          <w:rFonts w:ascii="Consolas" w:hAnsi="Consolas"/>
          <w:sz w:val="19"/>
        </w:rPr>
        <w:t>build.py</w:t>
      </w:r>
      <w:r>
        <w:t xml:space="preserve"> regenerates both a </w:t>
      </w:r>
      <w:r>
        <w:rPr>
          <w:rFonts w:ascii="Consolas" w:hAnsi="Consolas"/>
          <w:sz w:val="19"/>
        </w:rPr>
        <w:t>.md</w:t>
      </w:r>
      <w:r>
        <w:t xml:space="preserve"> (source-of-record) and a styled </w:t>
      </w:r>
      <w:r>
        <w:rPr>
          <w:rFonts w:ascii="Consolas" w:hAnsi="Consolas"/>
          <w:sz w:val="19"/>
        </w:rPr>
        <w:t>.docx</w:t>
      </w:r>
      <w:r>
        <w:t xml:space="preserve"> from scratch — nothing is hand-edited in Word, so a document can always be rebuilt exactly from its source.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cd "00 Engineering/&lt;document folder&gt;"</w:t>
            </w:r>
          </w:p>
          <w:p>
            <w:pPr>
              <w:spacing w:after="0"/>
            </w:pPr>
            <w:r>
              <w:rPr>
                <w:rFonts w:ascii="Consolas" w:hAnsi="Consolas"/>
                <w:color w:val="222B38"/>
                <w:sz w:val="19"/>
              </w:rPr>
              <w:t>python build.py</w:t>
            </w:r>
          </w:p>
        </w:tc>
      </w:tr>
    </w:tbl>
    <w:p>
      <w:pPr>
        <w:spacing w:after="60"/>
      </w:pPr>
    </w:p>
    <w:p>
      <w:r>
        <w:rPr>
          <w:rFonts w:ascii="Consolas" w:hAnsi="Consolas"/>
          <w:sz w:val="19"/>
        </w:rPr>
        <w:t>build.py</w:t>
      </w:r>
      <w:r>
        <w:t xml:space="preserve"> imports the shared renderer from </w:t>
      </w:r>
      <w:r>
        <w:rPr>
          <w:rFonts w:ascii="Consolas" w:hAnsi="Consolas"/>
          <w:sz w:val="19"/>
        </w:rPr>
        <w:t>docs/docs_generators/style.py</w:t>
      </w:r>
      <w:r>
        <w:t xml:space="preserve"> (one copy, used by every document in this repository) and turns each chapter's </w:t>
      </w:r>
      <w:r>
        <w:rPr>
          <w:rFonts w:ascii="Consolas" w:hAnsi="Consolas"/>
          <w:sz w:val="19"/>
        </w:rPr>
        <w:t>blocks</w:t>
      </w:r>
      <w:r>
        <w:t xml:space="preserve"> array into styled Word content. Supported block types: </w:t>
      </w:r>
      <w:r>
        <w:rPr>
          <w:rFonts w:ascii="Consolas" w:hAnsi="Consolas"/>
          <w:sz w:val="19"/>
        </w:rPr>
        <w:t>h1</w:t>
      </w:r>
      <w:r>
        <w:t xml:space="preserve">, </w:t>
      </w:r>
      <w:r>
        <w:rPr>
          <w:rFonts w:ascii="Consolas" w:hAnsi="Consolas"/>
          <w:sz w:val="19"/>
        </w:rPr>
        <w:t>h2</w:t>
      </w:r>
      <w:r>
        <w:t xml:space="preserve">, </w:t>
      </w:r>
      <w:r>
        <w:rPr>
          <w:rFonts w:ascii="Consolas" w:hAnsi="Consolas"/>
          <w:sz w:val="19"/>
        </w:rPr>
        <w:t>p</w:t>
      </w:r>
      <w:r>
        <w:t xml:space="preserve">, </w:t>
      </w:r>
      <w:r>
        <w:rPr>
          <w:rFonts w:ascii="Consolas" w:hAnsi="Consolas"/>
          <w:sz w:val="19"/>
        </w:rPr>
        <w:t>steps</w:t>
      </w:r>
      <w:r>
        <w:t xml:space="preserve">, </w:t>
      </w:r>
      <w:r>
        <w:rPr>
          <w:rFonts w:ascii="Consolas" w:hAnsi="Consolas"/>
          <w:sz w:val="19"/>
        </w:rPr>
        <w:t>bullets</w:t>
      </w:r>
      <w:r>
        <w:t xml:space="preserve">, </w:t>
      </w:r>
      <w:r>
        <w:rPr>
          <w:rFonts w:ascii="Consolas" w:hAnsi="Consolas"/>
          <w:sz w:val="19"/>
        </w:rPr>
        <w:t>callout</w:t>
      </w:r>
      <w:r>
        <w:t xml:space="preserve">, </w:t>
      </w:r>
      <w:r>
        <w:rPr>
          <w:rFonts w:ascii="Consolas" w:hAnsi="Consolas"/>
          <w:sz w:val="19"/>
        </w:rPr>
        <w:t>screenshot</w:t>
      </w:r>
      <w:r>
        <w:t xml:space="preserve">, </w:t>
      </w:r>
      <w:r>
        <w:rPr>
          <w:rFonts w:ascii="Consolas" w:hAnsi="Consolas"/>
          <w:sz w:val="19"/>
        </w:rPr>
        <w:t>code</w:t>
      </w:r>
      <w:r>
        <w:t xml:space="preserve">, </w:t>
      </w:r>
      <w:r>
        <w:rPr>
          <w:rFonts w:ascii="Consolas" w:hAnsi="Consolas"/>
          <w:sz w:val="19"/>
        </w:rPr>
        <w:t>table</w:t>
      </w:r>
      <w:r>
        <w:t xml:space="preserve">. Inline text supports </w:t>
      </w:r>
      <w:r>
        <w:rPr>
          <w:rFonts w:ascii="Consolas" w:hAnsi="Consolas"/>
          <w:sz w:val="19"/>
        </w:rPr>
        <w:t>**bold**</w:t>
      </w:r>
      <w:r>
        <w:t>, `</w:t>
      </w:r>
      <w:r>
        <w:rPr>
          <w:rFonts w:ascii="Consolas" w:hAnsi="Consolas"/>
          <w:sz w:val="19"/>
        </w:rPr>
        <w:t xml:space="preserve"> </w:t>
      </w:r>
      <w:r>
        <w:t>code</w:t>
      </w:r>
      <w:r>
        <w:rPr>
          <w:rFonts w:ascii="Consolas" w:hAnsi="Consolas"/>
          <w:sz w:val="19"/>
        </w:rPr>
        <w:t xml:space="preserve"> </w:t>
      </w:r>
      <w:r>
        <w:rPr>
          <w:rFonts w:ascii="Consolas" w:hAnsi="Consolas"/>
          <w:sz w:val="19"/>
        </w:rPr>
        <w:t xml:space="preserve">, and </w:t>
      </w:r>
      <w:r>
        <w:rPr>
          <w:i/>
        </w:rPr>
        <w:t>italic</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NO AUTOMATIC PDF   </w:t>
            </w:r>
            <w:r>
              <w:rPr>
                <w:color w:val="222B38"/>
              </w:rPr>
              <w:t xml:space="preserve">The pipeline produces </w:t>
            </w:r>
            <w:r>
              <w:rPr>
                <w:rFonts w:ascii="Consolas" w:hAnsi="Consolas"/>
                <w:color w:val="222B38"/>
                <w:sz w:val="19"/>
              </w:rPr>
              <w:t>.md</w:t>
            </w:r>
            <w:r>
              <w:rPr>
                <w:color w:val="222B38"/>
              </w:rPr>
              <w:t xml:space="preserve"> and </w:t>
            </w:r>
            <w:r>
              <w:rPr>
                <w:rFonts w:ascii="Consolas" w:hAnsi="Consolas"/>
                <w:color w:val="222B38"/>
                <w:sz w:val="19"/>
              </w:rPr>
              <w:t>.docx</w:t>
            </w:r>
            <w:r>
              <w:rPr>
                <w:color w:val="222B38"/>
              </w:rPr>
              <w:t xml:space="preserve"> only — there is no PDF step (no LibreOffice/Word automation is installed). Export a PDF from Word by hand (File &gt; Save As &gt; PDF) when a document is ready to publish, if a PDF copy is wanted.</w:t>
            </w:r>
          </w:p>
        </w:tc>
      </w:tr>
    </w:tbl>
    <w:p>
      <w:pPr>
        <w:spacing w:after="80"/>
      </w:pPr>
    </w:p>
    <w:p>
      <w:pPr>
        <w:pStyle w:val="Heading1"/>
      </w:pPr>
      <w:r>
        <w:t>Quality Checklist</w:t>
      </w:r>
    </w:p>
    <w:p>
      <w:r>
        <w:t xml:space="preserve">Before a document is marked </w:t>
      </w:r>
      <w:r>
        <w:rPr>
          <w:b/>
        </w:rPr>
        <w:t>Approved</w:t>
      </w:r>
      <w:r>
        <w:t>:</w:t>
      </w:r>
    </w:p>
    <w:p>
      <w:pPr>
        <w:tabs>
          <w:tab w:pos="547" w:val="left"/>
        </w:tabs>
        <w:spacing w:after="80"/>
        <w:ind w:left="547" w:hanging="288"/>
      </w:pPr>
      <w:r>
        <w:rPr>
          <w:color w:val="2E6DA4"/>
        </w:rPr>
        <w:t>▪</w:t>
        <w:tab/>
      </w:r>
      <w:r>
        <w:t>Cover page present and correct (title, document number, revision)</w:t>
      </w:r>
    </w:p>
    <w:p>
      <w:pPr>
        <w:tabs>
          <w:tab w:pos="547" w:val="left"/>
        </w:tabs>
        <w:spacing w:after="80"/>
        <w:ind w:left="547" w:hanging="288"/>
      </w:pPr>
      <w:r>
        <w:rPr>
          <w:color w:val="2E6DA4"/>
        </w:rPr>
        <w:t>▪</w:t>
        <w:tab/>
      </w:r>
      <w:r>
        <w:t>Document control page present (owner, author, status)</w:t>
      </w:r>
    </w:p>
    <w:p>
      <w:pPr>
        <w:tabs>
          <w:tab w:pos="547" w:val="left"/>
        </w:tabs>
        <w:spacing w:after="80"/>
        <w:ind w:left="547" w:hanging="288"/>
      </w:pPr>
      <w:r>
        <w:rPr>
          <w:color w:val="2E6DA4"/>
        </w:rPr>
        <w:t>▪</w:t>
        <w:tab/>
      </w:r>
      <w:r>
        <w:t>Revision history entry added for this revision</w:t>
      </w:r>
    </w:p>
    <w:p>
      <w:pPr>
        <w:tabs>
          <w:tab w:pos="547" w:val="left"/>
        </w:tabs>
        <w:spacing w:after="80"/>
        <w:ind w:left="547" w:hanging="288"/>
      </w:pPr>
      <w:r>
        <w:rPr>
          <w:color w:val="2E6DA4"/>
        </w:rPr>
        <w:t>▪</w:t>
        <w:tab/>
      </w:r>
      <w:r>
        <w:t>Document number and revision match the filename</w:t>
      </w:r>
    </w:p>
    <w:p>
      <w:pPr>
        <w:tabs>
          <w:tab w:pos="547" w:val="left"/>
        </w:tabs>
        <w:spacing w:after="80"/>
        <w:ind w:left="547" w:hanging="288"/>
      </w:pPr>
      <w:r>
        <w:rPr>
          <w:color w:val="2E6DA4"/>
        </w:rPr>
        <w:t>▪</w:t>
        <w:tab/>
      </w:r>
      <w:r>
        <w:t>Headers, footers, and page numbers render correctly</w:t>
      </w:r>
    </w:p>
    <w:p>
      <w:pPr>
        <w:tabs>
          <w:tab w:pos="547" w:val="left"/>
        </w:tabs>
        <w:spacing w:after="80"/>
        <w:ind w:left="547" w:hanging="288"/>
      </w:pPr>
      <w:r>
        <w:rPr>
          <w:color w:val="2E6DA4"/>
        </w:rPr>
        <w:t>▪</w:t>
        <w:tab/>
      </w:r>
      <w:r>
        <w:t>Callout kinds used consistently with Chapter 3's table above</w:t>
      </w:r>
    </w:p>
    <w:p>
      <w:pPr>
        <w:tabs>
          <w:tab w:pos="547" w:val="left"/>
        </w:tabs>
        <w:spacing w:after="80"/>
        <w:ind w:left="547" w:hanging="288"/>
      </w:pPr>
      <w:r>
        <w:rPr>
          <w:color w:val="2E6DA4"/>
        </w:rPr>
        <w:t>▪</w:t>
        <w:tab/>
      </w:r>
      <w:r>
        <w:t xml:space="preserve">Figures and tables numbered per the </w:t>
      </w:r>
      <w:r>
        <w:rPr>
          <w:rFonts w:ascii="Consolas" w:hAnsi="Consolas"/>
          <w:sz w:val="19"/>
        </w:rPr>
        <w:t>&lt;chapter&gt;-&lt;number&gt;</w:t>
      </w:r>
      <w:r>
        <w:t xml:space="preserve"> convention</w:t>
      </w:r>
    </w:p>
    <w:p>
      <w:pPr>
        <w:tabs>
          <w:tab w:pos="547" w:val="left"/>
        </w:tabs>
        <w:spacing w:after="80"/>
        <w:ind w:left="547" w:hanging="288"/>
      </w:pPr>
      <w:r>
        <w:rPr>
          <w:color w:val="2E6DA4"/>
        </w:rPr>
        <w:t>▪</w:t>
        <w:tab/>
      </w:r>
      <w:r>
        <w:rPr>
          <w:rFonts w:ascii="Consolas" w:hAnsi="Consolas"/>
          <w:sz w:val="19"/>
        </w:rPr>
        <w:t>build.py</w:t>
      </w:r>
      <w:r>
        <w:t xml:space="preserve"> runs clean with no errors and the </w:t>
      </w:r>
      <w:r>
        <w:rPr>
          <w:rFonts w:ascii="Consolas" w:hAnsi="Consolas"/>
          <w:sz w:val="19"/>
        </w:rPr>
        <w:t>.md</w:t>
      </w:r>
      <w:r>
        <w:t xml:space="preserve"> / </w:t>
      </w:r>
      <w:r>
        <w:rPr>
          <w:rFonts w:ascii="Consolas" w:hAnsi="Consolas"/>
          <w:sz w:val="19"/>
        </w:rPr>
        <w:t>.docx</w:t>
      </w:r>
      <w:r>
        <w:t xml:space="preserve"> are both committed</w:t>
      </w:r>
    </w:p>
    <w:p>
      <w:pPr>
        <w:tabs>
          <w:tab w:pos="547" w:val="left"/>
        </w:tabs>
        <w:spacing w:after="80"/>
        <w:ind w:left="547" w:hanging="288"/>
      </w:pPr>
      <w:r>
        <w:rPr>
          <w:color w:val="2E6DA4"/>
        </w:rPr>
        <w:t>▪</w:t>
        <w:tab/>
      </w:r>
      <w:r>
        <w:t xml:space="preserve">Superseded prior revisions moved to </w:t>
      </w:r>
      <w:r>
        <w:rPr>
          <w:rFonts w:ascii="Consolas" w:hAnsi="Consolas"/>
          <w:sz w:val="19"/>
        </w:rPr>
        <w:t>99 Archive/</w:t>
      </w:r>
      <w:r>
        <w:t>, not deleted</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40"/>
      <w:pBdr>
        <w:bottom w:val="single" w:sz="6" w:space="2" w:color="1F3A5F"/>
      </w:pBdr>
    </w:pPr>
  </w:p>
  <w:tbl>
    <w:tblPr>
      <w:tblW w:type="auto" w:w="0"/>
      <w:tblLayout w:type="fixed"/>
      <w:tblLook w:firstColumn="1" w:firstRow="1" w:lastColumn="0" w:lastRow="0" w:noHBand="0" w:noVBand="1" w:val="04A0"/>
    </w:tblPr>
    <w:tblGrid>
      <w:gridCol w:w="4680"/>
      <w:gridCol w:w="4680"/>
    </w:tblGrid>
    <w:tr>
      <w:tc>
        <w:tcPr>
          <w:tcW w:type="dxa" w:w="6480"/>
          <w:tcBorders>
            <w:top w:val="nil" w:sz="6" w:space="0" w:color="auto"/>
            <w:left w:val="nil" w:sz="6" w:space="0" w:color="auto"/>
            <w:bottom w:val="nil" w:sz="6" w:space="0" w:color="auto"/>
            <w:right w:val="nil" w:sz="6" w:space="0" w:color="auto"/>
          </w:tcBorders>
        </w:tcPr>
        <w:p>
          <w:pPr>
            <w:spacing w:after="0"/>
          </w:pPr>
          <w:r>
            <w:rPr>
              <w:rFonts w:ascii="Segoe UI" w:hAnsi="Segoe UI"/>
              <w:color w:val="64748B"/>
              <w:sz w:val="16"/>
            </w:rPr>
            <w:t>Project AROC  ·  KE4CON Technical Library and Engineering System</w:t>
          </w:r>
        </w:p>
      </w:tc>
      <w:tc>
        <w:tcPr>
          <w:tcW w:type="dxa" w:w="2880"/>
          <w:tcBorders>
            <w:top w:val="nil" w:sz="6" w:space="0" w:color="auto"/>
            <w:left w:val="nil" w:sz="6" w:space="0" w:color="auto"/>
            <w:bottom w:val="nil" w:sz="6" w:space="0" w:color="auto"/>
            <w:right w:val="nil" w:sz="6" w:space="0" w:color="auto"/>
          </w:tcBorders>
        </w:tcPr>
        <w:p>
          <w:pPr>
            <w:spacing w:after="0"/>
            <w:jc w:val="right"/>
          </w:pPr>
          <w:r>
            <w:rPr>
              <w:rFonts w:ascii="Segoe UI" w:hAnsi="Segoe UI"/>
              <w:color w:val="64748B"/>
              <w:sz w:val="16"/>
            </w:rPr>
            <w:t xml:space="preserve">Page </w:t>
          </w:r>
          <w:r>
            <w:rPr>
              <w:color w:val="64748B"/>
              <w:sz w:val="16"/>
            </w:rPr>
            <w:fldChar w:fldCharType="begin"/>
            <w:instrText xml:space="preserve"> PAGE </w:instrText>
            <w:fldChar w:fldCharType="separate"/>
            <w:fldChar w:fldCharType="end"/>
          </w:r>
          <w:r>
            <w:rPr>
              <w:rFonts w:ascii="Segoe UI" w:hAnsi="Segoe UI"/>
              <w:color w:val="64748B"/>
              <w:sz w:val="16"/>
            </w:rPr>
            <w:t xml:space="preserve"> of </w:t>
          </w:r>
          <w:r>
            <w:rPr>
              <w:color w:val="64748B"/>
              <w:sz w:val="16"/>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12" w:space="6" w:color="D9A521"/>
      </w:pBdr>
    </w:pPr>
    <w:r>
      <w:rPr>
        <w:rFonts w:ascii="Segoe UI Semibold" w:hAnsi="Segoe UI Semibold"/>
        <w:color w:val="1F3A5F"/>
        <w:sz w:val="19"/>
      </w:rPr>
      <w:t>Project AROC — Project AROC Publishing Standard</w:t>
    </w:r>
    <w:r>
      <w:br/>
    </w:r>
    <w:r>
      <w:rPr>
        <w:rFonts w:ascii="Segoe UI" w:hAnsi="Segoe UI"/>
        <w:color w:val="64748B"/>
        <w:sz w:val="16"/>
      </w:rPr>
      <w:t>AROC-STD-0001 · Revision 0.2 · KE4CON Amateur Radio Operations Center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Segoe UI" w:hAnsi="Segoe UI"/>
      <w:color w:val="222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Segoe UI Semibold" w:hAnsi="Segoe UI Semibold"/>
      <w:b w:val="0"/>
      <w:bCs/>
      <w:color w:val="1F3A5F"/>
      <w:sz w:val="3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Segoe UI Semibold" w:hAnsi="Segoe UI Semibold"/>
      <w:b w:val="0"/>
      <w:bCs/>
      <w:color w:val="2E6DA4"/>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