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Typed RTL Web Admin Panel API Client.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Enforces server-side session token authentication and IRT integer formatting.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DashboardMetrics 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total_users: number;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active_users: number;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total_orders: number;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delivered_orders: number;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failed_deliveries: number;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order_revenue_irt: number;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order_revenue_formatted: string;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gross_gateway_deposits_irt: number;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gross_manual_deposits_irt: number;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wallet_liabilities_irt: number;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pending_manual_deposits: number;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pending_milestones: number;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available_inventory: number;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BulkImportPreview {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product_id: number;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service_type: string;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delimiter: string;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total_count: number;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valid_count: number;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invalid_count: number;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duplicate_count: number;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can_commit_atomic: boolean;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errors: Array&lt;{ line: number; type: string; error: string }&gt;;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function formatPersianIRT(amount: number): string 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NumberFormat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+ 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async function apiFetch&lt;T&gt;(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path: string,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token: string,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options: RequestInit = {}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Promise&lt;T&gt; 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res = await fetch(path,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...options,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headers: {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"Content-Type": "application/json",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Authorization: `Bearer ${token}`,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...(options.headers || {}),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(!res.ok) 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(() =&gt; ({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خطای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ناشناخته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ارتباط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}));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throw new Error(err.detail || `HTTP ${res.status}`);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res.json() as Promise&lt;T&gt;;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