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 en el</w:t></w:r></w:p><w:p><w:pPr/><w:r><w:rPr><w:rFonts w:ascii="Arial" w:hAnsi="Arial" w:eastAsia="Arial" w:cs="Arial"/><w:sz w:val="22"/><w:szCs w:val="22"/></w:rPr><w:t xml:space="preserve">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crecimiento de neg</w:t></w:r></w:p><w:p><w:pPr/><w:r><w:rPr><w:rFonts w:ascii="Arial" w:hAnsi="Arial" w:eastAsia="Arial" w:cs="Arial"/><w:sz w:val="22"/><w:szCs w:val="22"/></w:rPr><w:t xml:space="preserve">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actuales de </w:t></w:r></w:p><w:p><w:pPr/><w:r><w:rPr><w:rFonts w:ascii="Arial" w:hAnsi="Arial" w:eastAsia="Arial" w:cs="Arial"/><w:sz w:val="22"/><w:szCs w:val="22"/></w:rPr><w:t xml:space="preserve">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2019).En resumen, el análisis evidencia que Iquitos Store dispone de un mercado suficientemente amplio como para sostener un modelo híbrido de comercialización, siempre que se implemente una est</w:t></w:r></w:p><w:p><w:pPr/><w:r><w:rPr><w:rFonts w:ascii="Arial" w:hAnsi="Arial" w:eastAsia="Arial" w:cs="Arial"/><w:sz w:val="22"/><w:szCs w:val="22"/></w:rPr><w:t xml:space="preserve">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2026-06-18T17:55:17-05:00</dcterms:created>
  <dcterms:modified xsi:type="dcterms:W3CDTF">2026-06-18T17:55:17-05:00</dcterms:modified>
</cp:coreProperties>
</file>

<file path=docProps/custom.xml><?xml version="1.0" encoding="utf-8"?>
<Properties xmlns="http://schemas.openxmlformats.org/officeDocument/2006/custom-properties" xmlns:vt="http://schemas.openxmlformats.org/officeDocument/2006/docPropsVTypes"/>
</file>