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

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

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

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

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

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

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w:t></w:r></w:p><w:p><w:pPr/><w:r><w:rPr><w:rFonts w:ascii="Arial" w:hAnsi="Arial" w:eastAsia="Arial" w:cs="Arial"/><w:sz w:val="22"/><w:szCs w:val="22"/></w:rPr><w:t xml:space="preserve"> en el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

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

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w:t></w:r></w:p><w:p><w:pPr/><w:r><w:rPr><w:rFonts w:ascii="Arial" w:hAnsi="Arial" w:eastAsia="Arial" w:cs="Arial"/><w:sz w:val="22"/><w:szCs w:val="22"/></w:rPr><w:t xml:space="preserve">o de negocios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

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

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w:t></w:r></w:p><w:p><w:pPr/><w:r><w:rPr><w:rFonts w:ascii="Arial" w:hAnsi="Arial" w:eastAsia="Arial" w:cs="Arial"/><w:sz w:val="22"/><w:szCs w:val="22"/></w:rPr><w:t xml:space="preserve">ales de 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

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

En resumen, el análisis evidencia que Iquitos Store dispone de un mercado suficientemente amplio como para sostener un modelo híbrido de comercialización, siempre que se implem</w:t></w:r></w:p><w:p><w:pPr/><w:r><w:rPr><w:rFonts w:ascii="Arial" w:hAnsi="Arial" w:eastAsia="Arial" w:cs="Arial"/><w:sz w:val="22"/><w:szCs w:val="22"/></w:rPr><w:t xml:space="preserve">ente una estrategia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

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2026-06-18T17:58:00-05:00</dcterms:created>
  <dcterms:modified xsi:type="dcterms:W3CDTF">2026-06-18T17:58:00-05:00</dcterms:modified>
</cp:coreProperties>
</file>

<file path=docProps/custom.xml><?xml version="1.0" encoding="utf-8"?>
<Properties xmlns="http://schemas.openxmlformats.org/officeDocument/2006/custom-properties" xmlns:vt="http://schemas.openxmlformats.org/officeDocument/2006/docPropsVTypes"/>
</file>