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072C" w14:textId="77777777" w:rsidR="008E333E" w:rsidRPr="008E333E" w:rsidRDefault="008E333E" w:rsidP="008E333E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GB"/>
        </w:rPr>
      </w:pPr>
      <w:r w:rsidRPr="008E333E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GB"/>
        </w:rPr>
        <w:t>. Initial Report</w:t>
      </w:r>
    </w:p>
    <w:p w14:paraId="61B9E957" w14:textId="77777777" w:rsidR="008E333E" w:rsidRPr="008E333E" w:rsidRDefault="008E333E" w:rsidP="008E333E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aim of the initial report (~1% of your degree mark) is to ensure that you and your supervisor agree on what the project is about, and to check that you have a clear idea of how you are going to tackle it. Investing time to prepare a high quality initial report is likely to lead to a much more successful project. It should be approximately 10 pages long.  The report should include:</w:t>
      </w:r>
    </w:p>
    <w:p w14:paraId="34399DF3" w14:textId="0BE12740" w:rsidR="008E333E" w:rsidRDefault="008E333E" w:rsidP="008E33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 cover page, complete with the project title, your name, registration number, your supervisor's name, your second assessors name, and your degree course.</w:t>
      </w:r>
    </w:p>
    <w:p w14:paraId="57AB8AB4" w14:textId="77777777" w:rsidR="008E333E" w:rsidRPr="008E333E" w:rsidRDefault="008E333E" w:rsidP="008E33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216D49F9" w14:textId="51894209" w:rsidR="008E333E" w:rsidRDefault="008E333E" w:rsidP="008E33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An outline of the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background reading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you have carried out. You need to demonstrate that you have read and understood a range of background literature from a range of sources including </w:t>
      </w:r>
      <w:proofErr w:type="gramStart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to a great extent peer</w:t>
      </w:r>
      <w:proofErr w:type="gramEnd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reviewed articles. There should be appropriate referencing (</w:t>
      </w:r>
      <w:hyperlink r:id="rId5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IEEE</w:t>
        </w:r>
      </w:hyperlink>
      <w:hyperlink r:id="rId6" w:anchor="_ftn1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[1]</w:t>
        </w:r>
      </w:hyperlink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). It is advisable for you to use an electronic referencing system. Do concentrate on background reading that allows you to arrive at a set of clear goals with a project planning methodology decided. You will complete a more detailed literature review as part of your final report.</w:t>
      </w:r>
    </w:p>
    <w:p w14:paraId="19B72505" w14:textId="77777777" w:rsidR="008E333E" w:rsidRPr="008E333E" w:rsidRDefault="008E333E" w:rsidP="008E33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78BB8F00" w14:textId="2213EAD0" w:rsidR="008E333E" w:rsidRDefault="008E333E" w:rsidP="008E33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project goals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You should describe your project goals including all aspects of the product to be delivered. The product may be hardware (e.g. electronic device), software </w:t>
      </w:r>
      <w:proofErr w:type="gramStart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( e.g.</w:t>
      </w:r>
      <w:proofErr w:type="gramEnd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game, app, website, database), or the use of software packages to deliver a product ( e.g. virtual network with security, device simulation). It is important that you describe the goals in a manner that gives confidence to their being achieved. </w:t>
      </w:r>
      <w:r w:rsidRPr="008E333E">
        <w:rPr>
          <w:rFonts w:ascii="Helvetica" w:eastAsia="Times New Roman" w:hAnsi="Helvetica" w:cs="Helvetica"/>
          <w:color w:val="FF0000"/>
          <w:sz w:val="21"/>
          <w:szCs w:val="21"/>
          <w:lang w:eastAsia="en-GB"/>
        </w:rPr>
        <w:t>All code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for a project and the </w:t>
      </w:r>
      <w:r w:rsidRPr="008E333E">
        <w:rPr>
          <w:rFonts w:ascii="Helvetica" w:eastAsia="Times New Roman" w:hAnsi="Helvetica" w:cs="Helvetica"/>
          <w:color w:val="FF0000"/>
          <w:sz w:val="21"/>
          <w:szCs w:val="21"/>
          <w:lang w:eastAsia="en-GB"/>
        </w:rPr>
        <w:t>technical documentation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must be held in the </w:t>
      </w:r>
      <w:hyperlink r:id="rId7" w:tgtFrame="_blank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CSEE GitLab</w:t>
        </w:r>
      </w:hyperlink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repository. Do not worry about how to develop the technical documentation within GitLab. This will be explained once the Autumn term has started.</w:t>
      </w:r>
    </w:p>
    <w:p w14:paraId="7123F7AA" w14:textId="77777777" w:rsidR="008E333E" w:rsidRPr="008E333E" w:rsidRDefault="008E333E" w:rsidP="008E333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56281F4C" w14:textId="27D38993" w:rsidR="008E333E" w:rsidRDefault="008E333E" w:rsidP="008E33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In the project goals </w:t>
      </w:r>
      <w:proofErr w:type="gramStart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section</w:t>
      </w:r>
      <w:proofErr w:type="gramEnd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you must be clear about the deliverables you will have achieved by the interim oral examination in Week 11. This examination will be undertaken by the second assessor. S/he will need access to your project management tools and your GitLab repository.</w:t>
      </w:r>
    </w:p>
    <w:p w14:paraId="476163E0" w14:textId="77777777" w:rsidR="008E333E" w:rsidRDefault="008E333E" w:rsidP="008E333E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795184D2" w14:textId="77777777" w:rsidR="008E333E" w:rsidRPr="008E333E" w:rsidRDefault="008E333E" w:rsidP="008E333E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bookmarkStart w:id="0" w:name="_GoBack"/>
      <w:bookmarkEnd w:id="0"/>
    </w:p>
    <w:p w14:paraId="4EC404BF" w14:textId="77777777" w:rsidR="008E333E" w:rsidRPr="008E333E" w:rsidRDefault="008E333E" w:rsidP="008E333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 final section should be a report on the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project planning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undertaken over the summer and the plan that will be followed through the project lifetime.</w:t>
      </w:r>
    </w:p>
    <w:p w14:paraId="50F6E090" w14:textId="77777777" w:rsidR="008E333E" w:rsidRPr="008E333E" w:rsidRDefault="008E333E" w:rsidP="008E333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For the Summer period you must use the </w:t>
      </w:r>
      <w:hyperlink r:id="rId8" w:tgtFrame="_blank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 xml:space="preserve">CSEE </w:t>
        </w:r>
        <w:proofErr w:type="spellStart"/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KanBan</w:t>
        </w:r>
        <w:proofErr w:type="spellEnd"/>
      </w:hyperlink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to record your planning. There are useful videos that can help your understanding of using this tool.</w:t>
      </w:r>
    </w:p>
    <w:p w14:paraId="6B1E78CE" w14:textId="77777777" w:rsidR="008E333E" w:rsidRPr="008E333E" w:rsidRDefault="008E333E" w:rsidP="008E333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Later in the summer the project management tool you will use for the main project starting in Week 2 of the Autumn term will be released. </w:t>
      </w:r>
    </w:p>
    <w:p w14:paraId="0B0D612A" w14:textId="77777777" w:rsidR="008E333E" w:rsidRPr="008E333E" w:rsidRDefault="008E333E" w:rsidP="008E333E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>The report should flow from one section to the other so that the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background reading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sets the rationale for the choice of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project goals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 the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deliverables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to be achieved. The final section demonstrates that you have thought about </w:t>
      </w:r>
      <w:r w:rsidRPr="008E333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planning</w:t>
      </w:r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You will alter the planning through the project. This is the nature of the agile methodology, as </w:t>
      </w:r>
      <w:proofErr w:type="spellStart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apposed</w:t>
      </w:r>
      <w:proofErr w:type="spellEnd"/>
      <w:r w:rsidRPr="008E333E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to Waterfall used in Year 2.</w:t>
      </w:r>
    </w:p>
    <w:p w14:paraId="1B553225" w14:textId="77777777" w:rsidR="008E333E" w:rsidRPr="008E333E" w:rsidRDefault="008E333E" w:rsidP="008E333E">
      <w:pPr>
        <w:shd w:val="clear" w:color="auto" w:fill="FFFFFF"/>
        <w:spacing w:after="150" w:line="39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9" w:anchor="_ftnref1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[1]</w:t>
        </w:r>
      </w:hyperlink>
      <w:hyperlink r:id="rId10" w:tgtFrame="_blank" w:history="1">
        <w:r w:rsidRPr="008E333E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GB"/>
          </w:rPr>
          <w:t>http://www.york.ac.uk/integrity/ieee.html</w:t>
        </w:r>
      </w:hyperlink>
    </w:p>
    <w:p w14:paraId="06EA106E" w14:textId="77777777" w:rsidR="007E2EBE" w:rsidRDefault="007E2EBE"/>
    <w:sectPr w:rsidR="007E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4E79"/>
    <w:multiLevelType w:val="multilevel"/>
    <w:tmpl w:val="6B58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78"/>
    <w:rsid w:val="007E2EBE"/>
    <w:rsid w:val="00847678"/>
    <w:rsid w:val="008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F61F"/>
  <w15:chartTrackingRefBased/>
  <w15:docId w15:val="{466F6BA6-48C0-4EB5-9B35-2E34FE2E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3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E33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333E"/>
    <w:rPr>
      <w:b/>
      <w:bCs/>
    </w:rPr>
  </w:style>
  <w:style w:type="character" w:customStyle="1" w:styleId="vjs-control-text">
    <w:name w:val="vjs-control-text"/>
    <w:basedOn w:val="DefaultParagraphFont"/>
    <w:rsid w:val="008E333E"/>
  </w:style>
  <w:style w:type="paragraph" w:styleId="ListParagraph">
    <w:name w:val="List Paragraph"/>
    <w:basedOn w:val="Normal"/>
    <w:uiPriority w:val="34"/>
    <w:qFormat/>
    <w:rsid w:val="008E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0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67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403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3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7618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95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taiga.essex.ac.uk/disco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eegit.essex.ac.uk/users/sign_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essex.ac.uk/mod/book/view.php?id=434866&amp;chapterid=100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eee.org/documents/ieeecitationref.pdf" TargetMode="External"/><Relationship Id="rId10" Type="http://schemas.openxmlformats.org/officeDocument/2006/relationships/hyperlink" Target="http://www.york.ac.uk/integrity/ie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essex.ac.uk/mod/book/view.php?id=434866&amp;chapterid=10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Dayman</dc:creator>
  <cp:keywords/>
  <dc:description/>
  <cp:lastModifiedBy>Kenneth Dayman</cp:lastModifiedBy>
  <cp:revision>2</cp:revision>
  <dcterms:created xsi:type="dcterms:W3CDTF">2018-10-08T09:51:00Z</dcterms:created>
  <dcterms:modified xsi:type="dcterms:W3CDTF">2018-10-08T15:32:00Z</dcterms:modified>
</cp:coreProperties>
</file>