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A5DF" w14:textId="77777777" w:rsidR="008D4335" w:rsidRDefault="00767680" w:rsidP="000E3BAB">
      <w:pPr>
        <w:pStyle w:val="Prrafodelista"/>
        <w:numPr>
          <w:ilvl w:val="0"/>
          <w:numId w:val="1"/>
        </w:numPr>
        <w:spacing w:after="0" w:line="240" w:lineRule="auto"/>
        <w:jc w:val="center"/>
        <w:rPr>
          <w:rFonts w:cs="Arial"/>
          <w:b/>
          <w:sz w:val="24"/>
        </w:rPr>
      </w:pPr>
      <w:r w:rsidRPr="00B906AE">
        <w:rPr>
          <w:rFonts w:cs="Arial"/>
          <w:b/>
          <w:sz w:val="24"/>
        </w:rPr>
        <w:t>JUICIO GLOBAL SOBRE LA CALIDAD DEL PROGRAMA ACADÉMICO</w:t>
      </w:r>
    </w:p>
    <w:p w14:paraId="6DB52112" w14:textId="77777777" w:rsidR="003046A5" w:rsidRPr="00B906AE" w:rsidRDefault="003046A5" w:rsidP="000E3BAB">
      <w:pPr>
        <w:pStyle w:val="Prrafodelista"/>
        <w:numPr>
          <w:ilvl w:val="0"/>
          <w:numId w:val="1"/>
        </w:numPr>
        <w:spacing w:after="0" w:line="240" w:lineRule="auto"/>
        <w:jc w:val="center"/>
        <w:rPr>
          <w:rFonts w:cs="Arial"/>
          <w:b/>
          <w:sz w:val="24"/>
        </w:rPr>
      </w:pPr>
    </w:p>
    <w:p w14:paraId="08563209" w14:textId="77777777" w:rsidR="003046A5" w:rsidRPr="003046A5" w:rsidRDefault="003046A5" w:rsidP="003046A5">
      <w:pPr>
        <w:pStyle w:val="Sinespaciado"/>
        <w:rPr>
          <w:rFonts w:cs="Arial"/>
        </w:rPr>
      </w:pPr>
      <w:r w:rsidRPr="003046A5">
        <w:rPr>
          <w:rFonts w:cs="Arial"/>
        </w:rPr>
        <w:t>En esta sección se emiten los juicios de calidad correspondientes a cada uno de los factores evaluados en el proceso de autoevaluación del Programa de Ingeniería de Sistemas de la Universidad de La Guajira. Estos juicios se fundamentan en el análisis integral de las evidencias documentales, estadísticas, resultados de encuestas, informes institucionales y apreciaciones de la comunidad académica.</w:t>
      </w:r>
    </w:p>
    <w:p w14:paraId="6DCA2B34" w14:textId="77777777" w:rsidR="003046A5" w:rsidRPr="003046A5" w:rsidRDefault="003046A5" w:rsidP="003046A5">
      <w:pPr>
        <w:pStyle w:val="Sinespaciado"/>
        <w:rPr>
          <w:rFonts w:cs="Arial"/>
        </w:rPr>
      </w:pPr>
    </w:p>
    <w:p w14:paraId="6727A10C" w14:textId="7FE862F9" w:rsidR="003046A5" w:rsidRDefault="003046A5" w:rsidP="003046A5">
      <w:pPr>
        <w:pStyle w:val="Sinespaciado"/>
        <w:spacing w:line="276" w:lineRule="auto"/>
        <w:rPr>
          <w:rFonts w:cs="Arial"/>
        </w:rPr>
      </w:pPr>
      <w:r w:rsidRPr="003046A5">
        <w:rPr>
          <w:rFonts w:cs="Arial"/>
        </w:rPr>
        <w:t>Cada juicio incluye la calificación cuantitativa obtenida, el peso del factor en la ponderación aprobada mediante la Resolución 007 de 2022 del Consejo de Facultad de Ingeniería (anexo 4) y una síntesis de los principales logros, estrategias implementadas y acciones de mejora en curso. El objetivo de este ejercicio es valorar de manera objetiva y argumentada la calidad del programa, en coherencia con los lineamientos del modelo de autoevaluación con fines de acreditación del Consejo Nacional de Acreditación, y proyectar acciones hacia la excelencia académica y la mejora continua.</w:t>
      </w:r>
      <w:r w:rsidRPr="003046A5">
        <w:rPr>
          <w:rFonts w:cs="Arial"/>
        </w:rPr>
      </w:r>
    </w:p>
    <w:p w14:paraId="3E810D7E" w14:textId="77777777" w:rsidR="003046A5" w:rsidRPr="00B906AE" w:rsidRDefault="003046A5" w:rsidP="003046A5">
      <w:pPr>
        <w:pStyle w:val="Sinespaciado"/>
        <w:spacing w:line="276" w:lineRule="auto"/>
        <w:rPr>
          <w:rFonts w:cs="Arial"/>
        </w:rPr>
      </w:pPr>
    </w:p>
    <w:p w14:paraId="08563209" w14:textId="77777777" w:rsidR="003046A5" w:rsidRPr="003046A5" w:rsidRDefault="003046A5" w:rsidP="003046A5">
      <w:pPr>
        <w:pStyle w:val="Sinespaciado"/>
        <w:rPr>
          <w:rFonts w:cs="Arial"/>
        </w:rPr>
      </w:pPr>
      <w:r w:rsidRPr="003046A5">
        <w:rPr>
          <w:rFonts w:cs="Arial"/>
        </w:rPr>
        <w:t>Tabla 108. Calificación global del Programa de Ingeniería de Sistemas por factor</w:t>
      </w:r>
    </w:p>
    <w:tbl>
      <w:tblPr>
        <w:tblStyle w:val="Tablanormal1"/>
        <w:tblW w:type="auto" w:w="0"/>
        <w:tblLook w:firstColumn="1" w:firstRow="1" w:lastColumn="0" w:lastRow="0" w:noHBand="0" w:noVBand="1" w:val="04A0"/>
      </w:tblPr>
      <w:tblGrid>
        <w:gridCol w:w="1768"/>
        <w:gridCol w:w="1768"/>
        <w:gridCol w:w="1768"/>
        <w:gridCol w:w="1768"/>
        <w:gridCol w:w="1768"/>
      </w:tblGrid>
      <w:tr>
        <w:tc>
          <w:tcPr>
            <w:tcW w:type="dxa" w:w="1768"/>
          </w:tcPr>
          <w:p>
            <w:r>
              <w:t>Factor</w:t>
            </w:r>
          </w:p>
        </w:tc>
        <w:tc>
          <w:tcPr>
            <w:tcW w:type="dxa" w:w="1768"/>
          </w:tcPr>
          <w:p>
            <w:r>
              <w:t>Peso en la ponderación</w:t>
            </w:r>
          </w:p>
        </w:tc>
        <w:tc>
          <w:tcPr>
            <w:tcW w:type="dxa" w:w="1768"/>
          </w:tcPr>
          <w:p>
            <w:r>
              <w:t>Calificación cuantitativa</w:t>
            </w:r>
          </w:p>
        </w:tc>
        <w:tc>
          <w:tcPr>
            <w:tcW w:type="dxa" w:w="1768"/>
          </w:tcPr>
          <w:p>
            <w:r>
              <w:t>Calificación cualitativa</w:t>
            </w:r>
          </w:p>
        </w:tc>
        <w:tc>
          <w:tcPr>
            <w:tcW w:type="dxa" w:w="1768"/>
          </w:tcPr>
          <w:p>
            <w:r>
              <w:t>Estado</w:t>
            </w:r>
          </w:p>
        </w:tc>
      </w:tr>
      <w:tr>
        <w:tc>
          <w:tcPr>
            <w:tcW w:type="dxa" w:w="1768"/>
          </w:tcPr>
          <w:p>
            <w:r>
              <w:t>Factor 1. Proyecto Educativo del Programa e identidad institucional</w:t>
            </w:r>
          </w:p>
        </w:tc>
        <w:tc>
          <w:tcPr>
            <w:tcW w:type="dxa" w:w="1768"/>
          </w:tcPr>
          <w:p>
            <w:r>
              <w:t>6,40</w:t>
            </w:r>
          </w:p>
        </w:tc>
        <w:tc>
          <w:tcPr>
            <w:tcW w:type="dxa" w:w="1768"/>
          </w:tcPr>
          <w:p>
            <w:r>
              <w:t>96,65</w:t>
            </w:r>
          </w:p>
        </w:tc>
        <w:tc>
          <w:tcPr>
            <w:tcW w:type="dxa" w:w="1768"/>
          </w:tcPr>
          <w:p>
            <w:r>
              <w:t>Se cumple plenamente</w:t>
            </w:r>
          </w:p>
        </w:tc>
        <w:tc>
          <w:tcPr>
            <w:tcW w:type="dxa" w:w="1768"/>
          </w:tcPr>
          <w:p>
            <w:r>
              <w:t>Fortaleza</w:t>
            </w:r>
          </w:p>
        </w:tc>
      </w:tr>
      <w:tr>
        <w:tc>
          <w:tcPr>
            <w:tcW w:type="dxa" w:w="1768"/>
          </w:tcPr>
          <w:p>
            <w:r>
              <w:t>Factor 2. Estudiantes</w:t>
            </w:r>
          </w:p>
        </w:tc>
        <w:tc>
          <w:tcPr>
            <w:tcW w:type="dxa" w:w="1768"/>
          </w:tcPr>
          <w:p>
            <w:r>
              <w:t>8,00</w:t>
            </w:r>
          </w:p>
        </w:tc>
        <w:tc>
          <w:tcPr>
            <w:tcW w:type="dxa" w:w="1768"/>
          </w:tcPr>
          <w:p>
            <w:r>
              <w:t>91,37</w:t>
            </w:r>
          </w:p>
        </w:tc>
        <w:tc>
          <w:tcPr>
            <w:tcW w:type="dxa" w:w="1768"/>
          </w:tcPr>
          <w:p>
            <w:r>
              <w:t>Se cumple plenamente</w:t>
            </w:r>
          </w:p>
        </w:tc>
        <w:tc>
          <w:tcPr>
            <w:tcW w:type="dxa" w:w="1768"/>
          </w:tcPr>
          <w:p>
            <w:r>
              <w:t>Fortaleza</w:t>
            </w:r>
          </w:p>
        </w:tc>
      </w:tr>
      <w:tr>
        <w:tc>
          <w:tcPr>
            <w:tcW w:type="dxa" w:w="1768"/>
          </w:tcPr>
          <w:p>
            <w:r>
              <w:t>Factor 3. Profesores</w:t>
            </w:r>
          </w:p>
        </w:tc>
        <w:tc>
          <w:tcPr>
            <w:tcW w:type="dxa" w:w="1768"/>
          </w:tcPr>
          <w:p>
            <w:r>
              <w:t>13,40</w:t>
            </w:r>
          </w:p>
        </w:tc>
        <w:tc>
          <w:tcPr>
            <w:tcW w:type="dxa" w:w="1768"/>
          </w:tcPr>
          <w:p>
            <w:r>
              <w:t>94,19</w:t>
            </w:r>
          </w:p>
        </w:tc>
        <w:tc>
          <w:tcPr>
            <w:tcW w:type="dxa" w:w="1768"/>
          </w:tcPr>
          <w:p>
            <w:r>
              <w:t>Se cumple plenamente</w:t>
            </w:r>
          </w:p>
        </w:tc>
        <w:tc>
          <w:tcPr>
            <w:tcW w:type="dxa" w:w="1768"/>
          </w:tcPr>
          <w:p>
            <w:r>
              <w:t>Fortaleza</w:t>
            </w:r>
          </w:p>
        </w:tc>
      </w:tr>
      <w:tr>
        <w:tc>
          <w:tcPr>
            <w:tcW w:type="dxa" w:w="1768"/>
          </w:tcPr>
          <w:p>
            <w:r>
              <w:t>Factor 4. Egresados</w:t>
            </w:r>
          </w:p>
        </w:tc>
        <w:tc>
          <w:tcPr>
            <w:tcW w:type="dxa" w:w="1768"/>
          </w:tcPr>
          <w:p>
            <w:r>
              <w:t>5,20</w:t>
            </w:r>
          </w:p>
        </w:tc>
        <w:tc>
          <w:tcPr>
            <w:tcW w:type="dxa" w:w="1768"/>
          </w:tcPr>
          <w:p>
            <w:r>
              <w:t>94,58</w:t>
            </w:r>
          </w:p>
        </w:tc>
        <w:tc>
          <w:tcPr>
            <w:tcW w:type="dxa" w:w="1768"/>
          </w:tcPr>
          <w:p>
            <w:r>
              <w:t>Se cumple plenamente</w:t>
            </w:r>
          </w:p>
        </w:tc>
        <w:tc>
          <w:tcPr>
            <w:tcW w:type="dxa" w:w="1768"/>
          </w:tcPr>
          <w:p>
            <w:r>
              <w:t>Fortaleza</w:t>
            </w:r>
          </w:p>
        </w:tc>
      </w:tr>
      <w:tr>
        <w:tc>
          <w:tcPr>
            <w:tcW w:type="dxa" w:w="1768"/>
          </w:tcPr>
          <w:p>
            <w:r>
              <w:t>Factor 5. Aspectos académicos y resultados de aprendizaje</w:t>
            </w:r>
          </w:p>
        </w:tc>
        <w:tc>
          <w:tcPr>
            <w:tcW w:type="dxa" w:w="1768"/>
          </w:tcPr>
          <w:p>
            <w:r>
              <w:t>15,40</w:t>
            </w:r>
          </w:p>
        </w:tc>
        <w:tc>
          <w:tcPr>
            <w:tcW w:type="dxa" w:w="1768"/>
          </w:tcPr>
          <w:p>
            <w:r>
              <w:t>92,98</w:t>
            </w:r>
          </w:p>
        </w:tc>
        <w:tc>
          <w:tcPr>
            <w:tcW w:type="dxa" w:w="1768"/>
          </w:tcPr>
          <w:p>
            <w:r>
              <w:t>Se cumple plenamente</w:t>
            </w:r>
          </w:p>
        </w:tc>
        <w:tc>
          <w:tcPr>
            <w:tcW w:type="dxa" w:w="1768"/>
          </w:tcPr>
          <w:p>
            <w:r>
              <w:t>Fortaleza</w:t>
            </w:r>
          </w:p>
        </w:tc>
      </w:tr>
      <w:tr>
        <w:tc>
          <w:tcPr>
            <w:tcW w:type="dxa" w:w="1768"/>
          </w:tcPr>
          <w:p>
            <w:r>
              <w:t>Factor 6. Permanencia y graduación</w:t>
            </w:r>
          </w:p>
        </w:tc>
        <w:tc>
          <w:tcPr>
            <w:tcW w:type="dxa" w:w="1768"/>
          </w:tcPr>
          <w:p>
            <w:r>
              <w:t>4,60</w:t>
            </w:r>
          </w:p>
        </w:tc>
        <w:tc>
          <w:tcPr>
            <w:tcW w:type="dxa" w:w="1768"/>
          </w:tcPr>
          <w:p>
            <w:r>
              <w:t>93,07</w:t>
            </w:r>
          </w:p>
        </w:tc>
        <w:tc>
          <w:tcPr>
            <w:tcW w:type="dxa" w:w="1768"/>
          </w:tcPr>
          <w:p>
            <w:r>
              <w:t>Se cumple plenamente</w:t>
            </w:r>
          </w:p>
        </w:tc>
        <w:tc>
          <w:tcPr>
            <w:tcW w:type="dxa" w:w="1768"/>
          </w:tcPr>
          <w:p>
            <w:r>
              <w:t>Fortaleza</w:t>
            </w:r>
          </w:p>
        </w:tc>
      </w:tr>
      <w:tr>
        <w:tc>
          <w:tcPr>
            <w:tcW w:type="dxa" w:w="1768"/>
          </w:tcPr>
          <w:p>
            <w:r>
              <w:t>Factor 7. Interacción con el entorno nacional e internacional</w:t>
            </w:r>
          </w:p>
        </w:tc>
        <w:tc>
          <w:tcPr>
            <w:tcW w:type="dxa" w:w="1768"/>
          </w:tcPr>
          <w:p>
            <w:r>
              <w:t>7,00</w:t>
            </w:r>
          </w:p>
        </w:tc>
        <w:tc>
          <w:tcPr>
            <w:tcW w:type="dxa" w:w="1768"/>
          </w:tcPr>
          <w:p>
            <w:r>
              <w:t>93,30</w:t>
            </w:r>
          </w:p>
        </w:tc>
        <w:tc>
          <w:tcPr>
            <w:tcW w:type="dxa" w:w="1768"/>
          </w:tcPr>
          <w:p>
            <w:r>
              <w:t>Se cumple plenamente</w:t>
            </w:r>
          </w:p>
        </w:tc>
        <w:tc>
          <w:tcPr>
            <w:tcW w:type="dxa" w:w="1768"/>
          </w:tcPr>
          <w:p>
            <w:r>
              <w:t>Fortaleza</w:t>
            </w:r>
          </w:p>
        </w:tc>
      </w:tr>
      <w:tr>
        <w:tc>
          <w:tcPr>
            <w:tcW w:type="dxa" w:w="1768"/>
          </w:tcPr>
          <w:p>
            <w:r>
              <w:t>Factor 8. Aportes de la investigación, la innovación, el desarrollo tecnológico y la creación</w:t>
            </w:r>
          </w:p>
        </w:tc>
        <w:tc>
          <w:tcPr>
            <w:tcW w:type="dxa" w:w="1768"/>
          </w:tcPr>
          <w:p>
            <w:r>
              <w:t>11,40</w:t>
            </w:r>
          </w:p>
        </w:tc>
        <w:tc>
          <w:tcPr>
            <w:tcW w:type="dxa" w:w="1768"/>
          </w:tcPr>
          <w:p>
            <w:r>
              <w:t>88,70</w:t>
            </w:r>
          </w:p>
        </w:tc>
        <w:tc>
          <w:tcPr>
            <w:tcW w:type="dxa" w:w="1768"/>
          </w:tcPr>
          <w:p>
            <w:r>
              <w:t>Se cumple en alto grado</w:t>
            </w:r>
          </w:p>
        </w:tc>
        <w:tc>
          <w:tcPr>
            <w:tcW w:type="dxa" w:w="1768"/>
          </w:tcPr>
          <w:p>
            <w:r>
              <w:t>Fortaleza</w:t>
            </w:r>
          </w:p>
        </w:tc>
      </w:tr>
      <w:tr>
        <w:tc>
          <w:tcPr>
            <w:tcW w:type="dxa" w:w="1768"/>
          </w:tcPr>
          <w:p>
            <w:r>
              <w:t>Factor 9. Bienestar de la comunidad académica del programa</w:t>
            </w:r>
          </w:p>
        </w:tc>
        <w:tc>
          <w:tcPr>
            <w:tcW w:type="dxa" w:w="1768"/>
          </w:tcPr>
          <w:p>
            <w:r>
              <w:t>3,60</w:t>
            </w:r>
          </w:p>
        </w:tc>
        <w:tc>
          <w:tcPr>
            <w:tcW w:type="dxa" w:w="1768"/>
          </w:tcPr>
          <w:p>
            <w:r>
              <w:t>93,02</w:t>
            </w:r>
          </w:p>
        </w:tc>
        <w:tc>
          <w:tcPr>
            <w:tcW w:type="dxa" w:w="1768"/>
          </w:tcPr>
          <w:p>
            <w:r>
              <w:t>Se cumple plenamente</w:t>
            </w:r>
          </w:p>
        </w:tc>
        <w:tc>
          <w:tcPr>
            <w:tcW w:type="dxa" w:w="1768"/>
          </w:tcPr>
          <w:p>
            <w:r>
              <w:t>Fortaleza</w:t>
            </w:r>
          </w:p>
        </w:tc>
      </w:tr>
      <w:tr>
        <w:tc>
          <w:tcPr>
            <w:tcW w:type="dxa" w:w="1768"/>
          </w:tcPr>
          <w:p>
            <w:r>
              <w:t>Factor 10. Medios educativos y ambientes de aprendizaje</w:t>
            </w:r>
          </w:p>
        </w:tc>
        <w:tc>
          <w:tcPr>
            <w:tcW w:type="dxa" w:w="1768"/>
          </w:tcPr>
          <w:p>
            <w:r>
              <w:t>10,40</w:t>
            </w:r>
          </w:p>
        </w:tc>
        <w:tc>
          <w:tcPr>
            <w:tcW w:type="dxa" w:w="1768"/>
          </w:tcPr>
          <w:p>
            <w:r>
              <w:t>94,50</w:t>
            </w:r>
          </w:p>
        </w:tc>
        <w:tc>
          <w:tcPr>
            <w:tcW w:type="dxa" w:w="1768"/>
          </w:tcPr>
          <w:p>
            <w:r>
              <w:t>Se cumple plenamente</w:t>
            </w:r>
          </w:p>
        </w:tc>
        <w:tc>
          <w:tcPr>
            <w:tcW w:type="dxa" w:w="1768"/>
          </w:tcPr>
          <w:p>
            <w:r>
              <w:t>Fortaleza</w:t>
            </w:r>
          </w:p>
        </w:tc>
      </w:tr>
      <w:tr>
        <w:tc>
          <w:tcPr>
            <w:tcW w:type="dxa" w:w="1768"/>
          </w:tcPr>
          <w:p>
            <w:r>
              <w:t>Factor 11. Organización, administración y financiación del programa académico</w:t>
            </w:r>
          </w:p>
        </w:tc>
        <w:tc>
          <w:tcPr>
            <w:tcW w:type="dxa" w:w="1768"/>
          </w:tcPr>
          <w:p>
            <w:r>
              <w:t>8,80</w:t>
            </w:r>
          </w:p>
        </w:tc>
        <w:tc>
          <w:tcPr>
            <w:tcW w:type="dxa" w:w="1768"/>
          </w:tcPr>
          <w:p>
            <w:r>
              <w:t>94,40</w:t>
            </w:r>
          </w:p>
        </w:tc>
        <w:tc>
          <w:tcPr>
            <w:tcW w:type="dxa" w:w="1768"/>
          </w:tcPr>
          <w:p>
            <w:r>
              <w:t>Se cumple plenamente</w:t>
            </w:r>
          </w:p>
        </w:tc>
        <w:tc>
          <w:tcPr>
            <w:tcW w:type="dxa" w:w="1768"/>
          </w:tcPr>
          <w:p>
            <w:r>
              <w:t>Fortaleza</w:t>
            </w:r>
          </w:p>
        </w:tc>
      </w:tr>
      <w:tr>
        <w:tc>
          <w:tcPr>
            <w:tcW w:type="dxa" w:w="1768"/>
          </w:tcPr>
          <w:p>
            <w:r>
              <w:t>Factor 12. Recursos físicos y tecnológicos</w:t>
            </w:r>
          </w:p>
        </w:tc>
        <w:tc>
          <w:tcPr>
            <w:tcW w:type="dxa" w:w="1768"/>
          </w:tcPr>
          <w:p>
            <w:r>
              <w:t>5,80</w:t>
            </w:r>
          </w:p>
        </w:tc>
        <w:tc>
          <w:tcPr>
            <w:tcW w:type="dxa" w:w="1768"/>
          </w:tcPr>
          <w:p>
            <w:r>
              <w:t>94,77</w:t>
            </w:r>
          </w:p>
        </w:tc>
        <w:tc>
          <w:tcPr>
            <w:tcW w:type="dxa" w:w="1768"/>
          </w:tcPr>
          <w:p>
            <w:r>
              <w:t>Se cumple plenamente</w:t>
            </w:r>
          </w:p>
        </w:tc>
        <w:tc>
          <w:tcPr>
            <w:tcW w:type="dxa" w:w="1768"/>
          </w:tcPr>
          <w:p>
            <w:r>
              <w:t>Fortaleza</w:t>
            </w:r>
          </w:p>
        </w:tc>
      </w:tr>
      <w:tr>
        <w:tc>
          <w:tcPr>
            <w:tcW w:type="dxa" w:w="1768"/>
          </w:tcPr>
          <w:p>
            <w:r>
              <w:t>Calificación global del programa</w:t>
            </w:r>
          </w:p>
        </w:tc>
        <w:tc>
          <w:tcPr>
            <w:tcW w:type="dxa" w:w="1768"/>
          </w:tcPr>
          <w:p>
            <w:r>
              <w:t>100,00</w:t>
            </w:r>
          </w:p>
        </w:tc>
        <w:tc>
          <w:tcPr>
            <w:tcW w:type="dxa" w:w="1768"/>
          </w:tcPr>
          <w:p>
            <w:r>
              <w:t>93,26</w:t>
            </w:r>
          </w:p>
        </w:tc>
        <w:tc>
          <w:tcPr>
            <w:tcW w:type="dxa" w:w="1768"/>
          </w:tcPr>
          <w:p>
            <w:r>
              <w:t>Se cumple plenamente</w:t>
            </w:r>
          </w:p>
        </w:tc>
        <w:tc>
          <w:tcPr>
            <w:tcW w:type="dxa" w:w="1768"/>
          </w:tcPr>
          <w:p>
            <w:r>
              <w:t>Fortaleza</w:t>
            </w:r>
          </w:p>
        </w:tc>
      </w:tr>
    </w:tbl>
    <w:p w14:paraId="08563209" w14:textId="77777777" w:rsidR="003046A5" w:rsidRPr="003046A5" w:rsidRDefault="003046A5" w:rsidP="003046A5">
      <w:pPr>
        <w:pStyle w:val="Sinespaciado"/>
        <w:rPr>
          <w:rFonts w:cs="Arial"/>
        </w:rPr>
      </w:pPr>
      <w:r w:rsidRPr="003046A5">
        <w:rPr>
          <w:rFonts w:cs="Arial"/>
        </w:rPr>
        <w:t>Fuente: Resolución 007 de 2022 del Consejo de Facultad de Ingeniería (anexo 4) y bitácora del proceso de autoevaluación del programa de Ingeniería de Sistemas.</w:t>
      </w:r>
    </w:p>
    <w:p w14:paraId="2A683D4A" w14:textId="77777777" w:rsidR="00D30F7F" w:rsidRPr="00B906AE" w:rsidRDefault="00D30F7F" w:rsidP="00660CDF">
      <w:pPr>
        <w:spacing w:after="0" w:line="240" w:lineRule="auto"/>
        <w:jc w:val="both"/>
        <w:rPr>
          <w:rFonts w:cs="Arial"/>
        </w:rPr>
      </w:pPr>
    </w:p>
    <w:p w14:paraId="30D8C91D" w14:textId="77777777" w:rsidR="00576759" w:rsidRDefault="00576759">
      <w:pPr>
        <w:spacing w:after="160" w:line="259" w:lineRule="auto"/>
        <w:rPr>
          <w:rFonts w:cs="Arial"/>
        </w:rPr>
      </w:pPr>
    </w:p>
    <w:p w14:paraId="74717FE4" w14:textId="05377608" w:rsidR="00576759" w:rsidRPr="00576759" w:rsidRDefault="00576759">
      <w:pPr>
        <w:spacing w:after="160" w:line="259" w:lineRule="auto"/>
        <w:rPr>
          <w:rFonts w:cs="Arial"/>
        </w:rPr>
      </w:pPr>
      <w:r w:rsidRPr="00576759">
        <w:rPr>
          <w:rFonts w:cs="Arial"/>
        </w:rPr>
        <w:t>La calificación global del programa resulta de ponderar la calificación de cada factor por su peso relativo, como se presenta en la tabla 108. En relación con lo anterior se presentan los siguientes juicios de calidad por factor.</w:t>
      </w:r>
      <w:r>
        <w:rPr>
          <w:rFonts w:cs="Arial"/>
        </w:rPr>
      </w:r>
      <w:r w:rsidRPr="00576759">
        <w:rPr>
          <w:rFonts w:cs="Arial"/>
        </w:rPr>
      </w:r>
    </w:p>
    <w:p w14:paraId="7C0403C4" w14:textId="5FCB683D" w:rsidR="00D30F7F" w:rsidRPr="00620D6D" w:rsidRDefault="00576759">
      <w:pPr>
        <w:spacing w:after="160" w:line="259" w:lineRule="auto"/>
        <w:rPr>
          <w:rFonts w:cs="Arial"/>
          <w:b/>
          <w:bCs/>
        </w:rPr>
      </w:pPr>
      <w:r w:rsidRPr="00620D6D">
        <w:rPr>
          <w:rFonts w:cs="Arial"/>
          <w:b/>
          <w:bCs/>
        </w:rPr>
        <w:t>Factor 1. Proyecto Educativo del Programa e identidad institucional.</w:t>
      </w:r>
    </w:p>
    <w:p w14:paraId="182227ED" w14:textId="77777777" w:rsidR="00620D6D" w:rsidRPr="00620D6D" w:rsidRDefault="00620D6D" w:rsidP="00620D6D">
      <w:pPr>
        <w:spacing w:after="160" w:line="259" w:lineRule="auto"/>
        <w:jc w:val="both"/>
        <w:rPr>
          <w:rFonts w:cs="Arial"/>
        </w:rPr>
      </w:pPr>
      <w:r w:rsidRPr="00620D6D">
        <w:rPr>
          <w:rFonts w:cs="Arial"/>
        </w:rPr>
        <w:t>El Factor 1 obtuvo una calificación cuantitativa de 96,65, correspondiente a la valoración cualitativa de “Se cumple plenamente”, según la escala establecida. Este resultado refleja un sólido alineamiento entre el Proyecto Educativo del Programa (PEP) de Ingeniería de Sistemas y los lineamientos del Proyecto Educativo Institucional (PEI) 2017–2030, así como con los propósitos misionales de la Universidad de La Guajira en los ámbitos de la docencia, la investigación y la proyección social.</w:t>
      </w:r>
    </w:p>
    <w:p w14:paraId="71627740" w14:textId="77777777" w:rsidR="00620D6D" w:rsidRPr="00620D6D" w:rsidRDefault="00620D6D" w:rsidP="00620D6D">
      <w:pPr>
        <w:spacing w:after="160" w:line="259" w:lineRule="auto"/>
        <w:jc w:val="both"/>
        <w:rPr>
          <w:rFonts w:cs="Arial"/>
        </w:rPr>
      </w:pPr>
      <w:r w:rsidRPr="00620D6D">
        <w:rPr>
          <w:rFonts w:cs="Arial"/>
        </w:rPr>
        <w:lastRenderedPageBreak/>
        <w:t>El programa se sustenta en un marco teórico coherente que articula de forma integral los fundamentos disciplinares con las intenciones formativas institucionales. Esta estructura permite consolidar una propuesta académica pertinente, que responde tanto a las necesidades del contexto local, regional y nacional, como a los desafíos globales de la profesión. Asimismo, el PEP se encuentra en sintonía con el Plan Prospectivo de Desarrollo, Ciencia, Tecnología e Innovación 2030 de la Universidad y con las políticas públicas nacionales que promueven la formación de talento humano para la generación y transferencia de conocimiento con impacto social, económico y ambiental.</w:t>
      </w:r>
    </w:p>
    <w:p w14:paraId="6985CF61" w14:textId="77777777" w:rsidR="00620D6D" w:rsidRPr="00620D6D" w:rsidRDefault="00620D6D" w:rsidP="00620D6D">
      <w:pPr>
        <w:spacing w:after="160" w:line="259" w:lineRule="auto"/>
        <w:jc w:val="both"/>
        <w:rPr>
          <w:rFonts w:cs="Arial"/>
        </w:rPr>
      </w:pPr>
      <w:r w:rsidRPr="00620D6D">
        <w:rPr>
          <w:rFonts w:cs="Arial"/>
        </w:rPr>
        <w:t>La comunidad académica reconoce la existencia, vigencia y pertinencia del PEP, el cual es socializado a través de estrategias institucionales que garantizan su apropiación y uso como herramienta orientadora del quehacer académico. La estructura curricular del programa y su modelo de gestión favorecen, además, la integración efectiva con el entorno, mediante acciones que articulan docencia, investigación y extensión, promoviendo una interacción activa con sectores sociales y productivos.</w:t>
      </w:r>
    </w:p>
    <w:p w14:paraId="4D71A344" w14:textId="77777777" w:rsidR="00620D6D" w:rsidRPr="00620D6D" w:rsidRDefault="00620D6D" w:rsidP="00620D6D">
      <w:pPr>
        <w:spacing w:after="160" w:line="259" w:lineRule="auto"/>
        <w:jc w:val="both"/>
        <w:rPr>
          <w:rFonts w:cs="Arial"/>
        </w:rPr>
      </w:pPr>
      <w:r w:rsidRPr="00620D6D">
        <w:rPr>
          <w:rFonts w:cs="Arial"/>
        </w:rPr>
        <w:t>El programa lidera proyectos de investigación aplicada y proyección social que abordan problemáticas del contexto, con especial énfasis en transformación digital, desarrollo tecnológico y sostenibilidad. Estas iniciativas se desarrollan en articulación con instituciones y actores estratégicos a nivel local, nacional e internacional, lo que refuerza la pertinencia, el impacto y la visibilidad del programa.</w:t>
      </w:r>
    </w:p>
    <w:p w14:paraId="1B91382E" w14:textId="77777777" w:rsidR="00620D6D" w:rsidRPr="00620D6D" w:rsidRDefault="00620D6D" w:rsidP="00620D6D">
      <w:pPr>
        <w:spacing w:after="160" w:line="259" w:lineRule="auto"/>
        <w:jc w:val="both"/>
        <w:rPr>
          <w:rFonts w:cs="Arial"/>
        </w:rPr>
      </w:pPr>
      <w:r w:rsidRPr="00620D6D">
        <w:rPr>
          <w:rFonts w:cs="Arial"/>
        </w:rPr>
        <w:t>La pertinencia del programa también se respalda en estudios actualizados sobre necesidades del entorno, análisis de tendencias tecnológicas y del mercado laboral, y encuestas de apreciación a egresados, empleadores y otros actores del sector productivo, cuyos resultados evidencian altos niveles de satisfacción con la formación recibida y su aplicabilidad profesional.</w:t>
      </w:r>
    </w:p>
    <w:p w14:paraId="2D24F356" w14:textId="77777777" w:rsidR="00620D6D" w:rsidRPr="00620D6D" w:rsidRDefault="00620D6D" w:rsidP="00620D6D">
      <w:pPr>
        <w:spacing w:after="160" w:line="259" w:lineRule="auto"/>
        <w:jc w:val="both"/>
        <w:rPr>
          <w:rFonts w:cs="Arial"/>
        </w:rPr>
      </w:pPr>
      <w:r w:rsidRPr="00620D6D">
        <w:rPr>
          <w:rFonts w:cs="Arial"/>
        </w:rPr>
        <w:t>En consecuencia, el Factor 1 presenta fortalezas significativas en términos de articulación institucional, coherencia curricular, apropiación académica, impacto social y pertinencia profesional, lo que justifica su alta valoración y su contribución sustantiva a la calidad del programa.</w:t>
      </w:r>
    </w:p>
    <w:p w14:paraId="7D97EDAD" w14:textId="77777777" w:rsidR="00620D6D" w:rsidRPr="00620D6D" w:rsidRDefault="00620D6D" w:rsidP="00620D6D">
      <w:pPr>
        <w:spacing w:after="160" w:line="259" w:lineRule="auto"/>
        <w:jc w:val="both"/>
        <w:rPr>
          <w:rFonts w:cs="Arial"/>
        </w:rPr>
      </w:pPr>
      <w:r w:rsidRPr="00620D6D">
        <w:rPr>
          <w:rFonts w:cs="Arial"/>
        </w:rPr>
        <w:t>Fortalezas identificadas:</w:t>
      </w:r>
    </w:p>
    <w:p w14:paraId="4885F1F8" w14:textId="77777777" w:rsidR="00620D6D" w:rsidRPr="00620D6D" w:rsidRDefault="00620D6D" w:rsidP="00620D6D">
      <w:pPr>
        <w:numPr>
          <w:ilvl w:val="0"/>
          <w:numId w:val="57"/>
        </w:numPr>
        <w:spacing w:after="160" w:line="259" w:lineRule="auto"/>
        <w:jc w:val="both"/>
        <w:rPr>
          <w:rFonts w:cs="Arial"/>
        </w:rPr>
      </w:pPr>
      <w:r w:rsidRPr="00620D6D">
        <w:rPr>
          <w:rFonts w:cs="Arial"/>
        </w:rPr>
        <w:t>Existencia de un PEP actualizado, coherente con las actividades misionales del programa y alineado con los principales instrumentos de planificación institucional.</w:t>
      </w:r>
    </w:p>
    <w:p w14:paraId="55A09521" w14:textId="77777777" w:rsidR="00620D6D" w:rsidRPr="00620D6D" w:rsidRDefault="00620D6D" w:rsidP="00620D6D">
      <w:pPr>
        <w:numPr>
          <w:ilvl w:val="0"/>
          <w:numId w:val="57"/>
        </w:numPr>
        <w:spacing w:after="160" w:line="259" w:lineRule="auto"/>
        <w:jc w:val="both"/>
        <w:rPr>
          <w:rFonts w:cs="Arial"/>
        </w:rPr>
      </w:pPr>
      <w:r w:rsidRPr="00620D6D">
        <w:rPr>
          <w:rFonts w:cs="Arial"/>
        </w:rPr>
        <w:lastRenderedPageBreak/>
        <w:t>Implementación de estrategias efectivas de difusión y apropiación del PEI y el PEP, garantizando su conocimiento y uso por parte de la comunidad académica.</w:t>
      </w:r>
    </w:p>
    <w:p w14:paraId="0C85EB42" w14:textId="77777777" w:rsidR="00620D6D" w:rsidRPr="00620D6D" w:rsidRDefault="00620D6D" w:rsidP="00620D6D">
      <w:pPr>
        <w:numPr>
          <w:ilvl w:val="0"/>
          <w:numId w:val="57"/>
        </w:numPr>
        <w:spacing w:after="160" w:line="259" w:lineRule="auto"/>
        <w:jc w:val="both"/>
        <w:rPr>
          <w:rFonts w:cs="Arial"/>
        </w:rPr>
      </w:pPr>
      <w:r w:rsidRPr="00620D6D">
        <w:rPr>
          <w:rFonts w:cs="Arial"/>
        </w:rPr>
        <w:t>Desarrollo de actividades y proyectos con enfoque en transformación digital e innovación tecnológica, alineados con las necesidades del entorno.</w:t>
      </w:r>
    </w:p>
    <w:p w14:paraId="089EF568" w14:textId="77777777" w:rsidR="00620D6D" w:rsidRPr="00620D6D" w:rsidRDefault="00620D6D" w:rsidP="00620D6D">
      <w:pPr>
        <w:numPr>
          <w:ilvl w:val="0"/>
          <w:numId w:val="57"/>
        </w:numPr>
        <w:spacing w:after="160" w:line="259" w:lineRule="auto"/>
        <w:jc w:val="both"/>
        <w:rPr>
          <w:rFonts w:cs="Arial"/>
        </w:rPr>
      </w:pPr>
      <w:r w:rsidRPr="00620D6D">
        <w:rPr>
          <w:rFonts w:cs="Arial"/>
        </w:rPr>
        <w:t>Trayectoria consolidada y posicionamiento laboral de los egresados en el sector productivo, que evidencian la pertinencia del programa.</w:t>
      </w:r>
    </w:p>
    <w:p w14:paraId="5539539F" w14:textId="77777777" w:rsidR="00620D6D" w:rsidRPr="00620D6D" w:rsidRDefault="00620D6D" w:rsidP="00620D6D">
      <w:pPr>
        <w:numPr>
          <w:ilvl w:val="0"/>
          <w:numId w:val="57"/>
        </w:numPr>
        <w:spacing w:after="160" w:line="259" w:lineRule="auto"/>
        <w:jc w:val="both"/>
        <w:rPr>
          <w:rFonts w:cs="Arial"/>
        </w:rPr>
      </w:pPr>
      <w:r w:rsidRPr="00620D6D">
        <w:rPr>
          <w:rFonts w:cs="Arial"/>
        </w:rPr>
        <w:t>Alta valoración del programa por parte de estudiantes, egresados, docentes y empleadores, quienes reconocen su impacto positivo en el entorno regional y nacional.</w:t>
      </w:r>
    </w:p>
    <w:p w14:paraId="1349E77C" w14:textId="77777777" w:rsidR="00620D6D" w:rsidRPr="00620D6D" w:rsidRDefault="00620D6D" w:rsidP="00620D6D">
      <w:pPr>
        <w:numPr>
          <w:ilvl w:val="0"/>
          <w:numId w:val="57"/>
        </w:numPr>
        <w:spacing w:after="160" w:line="259" w:lineRule="auto"/>
        <w:jc w:val="both"/>
        <w:rPr>
          <w:rFonts w:cs="Arial"/>
        </w:rPr>
      </w:pPr>
      <w:r w:rsidRPr="00620D6D">
        <w:rPr>
          <w:rFonts w:cs="Arial"/>
        </w:rPr>
        <w:t>Disponibilidad de estudios de tendencias y análisis de pertinencia, que sirven como insumo estratégico para la toma de decisiones académicas y el direccionamiento de procesos investigativos y de extensión.</w:t>
      </w:r>
    </w:p>
    <w:p w14:paraId="639BED43" w14:textId="7D9053FA" w:rsidR="00576759" w:rsidRPr="00620D6D" w:rsidRDefault="00576759">
      <w:pPr>
        <w:spacing w:after="160" w:line="259" w:lineRule="auto"/>
        <w:rPr>
          <w:rFonts w:cs="Arial"/>
          <w:b/>
          <w:bCs/>
        </w:rPr>
      </w:pPr>
    </w:p>
    <w:p w14:paraId="2FC2051B" w14:textId="2F5B977B" w:rsidR="00576759" w:rsidRPr="00620D6D" w:rsidRDefault="00620D6D">
      <w:pPr>
        <w:spacing w:after="160" w:line="259" w:lineRule="auto"/>
        <w:rPr>
          <w:rFonts w:cs="Arial"/>
          <w:b/>
          <w:bCs/>
        </w:rPr>
      </w:pPr>
      <w:r w:rsidRPr="00620D6D">
        <w:rPr>
          <w:rFonts w:cs="Arial"/>
          <w:b/>
          <w:bCs/>
        </w:rPr>
        <w:t>Factor 2. Estudiantes.</w:t>
      </w:r>
    </w:p>
    <w:p w14:paraId="75182105" w14:textId="1A6B136B" w:rsidR="00620D6D" w:rsidRPr="00620D6D" w:rsidRDefault="00620D6D" w:rsidP="00620D6D">
      <w:pPr>
        <w:spacing w:after="160" w:line="259" w:lineRule="auto"/>
        <w:jc w:val="both"/>
        <w:rPr>
          <w:rFonts w:cs="Arial"/>
        </w:rPr>
      </w:pPr>
      <w:r w:rsidRPr="00620D6D">
        <w:rPr>
          <w:rFonts w:cs="Arial"/>
        </w:rPr>
        <w:t>El Factor 2 obtuvo una calificación cuantitativa de 91,37, correspondiente al juicio cualitativo de “Se cumple plenamente”, según los criterios establecidos por el Consejo Nacional de Acreditación. Esta calificación refleja el compromiso sostenido del Programa de Ingeniería de Sistemas con el fortalecimiento de la formación integral, el acompañamiento académico y psicosocial, la apropiación normativa y los estímulos a la trayectoria estudiantil.</w:t>
      </w:r>
      <w:r>
        <w:rPr>
          <w:rFonts w:cs="Arial"/>
        </w:rPr>
      </w:r>
      <w:r w:rsidRPr="00620D6D">
        <w:rPr>
          <w:rFonts w:cs="Arial"/>
        </w:rPr>
      </w:r>
    </w:p>
    <w:p w14:paraId="39B7B2FB" w14:textId="77777777" w:rsidR="00620D6D" w:rsidRPr="00620D6D" w:rsidRDefault="00620D6D" w:rsidP="00620D6D">
      <w:pPr>
        <w:spacing w:after="160" w:line="259" w:lineRule="auto"/>
        <w:jc w:val="both"/>
        <w:rPr>
          <w:rFonts w:cs="Arial"/>
        </w:rPr>
      </w:pPr>
      <w:r w:rsidRPr="00620D6D">
        <w:rPr>
          <w:rFonts w:cs="Arial"/>
        </w:rPr>
        <w:t>Durante el periodo 2020-2024, el programa consolidó un entorno propicio para el acompañamiento académico y psicosocial, evidenciado en 22.039 participaciones estudiantiles en los servicios de Bienestar Social Universitario de las dos sedes, de las cuales 5.378 corresponden al área de desarrollo humano y 5.132 al área de permanencia y graduación exitosa.</w:t>
      </w:r>
    </w:p>
    <w:p w14:paraId="575A0BE4" w14:textId="77777777" w:rsidR="00620D6D" w:rsidRPr="00620D6D" w:rsidRDefault="00620D6D" w:rsidP="00620D6D">
      <w:pPr>
        <w:spacing w:after="160" w:line="259" w:lineRule="auto"/>
        <w:jc w:val="both"/>
        <w:rPr>
          <w:rFonts w:cs="Arial"/>
        </w:rPr>
      </w:pPr>
      <w:r w:rsidRPr="00620D6D">
        <w:rPr>
          <w:rFonts w:cs="Arial"/>
        </w:rPr>
        <w:t xml:space="preserve">La comunidad estudiantil participa activamente en iniciativas extracurriculares orientadas a la formación integral, como ferias tecnológicas, semilleros, jornadas culturales, actividades deportivas y acciones de internacionalización. En este sentido, entre 2019 y 2024 se desarrollaron 663 actividades de extensión, con una cobertura que alcanzó a más de 6.900 beneficiarios. Además, se identificaron 154 </w:t>
      </w:r>
      <w:r w:rsidRPr="00620D6D">
        <w:rPr>
          <w:rFonts w:cs="Arial"/>
        </w:rPr>
        <w:lastRenderedPageBreak/>
        <w:t>actividades específicas de participación estudiantil clasificadas por tipo y sede, lo cual demuestra una apropiación progresiva de los espacios institucionales.</w:t>
      </w:r>
    </w:p>
    <w:p w14:paraId="34871953" w14:textId="77777777" w:rsidR="00620D6D" w:rsidRPr="00620D6D" w:rsidRDefault="00620D6D" w:rsidP="00620D6D">
      <w:pPr>
        <w:spacing w:after="160" w:line="259" w:lineRule="auto"/>
        <w:jc w:val="both"/>
        <w:rPr>
          <w:rFonts w:cs="Arial"/>
        </w:rPr>
      </w:pPr>
      <w:r w:rsidRPr="00620D6D">
        <w:rPr>
          <w:rFonts w:cs="Arial"/>
        </w:rPr>
        <w:t xml:space="preserve">Desde el componente normativo, se destaca una alta apropiación del Reglamento Estudiantil, con niveles de conocimiento superiores al 98 % entre estudiantes y docentes. La asignatura </w:t>
      </w:r>
      <w:r w:rsidRPr="00620D6D">
        <w:rPr>
          <w:rFonts w:cs="Arial"/>
          <w:i/>
          <w:iCs/>
        </w:rPr>
        <w:t xml:space="preserve">Cátedra </w:t>
      </w:r>
      <w:proofErr w:type="spellStart"/>
      <w:r w:rsidRPr="00620D6D">
        <w:rPr>
          <w:rFonts w:cs="Arial"/>
          <w:i/>
          <w:iCs/>
        </w:rPr>
        <w:t>Uniguajira</w:t>
      </w:r>
      <w:proofErr w:type="spellEnd"/>
      <w:r w:rsidRPr="00620D6D">
        <w:rPr>
          <w:rFonts w:cs="Arial"/>
        </w:rPr>
        <w:t>, jornadas institucionales y talleres organizados por Bienestar Universitario han sido clave para garantizar su divulgación y uso efectivo como instrumento de orientación académica.</w:t>
      </w:r>
    </w:p>
    <w:p w14:paraId="3DE3436B" w14:textId="77777777" w:rsidR="00620D6D" w:rsidRPr="00620D6D" w:rsidRDefault="00620D6D" w:rsidP="00620D6D">
      <w:pPr>
        <w:spacing w:after="160" w:line="259" w:lineRule="auto"/>
        <w:jc w:val="both"/>
        <w:rPr>
          <w:rFonts w:cs="Arial"/>
        </w:rPr>
      </w:pPr>
      <w:r w:rsidRPr="00620D6D">
        <w:rPr>
          <w:rFonts w:cs="Arial"/>
        </w:rPr>
        <w:t xml:space="preserve">La percepción sobre los estímulos académicos y apoyos socioeconómicos es altamente positiva: más del 84 % de los estudiantes los califican como “excelentes” o “muy buenos”, y cerca del 88 % considera que los mecanismos de asignación son “muy” o “totalmente transparentes”. La articulación con Bienestar Universitario ha permitido el acceso a beneficios como descuentos en matrícula, subsidios alimentarios, </w:t>
      </w:r>
      <w:proofErr w:type="spellStart"/>
      <w:r w:rsidRPr="00620D6D">
        <w:rPr>
          <w:rFonts w:cs="Arial"/>
        </w:rPr>
        <w:t>monitorías</w:t>
      </w:r>
      <w:proofErr w:type="spellEnd"/>
      <w:r w:rsidRPr="00620D6D">
        <w:rPr>
          <w:rFonts w:cs="Arial"/>
        </w:rPr>
        <w:t xml:space="preserve"> académicas, apoyos tecnológicos y servicios de salud, rutas de transporte y atención psicosocial.</w:t>
      </w:r>
    </w:p>
    <w:p w14:paraId="529E3789" w14:textId="77777777" w:rsidR="00620D6D" w:rsidRPr="00620D6D" w:rsidRDefault="00620D6D" w:rsidP="00620D6D">
      <w:pPr>
        <w:spacing w:after="160" w:line="259" w:lineRule="auto"/>
        <w:jc w:val="both"/>
        <w:rPr>
          <w:rFonts w:cs="Arial"/>
        </w:rPr>
      </w:pPr>
      <w:r w:rsidRPr="00620D6D">
        <w:rPr>
          <w:rFonts w:cs="Arial"/>
        </w:rPr>
        <w:t>Este conjunto de estrategias y acciones, respaldadas por datos estadísticos y percepciones institucionales, justifica el juicio de calidad asignado al factor y su contribución decisiva al logro de los fines formativos del programa.</w:t>
      </w:r>
    </w:p>
    <w:p w14:paraId="1AC5708B" w14:textId="77777777" w:rsidR="00620D6D" w:rsidRPr="00620D6D" w:rsidRDefault="00620D6D" w:rsidP="00620D6D">
      <w:pPr>
        <w:spacing w:after="160" w:line="259" w:lineRule="auto"/>
        <w:jc w:val="both"/>
        <w:rPr>
          <w:rFonts w:cs="Arial"/>
        </w:rPr>
      </w:pPr>
      <w:r w:rsidRPr="00620D6D">
        <w:rPr>
          <w:rFonts w:cs="Arial"/>
        </w:rPr>
        <w:t>Fortalezas identificadas:</w:t>
      </w:r>
    </w:p>
    <w:p w14:paraId="237B3BF2" w14:textId="77777777" w:rsidR="00620D6D" w:rsidRPr="00620D6D" w:rsidRDefault="00620D6D" w:rsidP="00620D6D">
      <w:pPr>
        <w:numPr>
          <w:ilvl w:val="0"/>
          <w:numId w:val="58"/>
        </w:numPr>
        <w:spacing w:after="160" w:line="259" w:lineRule="auto"/>
        <w:jc w:val="both"/>
        <w:rPr>
          <w:rFonts w:cs="Arial"/>
        </w:rPr>
      </w:pPr>
      <w:r w:rsidRPr="00620D6D">
        <w:rPr>
          <w:rFonts w:cs="Arial"/>
        </w:rPr>
        <w:t>Implementación efectiva de estrategias de permanencia académica, con 5.132 participaciones consolidadas de las dos sedes entre 2020 y 2024.</w:t>
      </w:r>
    </w:p>
    <w:p w14:paraId="49B77646" w14:textId="77777777" w:rsidR="00620D6D" w:rsidRPr="00620D6D" w:rsidRDefault="00620D6D" w:rsidP="00620D6D">
      <w:pPr>
        <w:numPr>
          <w:ilvl w:val="0"/>
          <w:numId w:val="58"/>
        </w:numPr>
        <w:spacing w:after="160" w:line="259" w:lineRule="auto"/>
        <w:jc w:val="both"/>
        <w:rPr>
          <w:rFonts w:cs="Arial"/>
        </w:rPr>
      </w:pPr>
      <w:r w:rsidRPr="00620D6D">
        <w:rPr>
          <w:rFonts w:cs="Arial"/>
        </w:rPr>
        <w:t>Alto nivel de conocimiento y apropiación del Reglamento Estudiantil por parte de estudiantes y docentes.</w:t>
      </w:r>
    </w:p>
    <w:p w14:paraId="1E414096" w14:textId="77777777" w:rsidR="00620D6D" w:rsidRPr="00620D6D" w:rsidRDefault="00620D6D" w:rsidP="00620D6D">
      <w:pPr>
        <w:numPr>
          <w:ilvl w:val="0"/>
          <w:numId w:val="58"/>
        </w:numPr>
        <w:spacing w:after="160" w:line="259" w:lineRule="auto"/>
        <w:jc w:val="both"/>
        <w:rPr>
          <w:rFonts w:cs="Arial"/>
        </w:rPr>
      </w:pPr>
      <w:proofErr w:type="gramStart"/>
      <w:r w:rsidRPr="00620D6D">
        <w:rPr>
          <w:rFonts w:cs="Arial"/>
        </w:rPr>
        <w:t>Participación activa</w:t>
      </w:r>
      <w:proofErr w:type="gramEnd"/>
      <w:r w:rsidRPr="00620D6D">
        <w:rPr>
          <w:rFonts w:cs="Arial"/>
        </w:rPr>
        <w:t xml:space="preserve"> en actividades de formación integral, incluyendo eventos de extensión, investigación, cultura y movilidad.</w:t>
      </w:r>
    </w:p>
    <w:p w14:paraId="48577636" w14:textId="77777777" w:rsidR="00620D6D" w:rsidRPr="00620D6D" w:rsidRDefault="00620D6D" w:rsidP="00620D6D">
      <w:pPr>
        <w:numPr>
          <w:ilvl w:val="0"/>
          <w:numId w:val="58"/>
        </w:numPr>
        <w:spacing w:after="160" w:line="259" w:lineRule="auto"/>
        <w:jc w:val="both"/>
        <w:rPr>
          <w:rFonts w:cs="Arial"/>
        </w:rPr>
      </w:pPr>
      <w:r w:rsidRPr="00620D6D">
        <w:rPr>
          <w:rFonts w:cs="Arial"/>
        </w:rPr>
        <w:t>Percepción favorable sobre los estímulos y apoyos institucionales, con alto impacto en la permanencia y bienestar estudiantil.</w:t>
      </w:r>
    </w:p>
    <w:p w14:paraId="5E5EC68A" w14:textId="77777777" w:rsidR="00620D6D" w:rsidRDefault="00620D6D" w:rsidP="00620D6D">
      <w:pPr>
        <w:numPr>
          <w:ilvl w:val="0"/>
          <w:numId w:val="58"/>
        </w:numPr>
        <w:spacing w:after="160" w:line="259" w:lineRule="auto"/>
        <w:jc w:val="both"/>
        <w:rPr>
          <w:rFonts w:cs="Arial"/>
        </w:rPr>
      </w:pPr>
      <w:r w:rsidRPr="00620D6D">
        <w:rPr>
          <w:rFonts w:cs="Arial"/>
        </w:rPr>
        <w:t>Alianzas con Bienestar Universitario y dependencias académicas que consolidan un entorno de acompañamiento integral.</w:t>
      </w:r>
    </w:p>
    <w:p w14:paraId="5288AB6A" w14:textId="77777777" w:rsidR="00620D6D" w:rsidRDefault="00620D6D" w:rsidP="00620D6D">
      <w:pPr>
        <w:spacing w:after="160" w:line="259" w:lineRule="auto"/>
        <w:ind w:left="720"/>
        <w:jc w:val="both"/>
        <w:rPr>
          <w:rFonts w:cs="Arial"/>
        </w:rPr>
      </w:pPr>
    </w:p>
    <w:p w14:paraId="33D2B93E" w14:textId="28779001" w:rsidR="00620D6D" w:rsidRDefault="00620D6D" w:rsidP="00620D6D">
      <w:pPr>
        <w:spacing w:after="160" w:line="259" w:lineRule="auto"/>
        <w:jc w:val="both"/>
        <w:rPr>
          <w:rFonts w:cs="Arial"/>
          <w:b/>
          <w:bCs/>
        </w:rPr>
      </w:pPr>
      <w:r w:rsidRPr="00620D6D">
        <w:rPr>
          <w:rFonts w:cs="Arial"/>
          <w:b/>
          <w:bCs/>
        </w:rPr>
        <w:t>Factor 3. Profesores</w:t>
      </w:r>
    </w:p>
    <w:p w14:paraId="7CE4C05D" w14:textId="77777777" w:rsidR="00620D6D" w:rsidRPr="00620D6D" w:rsidRDefault="00620D6D" w:rsidP="00620D6D">
      <w:pPr>
        <w:spacing w:after="160" w:line="259" w:lineRule="auto"/>
        <w:jc w:val="both"/>
        <w:rPr>
          <w:rFonts w:cs="Arial"/>
        </w:rPr>
      </w:pPr>
      <w:r w:rsidRPr="00620D6D">
        <w:rPr>
          <w:rFonts w:cs="Arial"/>
        </w:rPr>
        <w:t xml:space="preserve">El Factor 3 – Profesores alcanzó una calificación cuantitativa de 94,19, correspondiente a la valoración cualitativa de “Se cumple plenamente”, lo que evidencia un alto nivel de consolidación en los procesos de selección, vinculación, </w:t>
      </w:r>
      <w:r w:rsidRPr="00620D6D">
        <w:rPr>
          <w:rFonts w:cs="Arial"/>
        </w:rPr>
        <w:lastRenderedPageBreak/>
        <w:t>permanencia, cualificación, desarrollo y evaluación del cuerpo docente del Programa de Ingeniería de Sistemas de la Universidad de La Guajira. Este resultado confirma que el programa dispone de una planta profesoral pertinente, cualificada y comprometida con el cumplimiento de las funciones misionales.</w:t>
      </w:r>
    </w:p>
    <w:p w14:paraId="6EB49A8E" w14:textId="77777777" w:rsidR="00620D6D" w:rsidRPr="00620D6D" w:rsidRDefault="00620D6D" w:rsidP="00620D6D">
      <w:pPr>
        <w:spacing w:after="160" w:line="259" w:lineRule="auto"/>
        <w:jc w:val="both"/>
        <w:rPr>
          <w:rFonts w:cs="Arial"/>
        </w:rPr>
      </w:pPr>
      <w:r w:rsidRPr="00620D6D">
        <w:rPr>
          <w:rFonts w:cs="Arial"/>
        </w:rPr>
        <w:t>El programa cuenta con un cuerpo docente estable, distribuido entre las sedes de Riohacha y Maicao, con una proporción significativa de profesores con formación posgradual (maestría y doctorado) y trayectoria académica y profesional consolidada. Las políticas institucionales de vinculación y permanencia, regidas por el Estatuto Profesoral y el Reglamento de Vinculación Docente, han sido aplicadas con transparencia y rigor, mediante concursos públicos de méritos y procesos normativos auditables.</w:t>
      </w:r>
    </w:p>
    <w:p w14:paraId="219A33A5" w14:textId="77777777" w:rsidR="00620D6D" w:rsidRPr="00620D6D" w:rsidRDefault="00620D6D" w:rsidP="00620D6D">
      <w:pPr>
        <w:spacing w:after="160" w:line="259" w:lineRule="auto"/>
        <w:jc w:val="both"/>
        <w:rPr>
          <w:rFonts w:cs="Arial"/>
        </w:rPr>
      </w:pPr>
      <w:r w:rsidRPr="00620D6D">
        <w:rPr>
          <w:rFonts w:cs="Arial"/>
        </w:rPr>
        <w:t>Entre 2020 y 2024 se reportaron 15 ascensos en el escalafón docente, fortaleciendo la carrera profesoral y reconociendo el mérito académico y la experiencia investigativa. A su vez, se invirtieron más de $145 millones de pesos en estímulos, orientados a la producción científica, la participación en eventos académicos y la internacionalización, lo que ha incentivado la productividad académica y la formación avanzada.</w:t>
      </w:r>
    </w:p>
    <w:p w14:paraId="33BC16BC" w14:textId="77777777" w:rsidR="00620D6D" w:rsidRPr="00620D6D" w:rsidRDefault="00620D6D" w:rsidP="00620D6D">
      <w:pPr>
        <w:spacing w:after="160" w:line="259" w:lineRule="auto"/>
        <w:jc w:val="both"/>
        <w:rPr>
          <w:rFonts w:cs="Arial"/>
        </w:rPr>
      </w:pPr>
      <w:r w:rsidRPr="00620D6D">
        <w:rPr>
          <w:rFonts w:cs="Arial"/>
        </w:rPr>
        <w:t>Los resultados de las encuestas aplicadas al cuerpo docente muestran niveles de satisfacción superiores al 90 % en aspectos como condiciones de vinculación, pertinencia del Estatuto Profesoral, acceso a estímulos y procesos de evaluación. Asimismo, se evidencia un compromiso institucional con la formación continua, a través del Plan de Capacitación Docente 2022–2025, la participación en seminarios permanentes de calidad, y el acceso a becas nacionales e internacionales.</w:t>
      </w:r>
    </w:p>
    <w:p w14:paraId="51C10350" w14:textId="77777777" w:rsidR="00620D6D" w:rsidRPr="00620D6D" w:rsidRDefault="00620D6D" w:rsidP="00620D6D">
      <w:pPr>
        <w:spacing w:after="160" w:line="259" w:lineRule="auto"/>
        <w:jc w:val="both"/>
        <w:rPr>
          <w:rFonts w:cs="Arial"/>
        </w:rPr>
      </w:pPr>
      <w:r w:rsidRPr="00620D6D">
        <w:rPr>
          <w:rFonts w:cs="Arial"/>
        </w:rPr>
        <w:t>Además, el programa ha promovido la internacionalización del cuerpo docente, con 61 actividades académicas internacionales entre 2020 y 2024, y ha fortalecido la inclusión, el multilingüismo y la formación en tecnologías emergentes, respondiendo a las exigencias de la educación superior contemporánea.</w:t>
      </w:r>
    </w:p>
    <w:p w14:paraId="74A8E5CE" w14:textId="77777777" w:rsidR="00620D6D" w:rsidRPr="00620D6D" w:rsidRDefault="00620D6D" w:rsidP="00620D6D">
      <w:pPr>
        <w:spacing w:after="160" w:line="259" w:lineRule="auto"/>
        <w:jc w:val="both"/>
        <w:rPr>
          <w:rFonts w:cs="Arial"/>
        </w:rPr>
      </w:pPr>
      <w:r w:rsidRPr="00620D6D">
        <w:rPr>
          <w:rFonts w:cs="Arial"/>
        </w:rPr>
        <w:t>Fortalezas identificadas:</w:t>
      </w:r>
    </w:p>
    <w:p w14:paraId="0E85168F" w14:textId="77777777" w:rsidR="00620D6D" w:rsidRPr="00620D6D" w:rsidRDefault="00620D6D" w:rsidP="00620D6D">
      <w:pPr>
        <w:numPr>
          <w:ilvl w:val="0"/>
          <w:numId w:val="59"/>
        </w:numPr>
        <w:spacing w:after="160" w:line="259" w:lineRule="auto"/>
        <w:jc w:val="both"/>
        <w:rPr>
          <w:rFonts w:cs="Arial"/>
        </w:rPr>
      </w:pPr>
      <w:r w:rsidRPr="00620D6D">
        <w:rPr>
          <w:rFonts w:cs="Arial"/>
        </w:rPr>
        <w:t>Existencia de un núcleo básico de profesores de tiempo completo con formación de maestría y doctorado, trayectoria consolidada y dedicación a las funciones misionales.</w:t>
      </w:r>
    </w:p>
    <w:p w14:paraId="22BF3635" w14:textId="77777777" w:rsidR="00620D6D" w:rsidRPr="00620D6D" w:rsidRDefault="00620D6D" w:rsidP="00620D6D">
      <w:pPr>
        <w:numPr>
          <w:ilvl w:val="0"/>
          <w:numId w:val="59"/>
        </w:numPr>
        <w:spacing w:after="160" w:line="259" w:lineRule="auto"/>
        <w:jc w:val="both"/>
        <w:rPr>
          <w:rFonts w:cs="Arial"/>
        </w:rPr>
      </w:pPr>
      <w:r w:rsidRPr="00620D6D">
        <w:rPr>
          <w:rFonts w:cs="Arial"/>
        </w:rPr>
        <w:t xml:space="preserve">Aplicación rigurosa de las políticas de vinculación, permanencia y </w:t>
      </w:r>
      <w:proofErr w:type="spellStart"/>
      <w:r w:rsidRPr="00620D6D">
        <w:rPr>
          <w:rFonts w:cs="Arial"/>
        </w:rPr>
        <w:t>escalafonamiento</w:t>
      </w:r>
      <w:proofErr w:type="spellEnd"/>
      <w:r w:rsidRPr="00620D6D">
        <w:rPr>
          <w:rFonts w:cs="Arial"/>
        </w:rPr>
        <w:t>, con ascensos basados en mérito y experiencia.</w:t>
      </w:r>
    </w:p>
    <w:p w14:paraId="1C8F42F5" w14:textId="77777777" w:rsidR="00620D6D" w:rsidRPr="00620D6D" w:rsidRDefault="00620D6D" w:rsidP="00620D6D">
      <w:pPr>
        <w:numPr>
          <w:ilvl w:val="0"/>
          <w:numId w:val="59"/>
        </w:numPr>
        <w:spacing w:after="160" w:line="259" w:lineRule="auto"/>
        <w:jc w:val="both"/>
        <w:rPr>
          <w:rFonts w:cs="Arial"/>
        </w:rPr>
      </w:pPr>
      <w:r w:rsidRPr="00620D6D">
        <w:rPr>
          <w:rFonts w:cs="Arial"/>
        </w:rPr>
        <w:t>Alta producción académica, con 161 productos entre artículos, libros, capítulos y software, validados y utilizados como recursos didácticos.</w:t>
      </w:r>
    </w:p>
    <w:p w14:paraId="3F087138" w14:textId="77777777" w:rsidR="00620D6D" w:rsidRPr="00620D6D" w:rsidRDefault="00620D6D" w:rsidP="00620D6D">
      <w:pPr>
        <w:numPr>
          <w:ilvl w:val="0"/>
          <w:numId w:val="59"/>
        </w:numPr>
        <w:spacing w:after="160" w:line="259" w:lineRule="auto"/>
        <w:jc w:val="both"/>
        <w:rPr>
          <w:rFonts w:cs="Arial"/>
        </w:rPr>
      </w:pPr>
      <w:r w:rsidRPr="00620D6D">
        <w:rPr>
          <w:rFonts w:cs="Arial"/>
        </w:rPr>
        <w:lastRenderedPageBreak/>
        <w:t>Ampliación de la planta docente en ambas sedes, con balance proporcional respecto a la matrícula y carga académica.</w:t>
      </w:r>
    </w:p>
    <w:p w14:paraId="41EC3E5F" w14:textId="77777777" w:rsidR="00620D6D" w:rsidRPr="00620D6D" w:rsidRDefault="00620D6D" w:rsidP="00620D6D">
      <w:pPr>
        <w:numPr>
          <w:ilvl w:val="0"/>
          <w:numId w:val="59"/>
        </w:numPr>
        <w:spacing w:after="160" w:line="259" w:lineRule="auto"/>
        <w:jc w:val="both"/>
        <w:rPr>
          <w:rFonts w:cs="Arial"/>
        </w:rPr>
      </w:pPr>
      <w:r w:rsidRPr="00620D6D">
        <w:rPr>
          <w:rFonts w:cs="Arial"/>
        </w:rPr>
        <w:t>Implementación del Plan de Capacitación Docente 2022–2025 con impacto positivo en la formación en inteligencia artificial, ciencia de datos e innovación pedagógica.</w:t>
      </w:r>
    </w:p>
    <w:p w14:paraId="1F2191DD" w14:textId="77777777" w:rsidR="00620D6D" w:rsidRPr="00620D6D" w:rsidRDefault="00620D6D" w:rsidP="00620D6D">
      <w:pPr>
        <w:numPr>
          <w:ilvl w:val="0"/>
          <w:numId w:val="59"/>
        </w:numPr>
        <w:spacing w:after="160" w:line="259" w:lineRule="auto"/>
        <w:jc w:val="both"/>
        <w:rPr>
          <w:rFonts w:cs="Arial"/>
        </w:rPr>
      </w:pPr>
      <w:r w:rsidRPr="00620D6D">
        <w:rPr>
          <w:rFonts w:cs="Arial"/>
        </w:rPr>
        <w:t>Alto nivel de satisfacción docente respecto a condiciones laborales, oportunidades de cualificación y estímulos institucionales.</w:t>
      </w:r>
    </w:p>
    <w:p w14:paraId="021F2A13" w14:textId="77777777" w:rsidR="00620D6D" w:rsidRPr="00620D6D" w:rsidRDefault="00620D6D" w:rsidP="00620D6D">
      <w:pPr>
        <w:spacing w:after="160" w:line="259" w:lineRule="auto"/>
        <w:jc w:val="both"/>
        <w:rPr>
          <w:rFonts w:cs="Arial"/>
          <w:b/>
          <w:bCs/>
        </w:rPr>
      </w:pPr>
    </w:p>
    <w:p w14:paraId="2B969CD4" w14:textId="7B602289" w:rsidR="00620D6D" w:rsidRDefault="00620D6D" w:rsidP="00620D6D">
      <w:pPr>
        <w:spacing w:after="160" w:line="259" w:lineRule="auto"/>
        <w:jc w:val="both"/>
        <w:rPr>
          <w:rFonts w:cs="Arial"/>
          <w:b/>
          <w:bCs/>
        </w:rPr>
      </w:pPr>
      <w:r w:rsidRPr="00620D6D">
        <w:rPr>
          <w:rFonts w:cs="Arial"/>
          <w:b/>
          <w:bCs/>
        </w:rPr>
        <w:t>Factor 4. Egresados</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El Factor 4 obtuvo una calificación cuantitativa de 94,58, correspondiente a la valoración cualitativa de “Se cumple plenamente”, resultado de ponderar 97,5 puntos en seguimiento a los egresados y 92,5 en impacto de los egresados en el medio social y académico, con pesos de 41,54 y 58,46 respectivamente.</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El programa cuenta con un sistema de seguimiento a graduados que articula tres instrumentos institucionales, Adviser, Aurora y el Observatorio Laboral para la Educación, mediante los cuales se caracterizaron 321 de los 446 graduados del programa, es decir el 72,0 %, por encima de la muestra óptima estadística de 282. Este seguimiento se soporta en las políticas institucionales adoptadas mediante el Acuerdo 019 de 2018.</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Los resultados de inserción laboral muestran una tasa de empleabilidad de 74 %, con 71 % en la sede Riohacha y 77 % en la sede Maicao, frente a 71 % de la región Caribe y 80 % del nivel nacional. El salario promedio de los graduados es de 2,8 salarios mínimos mensuales legales vigentes, por encima del promedio de 2,7 de las instituciones de educación superior de la zona norte, y el 84 % ejerce su profesión en el departamento de La Guajira.</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La apreciación de los graduados sobre la formación recibida registra 27 % de valoración excelente, 40 % muy buena y 33 % buena sobre 102 encuestados. Por su parte, los empleadores califican como excelente la relevancia de la formación en 57 % de los casos y la capacidad de innovación en 16 %, lo que el programa reconoce como oportunidad de mejora y aborda mediante las líneas de profundización en inteligencia artificial, ciencia de datos y ciberseguridad.</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El impacto de los graduados en el medio se evidencia en el desarrollo de sistemas de información utilizados por la propia Universidad y por entidades del entorno regional, en 180 participaciones en actividades académicas y 110 en procesos institucionales, en 10 graduados becados para formación posgradual y en la creación de empresa propia en desarrollo de software, ciberseguridad y consultoría en sistemas y redes.</w:t>
      </w:r>
    </w:p>
    <w:p w14:paraId="021F2A13" w14:textId="77777777" w:rsidR="00620D6D" w:rsidRPr="00620D6D" w:rsidRDefault="00620D6D" w:rsidP="00620D6D">
      <w:pPr>
        <w:spacing w:after="160" w:line="259" w:lineRule="auto"/>
        <w:jc w:val="both"/>
        <w:rPr>
          <w:rFonts w:cs="Arial"/>
          <w:b/>
          <w:bCs/>
        </w:rPr>
      </w:pPr>
    </w:p>
    <w:p w14:paraId="4910250F" w14:textId="77777777" w:rsidR="003F3179" w:rsidRPr="003F3179" w:rsidRDefault="003F3179" w:rsidP="003F3179">
      <w:pPr>
        <w:spacing w:after="160" w:line="259" w:lineRule="auto"/>
        <w:jc w:val="both"/>
        <w:rPr>
          <w:rFonts w:cs="Arial"/>
        </w:rPr>
      </w:pPr>
      <w:r w:rsidRPr="003F3179">
        <w:rPr>
          <w:rFonts w:cs="Arial"/>
        </w:rPr>
        <w:t>Fortalezas identificadas:</w:t>
      </w:r>
    </w:p>
    <w:p w14:paraId="021F2A13" w14:textId="77777777" w:rsidR="00620D6D" w:rsidRPr="00620D6D" w:rsidRDefault="00620D6D" w:rsidP="00620D6D">
      <w:pPr>
        <w:spacing w:after="160" w:line="259" w:lineRule="auto"/>
        <w:jc w:val="both"/>
        <w:rPr>
          <w:rFonts w:cs="Arial"/>
          <w:b/>
          <w:bCs/>
        </w:rPr>
      </w:pP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Sistema de seguimiento a graduados consolidado, con tres instrumentos articulados y una cobertura de caracterización del 72,0 % superior a la muestra óptima.</w:t>
      </w:r>
    </w:p>
    <w:p w14:paraId="021F2A13" w14:textId="77777777" w:rsidR="00620D6D" w:rsidRPr="00620D6D" w:rsidRDefault="00620D6D" w:rsidP="00620D6D">
      <w:pPr>
        <w:spacing w:after="160" w:line="259" w:lineRule="auto"/>
        <w:jc w:val="both"/>
        <w:rPr>
          <w:rFonts w:cs="Arial"/>
          <w:b/>
          <w:bCs/>
        </w:rPr>
      </w:pP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Tasa de empleabilidad de 74 % y salario promedio por encima del promedio regional de las instituciones de educación superior de la zona norte.</w:t>
      </w:r>
    </w:p>
    <w:p w14:paraId="021F2A13" w14:textId="77777777" w:rsidR="00620D6D" w:rsidRPr="00620D6D" w:rsidRDefault="00620D6D" w:rsidP="00620D6D">
      <w:pPr>
        <w:spacing w:after="160" w:line="259" w:lineRule="auto"/>
        <w:jc w:val="both"/>
        <w:rPr>
          <w:rFonts w:cs="Arial"/>
          <w:b/>
          <w:bCs/>
        </w:rPr>
      </w:pP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Arraigo territorial del graduado, con 84 % ejerciendo su profesión en La Guajira.</w:t>
      </w:r>
    </w:p>
    <w:p w14:paraId="021F2A13" w14:textId="77777777" w:rsidR="00620D6D" w:rsidRPr="00620D6D" w:rsidRDefault="00620D6D" w:rsidP="00620D6D">
      <w:pPr>
        <w:spacing w:after="160" w:line="259" w:lineRule="auto"/>
        <w:jc w:val="both"/>
        <w:rPr>
          <w:rFonts w:cs="Arial"/>
          <w:b/>
          <w:bCs/>
        </w:rPr>
      </w:pP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Participación activa de los graduados en los procesos de autoevaluación y en la actualización curricular del programa.</w:t>
      </w:r>
    </w:p>
    <w:p w14:paraId="021F2A13" w14:textId="77777777" w:rsidR="00620D6D" w:rsidRPr="00620D6D" w:rsidRDefault="00620D6D" w:rsidP="00620D6D">
      <w:pPr>
        <w:spacing w:after="160" w:line="259" w:lineRule="auto"/>
        <w:jc w:val="both"/>
        <w:rPr>
          <w:rFonts w:cs="Arial"/>
          <w:b/>
          <w:bCs/>
        </w:rPr>
      </w:pP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Desarrollo por parte de los graduados de sistemas de información adoptados por la Universidad y por organizaciones del entorno regional.</w:t>
      </w:r>
    </w:p>
    <w:p w14:paraId="021F2A13" w14:textId="77777777" w:rsidR="00620D6D" w:rsidRPr="00620D6D" w:rsidRDefault="00620D6D" w:rsidP="00620D6D">
      <w:pPr>
        <w:spacing w:after="160" w:line="259" w:lineRule="auto"/>
        <w:jc w:val="both"/>
        <w:rPr>
          <w:rFonts w:cs="Arial"/>
          <w:b/>
          <w:bCs/>
        </w:rPr>
      </w:pPr>
    </w:p>
    <w:p w14:paraId="2B969CD4" w14:textId="7B602289" w:rsidR="00620D6D" w:rsidRDefault="00620D6D" w:rsidP="00620D6D">
      <w:pPr>
        <w:spacing w:after="160" w:line="259" w:lineRule="auto"/>
        <w:jc w:val="both"/>
        <w:rPr>
          <w:rFonts w:cs="Arial"/>
          <w:b/>
          <w:bCs/>
        </w:rPr>
      </w:pPr>
      <w:r w:rsidRPr="00620D6D">
        <w:rPr>
          <w:rFonts w:cs="Arial"/>
          <w:b/>
          <w:bCs/>
        </w:rPr>
        <w:t>Factor 5. Aspectos académicos y resultados de aprendizaje</w:t>
      </w:r>
    </w:p>
    <w:p w14:paraId="01A5D9A8" w14:textId="77777777" w:rsidR="003F3179" w:rsidRPr="003F3179" w:rsidRDefault="003F3179" w:rsidP="003F3179">
      <w:pPr>
        <w:spacing w:after="160" w:line="259" w:lineRule="auto"/>
        <w:jc w:val="both"/>
        <w:rPr>
          <w:rFonts w:cs="Arial"/>
        </w:rPr>
      </w:pPr>
      <w:r w:rsidRPr="003F3179">
        <w:rPr>
          <w:rFonts w:cs="Arial"/>
        </w:rPr>
        <w:t>El Factor 5 obtuvo una calificación cuantitativa de 92,98, correspondiente a la valoración cualitativa de “Se cumple plenamente”, lo cual evidencia la existencia de una estructura curricular coherente, actualizada y flexible, orientada al logro de los resultados de aprendizaje y en consonancia con los referentes del Proyecto Educativo del Programa (PEP), el Proyecto Educativo Institucional (PEI) y el contexto disciplinar y profesional de la Ingeniería de Sistemas.</w:t>
      </w:r>
    </w:p>
    <w:p w14:paraId="529BAFD0" w14:textId="77777777" w:rsidR="003F3179" w:rsidRPr="003F3179" w:rsidRDefault="003F3179" w:rsidP="003F3179">
      <w:pPr>
        <w:spacing w:after="160" w:line="259" w:lineRule="auto"/>
        <w:jc w:val="both"/>
        <w:rPr>
          <w:rFonts w:cs="Arial"/>
        </w:rPr>
      </w:pPr>
      <w:r w:rsidRPr="003F3179">
        <w:rPr>
          <w:rFonts w:cs="Arial"/>
        </w:rPr>
        <w:t>El programa cuenta con un plan de estudios estructurado por competencias, que articula los saberes básicos, disciplinares, investigativos y aplicados, permitiendo el desarrollo progresivo de conocimientos, habilidades, actitudes y valores. Esta estructura curricular ha sido objeto de revisiones periódicas por parte del Comité Curricular, con base en análisis de pertinencia, desempeño académico, resultados de aprendizaje, tendencias del sector tecnológico y requerimientos del entorno profesional.</w:t>
      </w:r>
    </w:p>
    <w:p w14:paraId="39B497BB" w14:textId="77777777" w:rsidR="003F3179" w:rsidRPr="003F3179" w:rsidRDefault="003F3179" w:rsidP="003F3179">
      <w:pPr>
        <w:spacing w:after="160" w:line="259" w:lineRule="auto"/>
        <w:jc w:val="both"/>
        <w:rPr>
          <w:rFonts w:cs="Arial"/>
        </w:rPr>
      </w:pPr>
      <w:r w:rsidRPr="003F3179">
        <w:rPr>
          <w:rFonts w:cs="Arial"/>
        </w:rPr>
        <w:t xml:space="preserve">Durante el periodo 2020–2024, se realizaron ajustes al plan de estudios y a los contenidos programáticos, como parte del proceso de flexibilización curricular, incorporando asignaturas electivas emergentes (ciberseguridad, robótica, videojuegos, computación en la nube), nuevas estrategias de evaluación de competencias y espacios de formación complementaria como </w:t>
      </w:r>
      <w:r w:rsidRPr="003F3179">
        <w:rPr>
          <w:rFonts w:cs="Arial"/>
          <w:i/>
          <w:iCs/>
        </w:rPr>
        <w:t xml:space="preserve">Saber </w:t>
      </w:r>
      <w:proofErr w:type="gramStart"/>
      <w:r w:rsidRPr="003F3179">
        <w:rPr>
          <w:rFonts w:cs="Arial"/>
          <w:i/>
          <w:iCs/>
        </w:rPr>
        <w:t>Pro I</w:t>
      </w:r>
      <w:proofErr w:type="gramEnd"/>
      <w:r w:rsidRPr="003F3179">
        <w:rPr>
          <w:rFonts w:cs="Arial"/>
          <w:i/>
          <w:iCs/>
        </w:rPr>
        <w:t xml:space="preserve"> y II</w:t>
      </w:r>
      <w:r w:rsidRPr="003F3179">
        <w:rPr>
          <w:rFonts w:cs="Arial"/>
        </w:rPr>
        <w:t>.</w:t>
      </w:r>
    </w:p>
    <w:p w14:paraId="602DA5B7" w14:textId="77777777" w:rsidR="003F3179" w:rsidRPr="003F3179" w:rsidRDefault="003F3179" w:rsidP="003F3179">
      <w:pPr>
        <w:spacing w:after="160" w:line="259" w:lineRule="auto"/>
        <w:jc w:val="both"/>
        <w:rPr>
          <w:rFonts w:cs="Arial"/>
        </w:rPr>
      </w:pPr>
      <w:r w:rsidRPr="003F3179">
        <w:rPr>
          <w:rFonts w:cs="Arial"/>
        </w:rPr>
        <w:t>Los resultados de aprendizaje definidos en el PEP han sido integrados en los sílabos, planes de curso y rúbricas de evaluación. A través de estrategias como el seguimiento semestral de asignaturas, los proyectos integradores y los trabajos de grado, se realiza un monitoreo constante del cumplimiento de estos resultados. Asimismo, los informes de desempeño en pruebas externas como Saber Pro han sido utilizados para retroalimentar el proceso formativo, identificar debilidades y generar planes de mejora específicos.</w:t>
      </w:r>
    </w:p>
    <w:p w14:paraId="523B53F1" w14:textId="77777777" w:rsidR="003F3179" w:rsidRPr="003F3179" w:rsidRDefault="003F3179" w:rsidP="003F3179">
      <w:pPr>
        <w:spacing w:after="160" w:line="259" w:lineRule="auto"/>
        <w:jc w:val="both"/>
        <w:rPr>
          <w:rFonts w:cs="Arial"/>
        </w:rPr>
      </w:pPr>
      <w:r w:rsidRPr="003F3179">
        <w:rPr>
          <w:rFonts w:cs="Arial"/>
        </w:rPr>
        <w:lastRenderedPageBreak/>
        <w:t>El programa también ha promovido la formación autónoma y crítica de los estudiantes, mediante metodologías activas de enseñanza-aprendizaje, prácticas académicas, proyectos con impacto social, semilleros y uso de recursos digitales. La pertinencia de esta formación ha sido validada por los altos niveles de satisfacción expresados por empleadores, egresados y estudiantes en las encuestas institucionales.</w:t>
      </w:r>
    </w:p>
    <w:p w14:paraId="4910250F" w14:textId="77777777" w:rsidR="003F3179" w:rsidRPr="003F3179" w:rsidRDefault="003F3179" w:rsidP="003F3179">
      <w:pPr>
        <w:spacing w:after="160" w:line="259" w:lineRule="auto"/>
        <w:jc w:val="both"/>
        <w:rPr>
          <w:rFonts w:cs="Arial"/>
        </w:rPr>
      </w:pPr>
      <w:r w:rsidRPr="003F3179">
        <w:rPr>
          <w:rFonts w:cs="Arial"/>
        </w:rPr>
        <w:t>Fortalezas identificadas:</w:t>
      </w:r>
    </w:p>
    <w:p w14:paraId="0B6A887E" w14:textId="77777777" w:rsidR="003F3179" w:rsidRPr="003F3179" w:rsidRDefault="003F3179" w:rsidP="003F3179">
      <w:pPr>
        <w:numPr>
          <w:ilvl w:val="0"/>
          <w:numId w:val="74"/>
        </w:numPr>
        <w:spacing w:after="160" w:line="259" w:lineRule="auto"/>
        <w:jc w:val="both"/>
        <w:rPr>
          <w:rFonts w:cs="Arial"/>
        </w:rPr>
      </w:pPr>
      <w:r w:rsidRPr="003F3179">
        <w:rPr>
          <w:rFonts w:cs="Arial"/>
        </w:rPr>
        <w:t>Estructura curricular flexible y actualizada, articulada con los resultados de aprendizaje y tendencias del sector.</w:t>
      </w:r>
    </w:p>
    <w:p w14:paraId="11030DA9" w14:textId="77777777" w:rsidR="003F3179" w:rsidRPr="003F3179" w:rsidRDefault="003F3179" w:rsidP="003F3179">
      <w:pPr>
        <w:numPr>
          <w:ilvl w:val="0"/>
          <w:numId w:val="74"/>
        </w:numPr>
        <w:spacing w:after="160" w:line="259" w:lineRule="auto"/>
        <w:jc w:val="both"/>
        <w:rPr>
          <w:rFonts w:cs="Arial"/>
        </w:rPr>
      </w:pPr>
      <w:r w:rsidRPr="003F3179">
        <w:rPr>
          <w:rFonts w:cs="Arial"/>
        </w:rPr>
        <w:t xml:space="preserve">Implementación de procesos continuos de evaluación y ajuste curricular, con </w:t>
      </w:r>
      <w:proofErr w:type="gramStart"/>
      <w:r w:rsidRPr="003F3179">
        <w:rPr>
          <w:rFonts w:cs="Arial"/>
        </w:rPr>
        <w:t>participación activa</w:t>
      </w:r>
      <w:proofErr w:type="gramEnd"/>
      <w:r w:rsidRPr="003F3179">
        <w:rPr>
          <w:rFonts w:cs="Arial"/>
        </w:rPr>
        <w:t xml:space="preserve"> del Comité Curricular.</w:t>
      </w:r>
    </w:p>
    <w:p w14:paraId="3D2FD59A" w14:textId="77777777" w:rsidR="003F3179" w:rsidRPr="003F3179" w:rsidRDefault="003F3179" w:rsidP="003F3179">
      <w:pPr>
        <w:numPr>
          <w:ilvl w:val="0"/>
          <w:numId w:val="74"/>
        </w:numPr>
        <w:spacing w:after="160" w:line="259" w:lineRule="auto"/>
        <w:jc w:val="both"/>
        <w:rPr>
          <w:rFonts w:cs="Arial"/>
        </w:rPr>
      </w:pPr>
      <w:r w:rsidRPr="003F3179">
        <w:rPr>
          <w:rFonts w:cs="Arial"/>
        </w:rPr>
        <w:t>Incorporación de asignaturas electivas emergentes y prácticas interdisciplinarias, que responden a demandas del contexto.</w:t>
      </w:r>
    </w:p>
    <w:p w14:paraId="6F223A2D" w14:textId="77777777" w:rsidR="003F3179" w:rsidRPr="003F3179" w:rsidRDefault="003F3179" w:rsidP="003F3179">
      <w:pPr>
        <w:numPr>
          <w:ilvl w:val="0"/>
          <w:numId w:val="74"/>
        </w:numPr>
        <w:spacing w:after="160" w:line="259" w:lineRule="auto"/>
        <w:jc w:val="both"/>
        <w:rPr>
          <w:rFonts w:cs="Arial"/>
        </w:rPr>
      </w:pPr>
      <w:r w:rsidRPr="003F3179">
        <w:rPr>
          <w:rFonts w:cs="Arial"/>
        </w:rPr>
        <w:t>Seguimiento y evaluación sistemática del logro de resultados de aprendizaje, mediante rúbricas, proyectos y Saber Pro.</w:t>
      </w:r>
    </w:p>
    <w:p w14:paraId="0F1ECA42" w14:textId="77777777" w:rsidR="003F3179" w:rsidRPr="003F3179" w:rsidRDefault="003F3179" w:rsidP="003F3179">
      <w:pPr>
        <w:numPr>
          <w:ilvl w:val="0"/>
          <w:numId w:val="74"/>
        </w:numPr>
        <w:spacing w:after="160" w:line="259" w:lineRule="auto"/>
        <w:jc w:val="both"/>
        <w:rPr>
          <w:rFonts w:cs="Arial"/>
        </w:rPr>
      </w:pPr>
      <w:r w:rsidRPr="003F3179">
        <w:rPr>
          <w:rFonts w:cs="Arial"/>
        </w:rPr>
        <w:t>Integración de estrategias metodológicas innovadoras y tecnologías educativas, que fortalecen el aprendizaje autónomo y contextualizado.</w:t>
      </w:r>
    </w:p>
    <w:p w14:paraId="5BE6CBC4" w14:textId="77777777" w:rsidR="003F3179" w:rsidRDefault="003F3179" w:rsidP="00620D6D">
      <w:pPr>
        <w:spacing w:after="160" w:line="259" w:lineRule="auto"/>
        <w:jc w:val="both"/>
        <w:rPr>
          <w:rFonts w:cs="Arial"/>
          <w:b/>
          <w:bCs/>
        </w:rPr>
      </w:pPr>
    </w:p>
    <w:p w14:paraId="355D5DBF" w14:textId="4A9E1819" w:rsidR="00697097" w:rsidRPr="00697097" w:rsidRDefault="00697097" w:rsidP="00620D6D">
      <w:pPr>
        <w:spacing w:after="160" w:line="259" w:lineRule="auto"/>
        <w:jc w:val="both"/>
        <w:rPr>
          <w:rFonts w:cs="Arial"/>
          <w:b/>
          <w:bCs/>
        </w:rPr>
      </w:pPr>
      <w:r w:rsidRPr="00697097">
        <w:rPr>
          <w:rFonts w:cs="Arial"/>
          <w:b/>
          <w:bCs/>
        </w:rPr>
        <w:t>Factor 6. Permanencia y graduación</w:t>
      </w:r>
    </w:p>
    <w:p w14:paraId="33A9C213" w14:textId="77777777" w:rsidR="00697097" w:rsidRPr="00697097" w:rsidRDefault="00697097" w:rsidP="00697097">
      <w:pPr>
        <w:spacing w:after="160" w:line="259" w:lineRule="auto"/>
        <w:jc w:val="both"/>
        <w:rPr>
          <w:rFonts w:cs="Arial"/>
        </w:rPr>
      </w:pPr>
      <w:r w:rsidRPr="00697097">
        <w:rPr>
          <w:rFonts w:cs="Arial"/>
        </w:rPr>
        <w:t>El Factor 6 obtuvo una calificación cuantitativa de 93,07, con una valoración cualitativa de “Se cumple plenamente”, lo que evidencia el alto grado de cumplimiento de las políticas, estrategias, mecanismos y acciones implementadas por el Programa de Ingeniería de Sistemas para promover la permanencia y la graduación exitosa de sus estudiantes.</w:t>
      </w:r>
    </w:p>
    <w:p w14:paraId="12871A63" w14:textId="77777777" w:rsidR="00697097" w:rsidRPr="00697097" w:rsidRDefault="00697097" w:rsidP="00697097">
      <w:pPr>
        <w:spacing w:after="160" w:line="259" w:lineRule="auto"/>
        <w:jc w:val="both"/>
        <w:rPr>
          <w:rFonts w:cs="Arial"/>
        </w:rPr>
      </w:pPr>
      <w:r w:rsidRPr="00697097">
        <w:rPr>
          <w:rFonts w:cs="Arial"/>
        </w:rPr>
        <w:t>Durante el periodo 2020-2024, el programa consolidó un sistema estructurado y multidimensional de acompañamiento académico, psicosocial y administrativo, fundamentado en la implementación del Sistema Institucional de Alertas Tempranas (SIAT). Este sistema ha permitido identificar y atender factores de riesgo académico, individual, familiar y socioeconómico, beneficiando a 3.072 estudiantes, de los cuales el 83,5</w:t>
      </w:r>
      <w:r w:rsidRPr="00697097">
        <w:rPr>
          <w:rFonts w:ascii="Arial" w:hAnsi="Arial" w:cs="Arial"/>
        </w:rPr>
        <w:t> </w:t>
      </w:r>
      <w:r w:rsidRPr="00697097">
        <w:rPr>
          <w:rFonts w:cs="Arial"/>
        </w:rPr>
        <w:t>% permanecieron activos y 136 culminaron su proceso formativo, contribuyendo a la reducción de la deserción y al aumento progresivo de la tasa de graduación.</w:t>
      </w:r>
    </w:p>
    <w:p w14:paraId="640C0661" w14:textId="77777777" w:rsidR="00697097" w:rsidRPr="00697097" w:rsidRDefault="00697097" w:rsidP="00697097">
      <w:pPr>
        <w:spacing w:after="160" w:line="259" w:lineRule="auto"/>
        <w:jc w:val="both"/>
        <w:rPr>
          <w:rFonts w:cs="Arial"/>
        </w:rPr>
      </w:pPr>
      <w:r w:rsidRPr="00697097">
        <w:rPr>
          <w:rFonts w:cs="Arial"/>
        </w:rPr>
        <w:t>Los resultados de impacto son evidentes: entre 2021 y 2023, la tasa de deserción por periodo académico se redujo del 14,95</w:t>
      </w:r>
      <w:r w:rsidRPr="00697097">
        <w:rPr>
          <w:rFonts w:ascii="Arial" w:hAnsi="Arial" w:cs="Arial"/>
        </w:rPr>
        <w:t> </w:t>
      </w:r>
      <w:r w:rsidRPr="00697097">
        <w:rPr>
          <w:rFonts w:cs="Arial"/>
        </w:rPr>
        <w:t>% al 8,67</w:t>
      </w:r>
      <w:r w:rsidRPr="00697097">
        <w:rPr>
          <w:rFonts w:ascii="Arial" w:hAnsi="Arial" w:cs="Arial"/>
        </w:rPr>
        <w:t> </w:t>
      </w:r>
      <w:r w:rsidRPr="00697097">
        <w:rPr>
          <w:rFonts w:cs="Arial"/>
        </w:rPr>
        <w:t xml:space="preserve">%, mientras que la tasa de </w:t>
      </w:r>
      <w:r w:rsidRPr="00697097">
        <w:rPr>
          <w:rFonts w:cs="Arial"/>
        </w:rPr>
        <w:lastRenderedPageBreak/>
        <w:t>graduación por periodo aumentó del 7,40</w:t>
      </w:r>
      <w:r w:rsidRPr="00697097">
        <w:rPr>
          <w:rFonts w:ascii="Arial" w:hAnsi="Arial" w:cs="Arial"/>
        </w:rPr>
        <w:t> </w:t>
      </w:r>
      <w:r w:rsidRPr="00697097">
        <w:rPr>
          <w:rFonts w:cs="Arial"/>
        </w:rPr>
        <w:t>% al 13,25</w:t>
      </w:r>
      <w:r w:rsidRPr="00697097">
        <w:rPr>
          <w:rFonts w:ascii="Arial" w:hAnsi="Arial" w:cs="Arial"/>
        </w:rPr>
        <w:t> </w:t>
      </w:r>
      <w:r w:rsidRPr="00697097">
        <w:rPr>
          <w:rFonts w:cs="Arial"/>
        </w:rPr>
        <w:t>%. Estas cifras consolidan el SIAT como una herramienta efectiva para la retención estudiantil y el aseguramiento del éxito académico.</w:t>
      </w:r>
    </w:p>
    <w:p w14:paraId="3C5D9CD7" w14:textId="77777777" w:rsidR="00697097" w:rsidRPr="00697097" w:rsidRDefault="00697097" w:rsidP="00697097">
      <w:pPr>
        <w:spacing w:after="160" w:line="259" w:lineRule="auto"/>
        <w:jc w:val="both"/>
        <w:rPr>
          <w:rFonts w:cs="Arial"/>
        </w:rPr>
      </w:pPr>
      <w:r w:rsidRPr="00697097">
        <w:rPr>
          <w:rFonts w:cs="Arial"/>
        </w:rPr>
        <w:t>A partir del análisis de datos generados por el SIAT, se han implementado ajustes curriculares relevantes, tales como la reorganización de contenidos, la inclusión de nuevas asignaturas extracurriculares (</w:t>
      </w:r>
      <w:r w:rsidRPr="00697097">
        <w:rPr>
          <w:rFonts w:cs="Arial"/>
          <w:i/>
          <w:iCs/>
        </w:rPr>
        <w:t xml:space="preserve">Saber </w:t>
      </w:r>
      <w:proofErr w:type="gramStart"/>
      <w:r w:rsidRPr="00697097">
        <w:rPr>
          <w:rFonts w:cs="Arial"/>
          <w:i/>
          <w:iCs/>
        </w:rPr>
        <w:t>Pro I</w:t>
      </w:r>
      <w:proofErr w:type="gramEnd"/>
      <w:r w:rsidRPr="00697097">
        <w:rPr>
          <w:rFonts w:cs="Arial"/>
          <w:i/>
          <w:iCs/>
        </w:rPr>
        <w:t xml:space="preserve"> y II</w:t>
      </w:r>
      <w:r w:rsidRPr="00697097">
        <w:rPr>
          <w:rFonts w:cs="Arial"/>
        </w:rPr>
        <w:t>), y la incorporación de electivas emergentes en áreas como ciberseguridad, computación en la nube y robótica. Estos ajustes responden tanto a necesidades internas como a tendencias del sector tecnológico.</w:t>
      </w:r>
    </w:p>
    <w:p w14:paraId="6E56C9A1" w14:textId="77777777" w:rsidR="00697097" w:rsidRPr="00697097" w:rsidRDefault="00697097" w:rsidP="00697097">
      <w:pPr>
        <w:spacing w:after="160" w:line="259" w:lineRule="auto"/>
        <w:jc w:val="both"/>
        <w:rPr>
          <w:rFonts w:cs="Arial"/>
        </w:rPr>
      </w:pPr>
      <w:r w:rsidRPr="00697097">
        <w:rPr>
          <w:rFonts w:cs="Arial"/>
        </w:rPr>
        <w:t>Asimismo, el programa ha fortalecido su proceso de admisión y selección mediante la implementación de criterios diferenciales para poblaciones vulnerables, como estudiantes indígenas, ajustando la ponderación de áreas en las pruebas Saber 11 con base en análisis de desempeño. Estas acciones han favorecido trayectorias académicas más equitativas sin afectar los estándares de calidad.</w:t>
      </w:r>
    </w:p>
    <w:p w14:paraId="12822A6A" w14:textId="77777777" w:rsidR="00697097" w:rsidRPr="00697097" w:rsidRDefault="00697097" w:rsidP="00697097">
      <w:pPr>
        <w:spacing w:after="160" w:line="259" w:lineRule="auto"/>
        <w:jc w:val="both"/>
        <w:rPr>
          <w:rFonts w:cs="Arial"/>
        </w:rPr>
      </w:pPr>
      <w:r w:rsidRPr="00697097">
        <w:rPr>
          <w:rFonts w:cs="Arial"/>
        </w:rPr>
        <w:t>Fortalezas identificadas:</w:t>
      </w:r>
    </w:p>
    <w:p w14:paraId="26A1E0FA" w14:textId="77777777" w:rsidR="00697097" w:rsidRPr="00697097" w:rsidRDefault="00697097" w:rsidP="00697097">
      <w:pPr>
        <w:numPr>
          <w:ilvl w:val="0"/>
          <w:numId w:val="60"/>
        </w:numPr>
        <w:spacing w:after="160" w:line="259" w:lineRule="auto"/>
        <w:jc w:val="both"/>
        <w:rPr>
          <w:rFonts w:cs="Arial"/>
        </w:rPr>
      </w:pPr>
      <w:r w:rsidRPr="00697097">
        <w:rPr>
          <w:rFonts w:cs="Arial"/>
        </w:rPr>
        <w:t>Implementación del Sistema Institucional de Alertas Tempranas (SIAT) con resultados positivos en retención y graduación.</w:t>
      </w:r>
    </w:p>
    <w:p w14:paraId="2B40A0B4" w14:textId="77777777" w:rsidR="00697097" w:rsidRPr="00697097" w:rsidRDefault="00697097" w:rsidP="00697097">
      <w:pPr>
        <w:numPr>
          <w:ilvl w:val="0"/>
          <w:numId w:val="60"/>
        </w:numPr>
        <w:spacing w:after="160" w:line="259" w:lineRule="auto"/>
        <w:jc w:val="both"/>
        <w:rPr>
          <w:rFonts w:cs="Arial"/>
        </w:rPr>
      </w:pPr>
      <w:r w:rsidRPr="00697097">
        <w:rPr>
          <w:rFonts w:cs="Arial"/>
        </w:rPr>
        <w:t>Articulación efectiva entre los procesos de acompañamiento académico, ajuste curricular y seguimiento institucional.</w:t>
      </w:r>
    </w:p>
    <w:p w14:paraId="6961D09C" w14:textId="77777777" w:rsidR="00697097" w:rsidRPr="00697097" w:rsidRDefault="00697097" w:rsidP="00697097">
      <w:pPr>
        <w:numPr>
          <w:ilvl w:val="0"/>
          <w:numId w:val="60"/>
        </w:numPr>
        <w:spacing w:after="160" w:line="259" w:lineRule="auto"/>
        <w:jc w:val="both"/>
        <w:rPr>
          <w:rFonts w:cs="Arial"/>
        </w:rPr>
      </w:pPr>
      <w:r w:rsidRPr="00697097">
        <w:rPr>
          <w:rFonts w:cs="Arial"/>
        </w:rPr>
        <w:t>Reducción significativa de la deserción académica y aumento sostenido de la graduación por cohorte.</w:t>
      </w:r>
    </w:p>
    <w:p w14:paraId="688CEBDA" w14:textId="77777777" w:rsidR="00697097" w:rsidRPr="00697097" w:rsidRDefault="00697097" w:rsidP="00697097">
      <w:pPr>
        <w:numPr>
          <w:ilvl w:val="0"/>
          <w:numId w:val="60"/>
        </w:numPr>
        <w:spacing w:after="160" w:line="259" w:lineRule="auto"/>
        <w:jc w:val="both"/>
        <w:rPr>
          <w:rFonts w:cs="Arial"/>
        </w:rPr>
      </w:pPr>
      <w:r w:rsidRPr="00697097">
        <w:rPr>
          <w:rFonts w:cs="Arial"/>
        </w:rPr>
        <w:t>Adaptación de mecanismos de selección para poblaciones vulnerables, con criterios inclusivos y pertinentes.</w:t>
      </w:r>
    </w:p>
    <w:p w14:paraId="0140FBB7" w14:textId="77777777" w:rsidR="00697097" w:rsidRPr="00697097" w:rsidRDefault="00697097" w:rsidP="00697097">
      <w:pPr>
        <w:numPr>
          <w:ilvl w:val="0"/>
          <w:numId w:val="60"/>
        </w:numPr>
        <w:spacing w:after="160" w:line="259" w:lineRule="auto"/>
        <w:jc w:val="both"/>
        <w:rPr>
          <w:rFonts w:cs="Arial"/>
        </w:rPr>
      </w:pPr>
      <w:r w:rsidRPr="00697097">
        <w:rPr>
          <w:rFonts w:cs="Arial"/>
        </w:rPr>
        <w:t>Cobertura amplia y sostenida de estrategias de apoyo académico y psicosocial, articuladas con Bienestar Universitario y el Observatorio Académico.</w:t>
      </w:r>
    </w:p>
    <w:p w14:paraId="54D4C21E" w14:textId="77777777" w:rsidR="00697097" w:rsidRDefault="00697097" w:rsidP="00620D6D">
      <w:pPr>
        <w:spacing w:after="160" w:line="259" w:lineRule="auto"/>
        <w:jc w:val="both"/>
        <w:rPr>
          <w:rFonts w:cs="Arial"/>
          <w:b/>
          <w:bCs/>
        </w:rPr>
      </w:pPr>
    </w:p>
    <w:p w14:paraId="0DFDFCAC" w14:textId="77777777" w:rsidR="00697097" w:rsidRDefault="00697097" w:rsidP="00620D6D">
      <w:pPr>
        <w:spacing w:after="160" w:line="259" w:lineRule="auto"/>
        <w:jc w:val="both"/>
        <w:rPr>
          <w:rFonts w:cs="Arial"/>
          <w:b/>
          <w:bCs/>
        </w:rPr>
      </w:pPr>
    </w:p>
    <w:p w14:paraId="337B6A50" w14:textId="77777777" w:rsidR="00697097" w:rsidRDefault="00697097" w:rsidP="00620D6D">
      <w:pPr>
        <w:spacing w:after="160" w:line="259" w:lineRule="auto"/>
        <w:jc w:val="both"/>
        <w:rPr>
          <w:rFonts w:cs="Arial"/>
          <w:b/>
          <w:bCs/>
        </w:rPr>
      </w:pPr>
    </w:p>
    <w:p w14:paraId="41CB2B78" w14:textId="77777777" w:rsidR="00697097" w:rsidRDefault="00697097" w:rsidP="00620D6D">
      <w:pPr>
        <w:spacing w:after="160" w:line="259" w:lineRule="auto"/>
        <w:jc w:val="both"/>
        <w:rPr>
          <w:rFonts w:cs="Arial"/>
          <w:b/>
          <w:bCs/>
        </w:rPr>
      </w:pPr>
    </w:p>
    <w:p w14:paraId="46690A07" w14:textId="77777777" w:rsidR="00697097" w:rsidRDefault="00697097" w:rsidP="00620D6D">
      <w:pPr>
        <w:spacing w:after="160" w:line="259" w:lineRule="auto"/>
        <w:jc w:val="both"/>
        <w:rPr>
          <w:rFonts w:cs="Arial"/>
          <w:b/>
          <w:bCs/>
        </w:rPr>
      </w:pPr>
    </w:p>
    <w:p w14:paraId="4C600FAB" w14:textId="77777777" w:rsidR="00697097" w:rsidRDefault="00697097" w:rsidP="00620D6D">
      <w:pPr>
        <w:spacing w:after="160" w:line="259" w:lineRule="auto"/>
        <w:jc w:val="both"/>
        <w:rPr>
          <w:rFonts w:cs="Arial"/>
          <w:b/>
          <w:bCs/>
        </w:rPr>
      </w:pPr>
    </w:p>
    <w:p w14:paraId="40027DAA" w14:textId="77777777" w:rsidR="00697097" w:rsidRPr="00697097" w:rsidRDefault="00697097" w:rsidP="00620D6D">
      <w:pPr>
        <w:spacing w:after="160" w:line="259" w:lineRule="auto"/>
        <w:jc w:val="both"/>
        <w:rPr>
          <w:rFonts w:cs="Arial"/>
          <w:b/>
          <w:bCs/>
        </w:rPr>
      </w:pPr>
    </w:p>
    <w:p w14:paraId="650A8A58" w14:textId="5CD44FB3" w:rsidR="00620D6D" w:rsidRDefault="00697097" w:rsidP="00620D6D">
      <w:pPr>
        <w:spacing w:after="160" w:line="259" w:lineRule="auto"/>
        <w:jc w:val="both"/>
        <w:rPr>
          <w:rFonts w:cs="Arial"/>
          <w:b/>
          <w:bCs/>
        </w:rPr>
      </w:pPr>
      <w:r w:rsidRPr="00697097">
        <w:rPr>
          <w:rFonts w:cs="Arial"/>
          <w:b/>
          <w:bCs/>
        </w:rPr>
        <w:t>Factor 7. Interacción con el entorno nacional e internacional.</w:t>
      </w:r>
    </w:p>
    <w:p w14:paraId="7392B8B9" w14:textId="77777777" w:rsidR="00697097" w:rsidRPr="00697097" w:rsidRDefault="00697097" w:rsidP="00697097">
      <w:pPr>
        <w:spacing w:after="160" w:line="259" w:lineRule="auto"/>
        <w:jc w:val="both"/>
        <w:rPr>
          <w:rFonts w:cs="Arial"/>
        </w:rPr>
      </w:pPr>
      <w:r w:rsidRPr="00697097">
        <w:rPr>
          <w:rFonts w:cs="Arial"/>
        </w:rPr>
        <w:t>El Factor 7 obtuvo una calificación cuantitativa de 93,3, correspondiente al juicio cualitativo de “Se cumple plenamente”, lo que refleja un nivel destacado de consolidación en las estrategias de interacción del Programa de Ingeniería de Sistemas con comunidades académicas nacionales e internacionales, así como en el fortalecimiento de las competencias globales de sus estudiantes y docentes.</w:t>
      </w:r>
    </w:p>
    <w:p w14:paraId="5EC597ED" w14:textId="77777777" w:rsidR="00697097" w:rsidRPr="00697097" w:rsidRDefault="00697097" w:rsidP="00697097">
      <w:pPr>
        <w:spacing w:after="160" w:line="259" w:lineRule="auto"/>
        <w:jc w:val="both"/>
        <w:rPr>
          <w:rFonts w:cs="Arial"/>
        </w:rPr>
      </w:pPr>
      <w:r w:rsidRPr="00697097">
        <w:rPr>
          <w:rFonts w:cs="Arial"/>
        </w:rPr>
        <w:t>Durante el periodo 2020–2024, el programa desarrolló un conjunto articulado de estrategias de internacionalización, en coherencia con la Política de Internacionalización (Acuerdo 014 de 2016) y la Política de Multilingüismo (Acuerdo 003 de 2021), generando un impacto positivo en la movilidad académica, la cooperación científica, la pertinencia curricular y el perfil profesional de sus egresados.</w:t>
      </w:r>
    </w:p>
    <w:p w14:paraId="5D624FB7" w14:textId="77777777" w:rsidR="00697097" w:rsidRPr="00697097" w:rsidRDefault="00697097" w:rsidP="00697097">
      <w:pPr>
        <w:spacing w:after="160" w:line="259" w:lineRule="auto"/>
        <w:jc w:val="both"/>
        <w:rPr>
          <w:rFonts w:cs="Arial"/>
        </w:rPr>
      </w:pPr>
      <w:r w:rsidRPr="00697097">
        <w:rPr>
          <w:rFonts w:cs="Arial"/>
        </w:rPr>
        <w:t xml:space="preserve">Entre los resultados más significativos se destacan la firma de 40 convenios internacionales, la ejecución de 61 actividades académicas internacionales y la </w:t>
      </w:r>
      <w:proofErr w:type="gramStart"/>
      <w:r w:rsidRPr="00697097">
        <w:rPr>
          <w:rFonts w:cs="Arial"/>
        </w:rPr>
        <w:t>participación activa</w:t>
      </w:r>
      <w:proofErr w:type="gramEnd"/>
      <w:r w:rsidRPr="00697097">
        <w:rPr>
          <w:rFonts w:cs="Arial"/>
        </w:rPr>
        <w:t xml:space="preserve"> en redes académicas como REDCOLSI, REDIS, ACOFI, ALININ y el Programa Delfín. A nivel de movilidad, se reportaron 90 movilidades docentes (33 nacionales y 57 internacionales) y 708 movilidades estudiantiles (400 nacionales y 434 internacionales), lo que evidencia un compromiso sostenido con la formación internacional.</w:t>
      </w:r>
    </w:p>
    <w:p w14:paraId="1F98F98C" w14:textId="77777777" w:rsidR="00697097" w:rsidRPr="00697097" w:rsidRDefault="00697097" w:rsidP="00697097">
      <w:pPr>
        <w:spacing w:after="160" w:line="259" w:lineRule="auto"/>
        <w:jc w:val="both"/>
        <w:rPr>
          <w:rFonts w:cs="Arial"/>
        </w:rPr>
      </w:pPr>
      <w:r w:rsidRPr="00697097">
        <w:rPr>
          <w:rFonts w:cs="Arial"/>
        </w:rPr>
        <w:t xml:space="preserve">En el componente curricular, el programa ha realizado ajustes sustanciales basados en análisis de comparabilidad con referentes internacionales (MIT, Universidad Politécnica de Madrid, Universidad de Arizona, LUT </w:t>
      </w:r>
      <w:proofErr w:type="spellStart"/>
      <w:r w:rsidRPr="00697097">
        <w:rPr>
          <w:rFonts w:cs="Arial"/>
        </w:rPr>
        <w:t>University</w:t>
      </w:r>
      <w:proofErr w:type="spellEnd"/>
      <w:r w:rsidRPr="00697097">
        <w:rPr>
          <w:rFonts w:cs="Arial"/>
        </w:rPr>
        <w:t>), integrando asignaturas electivas como desarrollo de videojuegos, inteligencia artificial y metodologías ágiles. Estas reformas reflejan una visión curricular alineada con tendencias globales y con el perfil de egreso proyectado.</w:t>
      </w:r>
    </w:p>
    <w:p w14:paraId="4AAA3013" w14:textId="77777777" w:rsidR="00697097" w:rsidRPr="00697097" w:rsidRDefault="00697097" w:rsidP="00697097">
      <w:pPr>
        <w:spacing w:after="160" w:line="259" w:lineRule="auto"/>
        <w:jc w:val="both"/>
        <w:rPr>
          <w:rFonts w:cs="Arial"/>
        </w:rPr>
      </w:pPr>
      <w:r w:rsidRPr="00697097">
        <w:rPr>
          <w:rFonts w:cs="Arial"/>
        </w:rPr>
        <w:t xml:space="preserve">Paralelamente, se han promovido estrategias de internacionalización en casa, mediante clases espejo, clubes de lenguas, ferias multiculturales, bibliografía internacional, y el uso de plataformas de aprendizaje de idiomas. Estas acciones han sido reforzadas por la implementación de un sistema de diagnóstico lingüístico semestral y el acceso a cursos en inglés, francés y </w:t>
      </w:r>
      <w:proofErr w:type="spellStart"/>
      <w:r w:rsidRPr="00697097">
        <w:rPr>
          <w:rFonts w:cs="Arial"/>
        </w:rPr>
        <w:t>wayuunaiki</w:t>
      </w:r>
      <w:proofErr w:type="spellEnd"/>
      <w:r w:rsidRPr="00697097">
        <w:rPr>
          <w:rFonts w:cs="Arial"/>
        </w:rPr>
        <w:t>.</w:t>
      </w:r>
    </w:p>
    <w:p w14:paraId="7E0315ED" w14:textId="77777777" w:rsidR="00697097" w:rsidRPr="00697097" w:rsidRDefault="00697097" w:rsidP="00697097">
      <w:pPr>
        <w:spacing w:after="160" w:line="259" w:lineRule="auto"/>
        <w:jc w:val="both"/>
        <w:rPr>
          <w:rFonts w:cs="Arial"/>
        </w:rPr>
      </w:pPr>
      <w:r w:rsidRPr="00697097">
        <w:rPr>
          <w:rFonts w:cs="Arial"/>
        </w:rPr>
        <w:t>Los resultados de las encuestas aplicadas evidencian una valoración positiva por parte de los tres estamentos:</w:t>
      </w:r>
    </w:p>
    <w:p w14:paraId="576D1ACF" w14:textId="77777777" w:rsidR="00697097" w:rsidRPr="00697097" w:rsidRDefault="00697097" w:rsidP="00697097">
      <w:pPr>
        <w:numPr>
          <w:ilvl w:val="0"/>
          <w:numId w:val="61"/>
        </w:numPr>
        <w:spacing w:after="160" w:line="259" w:lineRule="auto"/>
        <w:jc w:val="both"/>
        <w:rPr>
          <w:rFonts w:cs="Arial"/>
        </w:rPr>
      </w:pPr>
      <w:r w:rsidRPr="00697097">
        <w:rPr>
          <w:rFonts w:cs="Arial"/>
        </w:rPr>
        <w:t>92</w:t>
      </w:r>
      <w:r w:rsidRPr="00697097">
        <w:rPr>
          <w:rFonts w:ascii="Arial" w:hAnsi="Arial" w:cs="Arial"/>
        </w:rPr>
        <w:t> </w:t>
      </w:r>
      <w:r w:rsidRPr="00697097">
        <w:rPr>
          <w:rFonts w:cs="Arial"/>
        </w:rPr>
        <w:t>% de los docentes reconoce el impacto académico de las estrategias de cooperación.</w:t>
      </w:r>
    </w:p>
    <w:p w14:paraId="0FAA5ED4" w14:textId="77777777" w:rsidR="00697097" w:rsidRPr="00697097" w:rsidRDefault="00697097" w:rsidP="00697097">
      <w:pPr>
        <w:numPr>
          <w:ilvl w:val="0"/>
          <w:numId w:val="61"/>
        </w:numPr>
        <w:spacing w:after="160" w:line="259" w:lineRule="auto"/>
        <w:jc w:val="both"/>
        <w:rPr>
          <w:rFonts w:cs="Arial"/>
        </w:rPr>
      </w:pPr>
      <w:r w:rsidRPr="00697097">
        <w:rPr>
          <w:rFonts w:cs="Arial"/>
        </w:rPr>
        <w:lastRenderedPageBreak/>
        <w:t>85</w:t>
      </w:r>
      <w:r w:rsidRPr="00697097">
        <w:rPr>
          <w:rFonts w:ascii="Arial" w:hAnsi="Arial" w:cs="Arial"/>
        </w:rPr>
        <w:t> </w:t>
      </w:r>
      <w:r w:rsidRPr="00697097">
        <w:rPr>
          <w:rFonts w:cs="Arial"/>
        </w:rPr>
        <w:t>% de los estudiantes manifiesta haber conocido y aprovechado oportunidades internacionales.</w:t>
      </w:r>
    </w:p>
    <w:p w14:paraId="1604A683" w14:textId="77777777" w:rsidR="00697097" w:rsidRPr="00697097" w:rsidRDefault="00697097" w:rsidP="00697097">
      <w:pPr>
        <w:numPr>
          <w:ilvl w:val="0"/>
          <w:numId w:val="61"/>
        </w:numPr>
        <w:spacing w:after="160" w:line="259" w:lineRule="auto"/>
        <w:jc w:val="both"/>
        <w:rPr>
          <w:rFonts w:cs="Arial"/>
        </w:rPr>
      </w:pPr>
      <w:r w:rsidRPr="00697097">
        <w:rPr>
          <w:rFonts w:cs="Arial"/>
        </w:rPr>
        <w:t>86</w:t>
      </w:r>
      <w:r w:rsidRPr="00697097">
        <w:rPr>
          <w:rFonts w:ascii="Arial" w:hAnsi="Arial" w:cs="Arial"/>
        </w:rPr>
        <w:t> </w:t>
      </w:r>
      <w:r w:rsidRPr="00697097">
        <w:rPr>
          <w:rFonts w:cs="Arial"/>
        </w:rPr>
        <w:t>% de los egresados reporta haber participado directa o indirectamente en actividades de internacionalización, valorándolas como “muy buenas” o “excelentes”.</w:t>
      </w:r>
    </w:p>
    <w:p w14:paraId="4B74AB9B" w14:textId="77777777" w:rsidR="00697097" w:rsidRPr="00697097" w:rsidRDefault="00697097" w:rsidP="00697097">
      <w:pPr>
        <w:spacing w:after="160" w:line="259" w:lineRule="auto"/>
        <w:jc w:val="both"/>
        <w:rPr>
          <w:rFonts w:cs="Arial"/>
        </w:rPr>
      </w:pPr>
      <w:r w:rsidRPr="00697097">
        <w:rPr>
          <w:rFonts w:cs="Arial"/>
        </w:rPr>
        <w:t>Estos resultados consolidan la interacción del programa con el entorno como una fortaleza institucional, contribuyendo significativamente al desarrollo de competencias globales, la producción académica compartida, y el posicionamiento internacional del programa.</w:t>
      </w:r>
    </w:p>
    <w:p w14:paraId="55E8461A" w14:textId="77777777" w:rsidR="00697097" w:rsidRPr="00697097" w:rsidRDefault="00697097" w:rsidP="00697097">
      <w:pPr>
        <w:spacing w:after="160" w:line="259" w:lineRule="auto"/>
        <w:jc w:val="both"/>
        <w:rPr>
          <w:rFonts w:cs="Arial"/>
        </w:rPr>
      </w:pPr>
      <w:r w:rsidRPr="00697097">
        <w:rPr>
          <w:rFonts w:cs="Arial"/>
        </w:rPr>
        <w:t>Fortalezas identificadas:</w:t>
      </w:r>
    </w:p>
    <w:p w14:paraId="4AD649C2" w14:textId="77777777" w:rsidR="00697097" w:rsidRPr="00697097" w:rsidRDefault="00697097" w:rsidP="00697097">
      <w:pPr>
        <w:numPr>
          <w:ilvl w:val="0"/>
          <w:numId w:val="62"/>
        </w:numPr>
        <w:spacing w:after="160" w:line="259" w:lineRule="auto"/>
        <w:jc w:val="both"/>
        <w:rPr>
          <w:rFonts w:cs="Arial"/>
        </w:rPr>
      </w:pPr>
      <w:r w:rsidRPr="00697097">
        <w:rPr>
          <w:rFonts w:cs="Arial"/>
        </w:rPr>
        <w:t>Participación sostenida en movilidad académica nacional e internacional de docentes y estudiantes.</w:t>
      </w:r>
    </w:p>
    <w:p w14:paraId="19D86A0D" w14:textId="77777777" w:rsidR="00697097" w:rsidRPr="00697097" w:rsidRDefault="00697097" w:rsidP="00697097">
      <w:pPr>
        <w:numPr>
          <w:ilvl w:val="0"/>
          <w:numId w:val="62"/>
        </w:numPr>
        <w:spacing w:after="160" w:line="259" w:lineRule="auto"/>
        <w:jc w:val="both"/>
        <w:rPr>
          <w:rFonts w:cs="Arial"/>
        </w:rPr>
      </w:pPr>
      <w:r w:rsidRPr="00697097">
        <w:rPr>
          <w:rFonts w:cs="Arial"/>
        </w:rPr>
        <w:t>Presencia activa en redes académicas nacionales e internacionales que fortalecen la cooperación y actualización curricular.</w:t>
      </w:r>
    </w:p>
    <w:p w14:paraId="1E692EA5" w14:textId="77777777" w:rsidR="00697097" w:rsidRPr="00697097" w:rsidRDefault="00697097" w:rsidP="00697097">
      <w:pPr>
        <w:numPr>
          <w:ilvl w:val="0"/>
          <w:numId w:val="62"/>
        </w:numPr>
        <w:spacing w:after="160" w:line="259" w:lineRule="auto"/>
        <w:jc w:val="both"/>
        <w:rPr>
          <w:rFonts w:cs="Arial"/>
        </w:rPr>
      </w:pPr>
      <w:r w:rsidRPr="00697097">
        <w:rPr>
          <w:rFonts w:cs="Arial"/>
        </w:rPr>
        <w:t xml:space="preserve">Implementación efectiva de la Política de Multilingüismo, con avances en inglés, francés y </w:t>
      </w:r>
      <w:proofErr w:type="spellStart"/>
      <w:r w:rsidRPr="00697097">
        <w:rPr>
          <w:rFonts w:cs="Arial"/>
        </w:rPr>
        <w:t>wayuunaiki</w:t>
      </w:r>
      <w:proofErr w:type="spellEnd"/>
      <w:r w:rsidRPr="00697097">
        <w:rPr>
          <w:rFonts w:cs="Arial"/>
        </w:rPr>
        <w:t>.</w:t>
      </w:r>
    </w:p>
    <w:p w14:paraId="442F3314" w14:textId="77777777" w:rsidR="00697097" w:rsidRPr="00697097" w:rsidRDefault="00697097" w:rsidP="00697097">
      <w:pPr>
        <w:numPr>
          <w:ilvl w:val="0"/>
          <w:numId w:val="62"/>
        </w:numPr>
        <w:spacing w:after="160" w:line="259" w:lineRule="auto"/>
        <w:jc w:val="both"/>
        <w:rPr>
          <w:rFonts w:cs="Arial"/>
        </w:rPr>
      </w:pPr>
      <w:r w:rsidRPr="00697097">
        <w:rPr>
          <w:rFonts w:cs="Arial"/>
        </w:rPr>
        <w:t>Incorporación de referentes curriculares internacionales y ajustes académicos basados en análisis de comparabilidad.</w:t>
      </w:r>
    </w:p>
    <w:p w14:paraId="61C75683" w14:textId="77777777" w:rsidR="00697097" w:rsidRPr="00697097" w:rsidRDefault="00697097" w:rsidP="00697097">
      <w:pPr>
        <w:numPr>
          <w:ilvl w:val="0"/>
          <w:numId w:val="62"/>
        </w:numPr>
        <w:spacing w:after="160" w:line="259" w:lineRule="auto"/>
        <w:jc w:val="both"/>
        <w:rPr>
          <w:rFonts w:cs="Arial"/>
        </w:rPr>
      </w:pPr>
      <w:r w:rsidRPr="00697097">
        <w:rPr>
          <w:rFonts w:cs="Arial"/>
        </w:rPr>
        <w:t>Desarrollo continuo de actividades de internacionalización en casa, que amplían el acceso a experiencias globales sin necesidad de movilidad física.</w:t>
      </w:r>
    </w:p>
    <w:p w14:paraId="10A0CFAB" w14:textId="77777777" w:rsidR="00697097" w:rsidRPr="00620D6D" w:rsidRDefault="00697097" w:rsidP="00620D6D">
      <w:pPr>
        <w:spacing w:after="160" w:line="259" w:lineRule="auto"/>
        <w:jc w:val="both"/>
        <w:rPr>
          <w:rFonts w:cs="Arial"/>
          <w:b/>
          <w:bCs/>
        </w:rPr>
      </w:pPr>
    </w:p>
    <w:p w14:paraId="0F566B95" w14:textId="2FCB5FD2" w:rsidR="00620D6D" w:rsidRDefault="001A77DE">
      <w:pPr>
        <w:spacing w:after="160" w:line="259" w:lineRule="auto"/>
        <w:rPr>
          <w:rFonts w:cs="Arial"/>
          <w:b/>
          <w:bCs/>
        </w:rPr>
      </w:pPr>
      <w:r w:rsidRPr="001A77DE">
        <w:rPr>
          <w:rFonts w:cs="Arial"/>
          <w:b/>
          <w:bCs/>
        </w:rPr>
        <w:t>Factor 8. Aportes de la investigación, la innovación, el desarrollo tecnológico y la creación, asociados al programa académico.</w:t>
      </w:r>
    </w:p>
    <w:p w14:paraId="7BC34A7F" w14:textId="77777777" w:rsidR="001A77DE" w:rsidRPr="001A77DE" w:rsidRDefault="001A77DE" w:rsidP="001A77DE">
      <w:pPr>
        <w:spacing w:after="160" w:line="259" w:lineRule="auto"/>
        <w:jc w:val="both"/>
        <w:rPr>
          <w:rFonts w:cs="Arial"/>
        </w:rPr>
      </w:pPr>
      <w:r w:rsidRPr="001A77DE">
        <w:rPr>
          <w:rFonts w:cs="Arial"/>
        </w:rPr>
        <w:t>El Factor 8 obtuvo una calificación cuantitativa de 88,7, equivalente a la valoración cualitativa de “Se cumple en alto grado”, lo cual evidencia un avance consolidado y sistemático en el fortalecimiento de la cultura investigativa, la generación de conocimiento y la articulación de la investigación con la docencia y la extensión en el Programa de Ingeniería de Sistemas.</w:t>
      </w:r>
    </w:p>
    <w:p w14:paraId="0E0DE3E6" w14:textId="77777777" w:rsidR="001A77DE" w:rsidRPr="001A77DE" w:rsidRDefault="001A77DE" w:rsidP="001A77DE">
      <w:pPr>
        <w:spacing w:after="160" w:line="259" w:lineRule="auto"/>
        <w:jc w:val="both"/>
        <w:rPr>
          <w:rFonts w:cs="Arial"/>
        </w:rPr>
      </w:pPr>
      <w:r w:rsidRPr="001A77DE">
        <w:rPr>
          <w:rFonts w:cs="Arial"/>
        </w:rPr>
        <w:t xml:space="preserve">Durante el periodo 2020-2024, el programa implementó múltiples estrategias que han impactado positivamente la formación investigativa de los estudiantes y la productividad académica de los docentes. La ruta de formación para la investigación está integrada al currículo desde los primeros semestres, con asignaturas como </w:t>
      </w:r>
      <w:r w:rsidRPr="001A77DE">
        <w:rPr>
          <w:rFonts w:cs="Arial"/>
          <w:i/>
          <w:iCs/>
        </w:rPr>
        <w:t>Fundamentos de Investigación</w:t>
      </w:r>
      <w:r w:rsidRPr="001A77DE">
        <w:rPr>
          <w:rFonts w:cs="Arial"/>
        </w:rPr>
        <w:t xml:space="preserve">, semilleros activos en ambas </w:t>
      </w:r>
      <w:r w:rsidRPr="001A77DE">
        <w:rPr>
          <w:rFonts w:cs="Arial"/>
        </w:rPr>
        <w:lastRenderedPageBreak/>
        <w:t>sedes, participación en convocatorias internas y trabajos de grado con orientación investigativa.</w:t>
      </w:r>
    </w:p>
    <w:p w14:paraId="45ECA879" w14:textId="77777777" w:rsidR="001A77DE" w:rsidRPr="001A77DE" w:rsidRDefault="001A77DE" w:rsidP="001A77DE">
      <w:pPr>
        <w:spacing w:after="160" w:line="259" w:lineRule="auto"/>
        <w:jc w:val="both"/>
        <w:rPr>
          <w:rFonts w:cs="Arial"/>
        </w:rPr>
      </w:pPr>
      <w:r w:rsidRPr="001A77DE">
        <w:rPr>
          <w:rFonts w:cs="Arial"/>
        </w:rPr>
        <w:t>En este periodo se consolidó la participación de 21 estudiantes en semilleros de investigación y la realización de al menos 10 trabajos de grado investigativos, con orientación en líneas como desarrollo de software, inteligencia artificial, tecnologías educativas y gobernabilidad de TI. Adicionalmente, las estrategias institucionales como la convocatoria interna (Resolución 1481 de 2023) han fortalecido el desarrollo de productos tangibles: capítulos de libro, sistemas de información, aplicaciones móviles y ponencias científicas.</w:t>
      </w:r>
    </w:p>
    <w:p w14:paraId="23081375" w14:textId="77777777" w:rsidR="001A77DE" w:rsidRPr="001A77DE" w:rsidRDefault="001A77DE" w:rsidP="001A77DE">
      <w:pPr>
        <w:spacing w:after="160" w:line="259" w:lineRule="auto"/>
        <w:jc w:val="both"/>
        <w:rPr>
          <w:rFonts w:cs="Arial"/>
        </w:rPr>
      </w:pPr>
      <w:r w:rsidRPr="001A77DE">
        <w:rPr>
          <w:rFonts w:cs="Arial"/>
        </w:rPr>
        <w:t xml:space="preserve">Desde el componente docente, el programa evidenció la ejecución de 22 proyectos de investigación, desarrollo tecnológico e innovación, entre 2020 y 2024, de los cuales surgieron más de 50 productos académicos. Esta producción ha sido integrada al currículo y ha contribuido a la actualización de contenidos y a la consolidación de nuevas líneas de profundización. Más de 20 profesores están vinculados a grupos categorizados por </w:t>
      </w:r>
      <w:proofErr w:type="spellStart"/>
      <w:r w:rsidRPr="001A77DE">
        <w:rPr>
          <w:rFonts w:cs="Arial"/>
        </w:rPr>
        <w:t>Minciencias</w:t>
      </w:r>
      <w:proofErr w:type="spellEnd"/>
      <w:r w:rsidRPr="001A77DE">
        <w:rPr>
          <w:rFonts w:cs="Arial"/>
        </w:rPr>
        <w:t>, y al menos 10 han sido reconocidos como investigadores Junior o Asociados, lo que evidencia una masa crítica comprometida con la generación de nuevo conocimiento.</w:t>
      </w:r>
    </w:p>
    <w:p w14:paraId="07DF3FC2" w14:textId="77777777" w:rsidR="001A77DE" w:rsidRPr="001A77DE" w:rsidRDefault="001A77DE" w:rsidP="001A77DE">
      <w:pPr>
        <w:spacing w:after="160" w:line="259" w:lineRule="auto"/>
        <w:jc w:val="both"/>
        <w:rPr>
          <w:rFonts w:cs="Arial"/>
        </w:rPr>
      </w:pPr>
      <w:r w:rsidRPr="001A77DE">
        <w:rPr>
          <w:rFonts w:cs="Arial"/>
        </w:rPr>
        <w:t>El marco normativo institucional, representado en el Estatuto de Propiedad Intelectual (Acuerdo 002 de 2021), garantiza la protección y transferencia del conocimiento, asegurando la apropiación y explotación de los resultados de investigación de acuerdo con la legislación vigente.</w:t>
      </w:r>
    </w:p>
    <w:p w14:paraId="1A9D9732" w14:textId="77777777" w:rsidR="001A77DE" w:rsidRPr="001A77DE" w:rsidRDefault="001A77DE" w:rsidP="001A77DE">
      <w:pPr>
        <w:spacing w:after="160" w:line="259" w:lineRule="auto"/>
        <w:jc w:val="both"/>
        <w:rPr>
          <w:rFonts w:cs="Arial"/>
        </w:rPr>
      </w:pPr>
      <w:r w:rsidRPr="001A77DE">
        <w:rPr>
          <w:rFonts w:cs="Arial"/>
        </w:rPr>
        <w:t>La comunidad estudiantil valora positivamente la formación investigativa: más del 95</w:t>
      </w:r>
      <w:r w:rsidRPr="001A77DE">
        <w:rPr>
          <w:rFonts w:ascii="Arial" w:hAnsi="Arial" w:cs="Arial"/>
        </w:rPr>
        <w:t> </w:t>
      </w:r>
      <w:r w:rsidRPr="001A77DE">
        <w:rPr>
          <w:rFonts w:cs="Arial"/>
        </w:rPr>
        <w:t>% reconoce las oportunidades de participaci</w:t>
      </w:r>
      <w:r w:rsidRPr="001A77DE">
        <w:rPr>
          <w:rFonts w:cs="Century Gothic"/>
        </w:rPr>
        <w:t>ó</w:t>
      </w:r>
      <w:r w:rsidRPr="001A77DE">
        <w:rPr>
          <w:rFonts w:cs="Arial"/>
        </w:rPr>
        <w:t>n, aunque con brechas en el grado de vinculación activa entre sedes. Un 88</w:t>
      </w:r>
      <w:r w:rsidRPr="001A77DE">
        <w:rPr>
          <w:rFonts w:ascii="Arial" w:hAnsi="Arial" w:cs="Arial"/>
        </w:rPr>
        <w:t> </w:t>
      </w:r>
      <w:r w:rsidRPr="001A77DE">
        <w:rPr>
          <w:rFonts w:cs="Arial"/>
        </w:rPr>
        <w:t>% manifiesta contar con herramientas suficientes para el desarrollo de proyectos, lo que respalda la pertinencia del enfoque pedagógico del programa.</w:t>
      </w:r>
    </w:p>
    <w:p w14:paraId="2ABE28F7" w14:textId="77777777" w:rsidR="001A77DE" w:rsidRPr="001A77DE" w:rsidRDefault="001A77DE" w:rsidP="001A77DE">
      <w:pPr>
        <w:spacing w:after="160" w:line="259" w:lineRule="auto"/>
        <w:jc w:val="both"/>
        <w:rPr>
          <w:rFonts w:cs="Arial"/>
        </w:rPr>
      </w:pPr>
      <w:r w:rsidRPr="001A77DE">
        <w:rPr>
          <w:rFonts w:cs="Arial"/>
        </w:rPr>
        <w:t>Fortalezas identificadas:</w:t>
      </w:r>
    </w:p>
    <w:p w14:paraId="5C36505D" w14:textId="77777777" w:rsidR="001A77DE" w:rsidRPr="001A77DE" w:rsidRDefault="001A77DE" w:rsidP="001A77DE">
      <w:pPr>
        <w:numPr>
          <w:ilvl w:val="0"/>
          <w:numId w:val="63"/>
        </w:numPr>
        <w:spacing w:after="160" w:line="259" w:lineRule="auto"/>
        <w:jc w:val="both"/>
        <w:rPr>
          <w:rFonts w:cs="Arial"/>
        </w:rPr>
      </w:pPr>
      <w:r w:rsidRPr="001A77DE">
        <w:rPr>
          <w:rFonts w:cs="Arial"/>
        </w:rPr>
        <w:t>Existencia y operatividad de semilleros de investigación en ambas sedes con participación estudiantil activa.</w:t>
      </w:r>
    </w:p>
    <w:p w14:paraId="2AB5E850" w14:textId="77777777" w:rsidR="001A77DE" w:rsidRPr="001A77DE" w:rsidRDefault="001A77DE" w:rsidP="001A77DE">
      <w:pPr>
        <w:numPr>
          <w:ilvl w:val="0"/>
          <w:numId w:val="63"/>
        </w:numPr>
        <w:spacing w:after="160" w:line="259" w:lineRule="auto"/>
        <w:jc w:val="both"/>
        <w:rPr>
          <w:rFonts w:cs="Arial"/>
        </w:rPr>
      </w:pPr>
      <w:r w:rsidRPr="001A77DE">
        <w:rPr>
          <w:rFonts w:cs="Arial"/>
        </w:rPr>
        <w:t>Integración curricular de la formación investigativa, desde asignaturas básicas hasta el trabajo de grado.</w:t>
      </w:r>
    </w:p>
    <w:p w14:paraId="1F9E0774" w14:textId="77777777" w:rsidR="001A77DE" w:rsidRPr="001A77DE" w:rsidRDefault="001A77DE" w:rsidP="001A77DE">
      <w:pPr>
        <w:numPr>
          <w:ilvl w:val="0"/>
          <w:numId w:val="63"/>
        </w:numPr>
        <w:spacing w:after="160" w:line="259" w:lineRule="auto"/>
        <w:jc w:val="both"/>
        <w:rPr>
          <w:rFonts w:cs="Arial"/>
        </w:rPr>
      </w:pPr>
      <w:r w:rsidRPr="001A77DE">
        <w:rPr>
          <w:rFonts w:cs="Arial"/>
        </w:rPr>
        <w:t>Producción académica docente significativa, con más de 50 productos entre artículos, libros, software y ponencias.</w:t>
      </w:r>
    </w:p>
    <w:p w14:paraId="0C909E13" w14:textId="77777777" w:rsidR="001A77DE" w:rsidRDefault="001A77DE" w:rsidP="001A77DE">
      <w:pPr>
        <w:numPr>
          <w:ilvl w:val="0"/>
          <w:numId w:val="63"/>
        </w:numPr>
        <w:spacing w:after="160" w:line="259" w:lineRule="auto"/>
        <w:jc w:val="both"/>
        <w:rPr>
          <w:rFonts w:cs="Arial"/>
        </w:rPr>
      </w:pPr>
      <w:r w:rsidRPr="001A77DE">
        <w:rPr>
          <w:rFonts w:cs="Arial"/>
        </w:rPr>
        <w:t xml:space="preserve">Vinculación de docentes a grupos de investigación categorizados por </w:t>
      </w:r>
      <w:proofErr w:type="spellStart"/>
      <w:r w:rsidRPr="001A77DE">
        <w:rPr>
          <w:rFonts w:cs="Arial"/>
        </w:rPr>
        <w:t>Minciencias</w:t>
      </w:r>
      <w:proofErr w:type="spellEnd"/>
      <w:r w:rsidRPr="001A77DE">
        <w:rPr>
          <w:rFonts w:cs="Arial"/>
        </w:rPr>
        <w:t>, fortaleciendo la calidad académica.</w:t>
      </w:r>
    </w:p>
    <w:p w14:paraId="6F0713F9" w14:textId="77777777" w:rsidR="001A77DE" w:rsidRDefault="001A77DE" w:rsidP="001A77DE">
      <w:pPr>
        <w:spacing w:after="160" w:line="259" w:lineRule="auto"/>
        <w:jc w:val="both"/>
        <w:rPr>
          <w:rFonts w:cs="Arial"/>
        </w:rPr>
      </w:pPr>
    </w:p>
    <w:p w14:paraId="04F0D698" w14:textId="77777777" w:rsidR="001A77DE" w:rsidRDefault="001A77DE" w:rsidP="001A77DE">
      <w:pPr>
        <w:spacing w:after="160" w:line="259" w:lineRule="auto"/>
        <w:jc w:val="both"/>
        <w:rPr>
          <w:rFonts w:cs="Arial"/>
        </w:rPr>
      </w:pPr>
    </w:p>
    <w:p w14:paraId="13E0DA7A" w14:textId="539E6096" w:rsidR="001A77DE" w:rsidRPr="001A77DE" w:rsidRDefault="001A77DE" w:rsidP="001A77DE">
      <w:pPr>
        <w:spacing w:after="160" w:line="259" w:lineRule="auto"/>
        <w:jc w:val="both"/>
        <w:rPr>
          <w:rFonts w:cs="Arial"/>
          <w:b/>
          <w:bCs/>
        </w:rPr>
      </w:pPr>
      <w:r w:rsidRPr="001A77DE">
        <w:rPr>
          <w:rFonts w:cs="Arial"/>
          <w:b/>
          <w:bCs/>
        </w:rPr>
        <w:t>Factor 9. Bienestar de la comunidad académica del programa.</w:t>
      </w:r>
    </w:p>
    <w:p w14:paraId="11963EE2" w14:textId="77777777" w:rsidR="001A77DE" w:rsidRPr="001A77DE" w:rsidRDefault="001A77DE" w:rsidP="001A77DE">
      <w:pPr>
        <w:spacing w:after="160" w:line="259" w:lineRule="auto"/>
        <w:jc w:val="both"/>
        <w:rPr>
          <w:rFonts w:cs="Arial"/>
        </w:rPr>
      </w:pPr>
      <w:r w:rsidRPr="001A77DE">
        <w:rPr>
          <w:rFonts w:cs="Arial"/>
        </w:rPr>
        <w:t>El Factor 9 alcanzó una calificación cuantitativa de 93,02, correspondiente a la valoración cualitativa de “Se cumple plenamente”, lo que evidencia la implementación efectiva de políticas, programas y servicios de bienestar institucional en el Programa de Ingeniería de Sistemas, en correspondencia con las necesidades de estudiantes, docentes y personal administrativo.</w:t>
      </w:r>
    </w:p>
    <w:p w14:paraId="4BF71375" w14:textId="77777777" w:rsidR="001A77DE" w:rsidRPr="001A77DE" w:rsidRDefault="001A77DE" w:rsidP="001A77DE">
      <w:pPr>
        <w:spacing w:after="160" w:line="259" w:lineRule="auto"/>
        <w:jc w:val="both"/>
        <w:rPr>
          <w:rFonts w:cs="Arial"/>
        </w:rPr>
      </w:pPr>
      <w:r w:rsidRPr="001A77DE">
        <w:rPr>
          <w:rFonts w:cs="Arial"/>
        </w:rPr>
        <w:t>Durante el periodo 2020–2024, el programa fortaleció sus acciones de bienestar en articulación con la Dirección de Bienestar Universitario, beneficiando de manera significativa a estudiantes, docentes y personal administrativo, a través de servicios orientados al desarrollo humano, la salud física y mental, la cultura, la recreación, el acompañamiento académico, el apoyo económico y la orientación vocacional.</w:t>
      </w:r>
    </w:p>
    <w:p w14:paraId="60B2418C" w14:textId="77777777" w:rsidR="001A77DE" w:rsidRPr="001A77DE" w:rsidRDefault="001A77DE" w:rsidP="001A77DE">
      <w:pPr>
        <w:spacing w:after="160" w:line="259" w:lineRule="auto"/>
        <w:jc w:val="both"/>
        <w:rPr>
          <w:rFonts w:cs="Arial"/>
        </w:rPr>
      </w:pPr>
      <w:r w:rsidRPr="001A77DE">
        <w:rPr>
          <w:rFonts w:cs="Arial"/>
        </w:rPr>
        <w:t>Entre los resultados más destacados se encuentran:</w:t>
      </w:r>
    </w:p>
    <w:p w14:paraId="31899417" w14:textId="77777777" w:rsidR="001A77DE" w:rsidRPr="001A77DE" w:rsidRDefault="001A77DE" w:rsidP="001A77DE">
      <w:pPr>
        <w:numPr>
          <w:ilvl w:val="0"/>
          <w:numId w:val="64"/>
        </w:numPr>
        <w:spacing w:after="160" w:line="259" w:lineRule="auto"/>
        <w:jc w:val="both"/>
        <w:rPr>
          <w:rFonts w:cs="Arial"/>
        </w:rPr>
      </w:pPr>
      <w:r w:rsidRPr="001A77DE">
        <w:rPr>
          <w:rFonts w:cs="Arial"/>
        </w:rPr>
        <w:t>Más de 6.500 atenciones en salud y desarrollo psicosocial, entre ellas jornadas de prevención, apoyo emocional, asesorías individuales y actividades de promoción del autocuidado.</w:t>
      </w:r>
    </w:p>
    <w:p w14:paraId="06031658" w14:textId="77777777" w:rsidR="001A77DE" w:rsidRPr="001A77DE" w:rsidRDefault="001A77DE" w:rsidP="001A77DE">
      <w:pPr>
        <w:numPr>
          <w:ilvl w:val="0"/>
          <w:numId w:val="64"/>
        </w:numPr>
        <w:spacing w:after="160" w:line="259" w:lineRule="auto"/>
        <w:jc w:val="both"/>
        <w:rPr>
          <w:rFonts w:cs="Arial"/>
        </w:rPr>
      </w:pPr>
      <w:r w:rsidRPr="001A77DE">
        <w:rPr>
          <w:rFonts w:cs="Arial"/>
        </w:rPr>
        <w:t>4.000 estudiantes beneficiados con subsidios de alimentación, transporte y apoyo tecnológico.</w:t>
      </w:r>
    </w:p>
    <w:p w14:paraId="3F7CD53B" w14:textId="77777777" w:rsidR="001A77DE" w:rsidRPr="001A77DE" w:rsidRDefault="001A77DE" w:rsidP="001A77DE">
      <w:pPr>
        <w:numPr>
          <w:ilvl w:val="0"/>
          <w:numId w:val="64"/>
        </w:numPr>
        <w:spacing w:after="160" w:line="259" w:lineRule="auto"/>
        <w:jc w:val="both"/>
        <w:rPr>
          <w:rFonts w:cs="Arial"/>
        </w:rPr>
      </w:pPr>
      <w:proofErr w:type="gramStart"/>
      <w:r w:rsidRPr="001A77DE">
        <w:rPr>
          <w:rFonts w:cs="Arial"/>
        </w:rPr>
        <w:t>Participación activa</w:t>
      </w:r>
      <w:proofErr w:type="gramEnd"/>
      <w:r w:rsidRPr="001A77DE">
        <w:rPr>
          <w:rFonts w:cs="Arial"/>
        </w:rPr>
        <w:t xml:space="preserve"> en eventos culturales, deportivos y artísticos, con cobertura en ambas sedes, promoviendo la integración y la identidad institucional.</w:t>
      </w:r>
    </w:p>
    <w:p w14:paraId="330D192B" w14:textId="77777777" w:rsidR="001A77DE" w:rsidRPr="001A77DE" w:rsidRDefault="001A77DE" w:rsidP="001A77DE">
      <w:pPr>
        <w:numPr>
          <w:ilvl w:val="0"/>
          <w:numId w:val="64"/>
        </w:numPr>
        <w:spacing w:after="160" w:line="259" w:lineRule="auto"/>
        <w:jc w:val="both"/>
        <w:rPr>
          <w:rFonts w:cs="Arial"/>
        </w:rPr>
      </w:pPr>
      <w:r w:rsidRPr="001A77DE">
        <w:rPr>
          <w:rFonts w:cs="Arial"/>
        </w:rPr>
        <w:t xml:space="preserve">Fortalecimiento de los servicios de apoyo académico como </w:t>
      </w:r>
      <w:proofErr w:type="spellStart"/>
      <w:r w:rsidRPr="001A77DE">
        <w:rPr>
          <w:rFonts w:cs="Arial"/>
        </w:rPr>
        <w:t>monitorías</w:t>
      </w:r>
      <w:proofErr w:type="spellEnd"/>
      <w:r w:rsidRPr="001A77DE">
        <w:rPr>
          <w:rFonts w:cs="Arial"/>
        </w:rPr>
        <w:t>, tutorías, actividades de nivelación, y acceso a espacios de consulta y acompañamiento permanente.</w:t>
      </w:r>
    </w:p>
    <w:p w14:paraId="188B4D35" w14:textId="77777777" w:rsidR="001A77DE" w:rsidRPr="001A77DE" w:rsidRDefault="001A77DE" w:rsidP="001A77DE">
      <w:pPr>
        <w:spacing w:after="160" w:line="259" w:lineRule="auto"/>
        <w:jc w:val="both"/>
        <w:rPr>
          <w:rFonts w:cs="Arial"/>
        </w:rPr>
      </w:pPr>
      <w:r w:rsidRPr="001A77DE">
        <w:rPr>
          <w:rFonts w:cs="Arial"/>
        </w:rPr>
        <w:t>La comunidad académica expresa altos niveles de satisfacción con los servicios ofrecidos. Según los resultados de las encuestas aplicadas:</w:t>
      </w:r>
    </w:p>
    <w:p w14:paraId="331DA1C7" w14:textId="77777777" w:rsidR="001A77DE" w:rsidRPr="001A77DE" w:rsidRDefault="001A77DE" w:rsidP="001A77DE">
      <w:pPr>
        <w:numPr>
          <w:ilvl w:val="0"/>
          <w:numId w:val="65"/>
        </w:numPr>
        <w:spacing w:after="160" w:line="259" w:lineRule="auto"/>
        <w:jc w:val="both"/>
        <w:rPr>
          <w:rFonts w:cs="Arial"/>
        </w:rPr>
      </w:pPr>
      <w:r w:rsidRPr="001A77DE">
        <w:rPr>
          <w:rFonts w:cs="Arial"/>
        </w:rPr>
        <w:t>Más del 85</w:t>
      </w:r>
      <w:r w:rsidRPr="001A77DE">
        <w:rPr>
          <w:rFonts w:ascii="Arial" w:hAnsi="Arial" w:cs="Arial"/>
        </w:rPr>
        <w:t> </w:t>
      </w:r>
      <w:r w:rsidRPr="001A77DE">
        <w:rPr>
          <w:rFonts w:cs="Arial"/>
        </w:rPr>
        <w:t>% de los estudiantes califica como “muy buenos” o “excelentes” los programas de bienestar.</w:t>
      </w:r>
    </w:p>
    <w:p w14:paraId="12D419A0" w14:textId="77777777" w:rsidR="001A77DE" w:rsidRPr="001A77DE" w:rsidRDefault="001A77DE" w:rsidP="001A77DE">
      <w:pPr>
        <w:numPr>
          <w:ilvl w:val="0"/>
          <w:numId w:val="65"/>
        </w:numPr>
        <w:spacing w:after="160" w:line="259" w:lineRule="auto"/>
        <w:jc w:val="both"/>
        <w:rPr>
          <w:rFonts w:cs="Arial"/>
        </w:rPr>
      </w:pPr>
      <w:r w:rsidRPr="001A77DE">
        <w:rPr>
          <w:rFonts w:cs="Arial"/>
        </w:rPr>
        <w:t>El 88</w:t>
      </w:r>
      <w:r w:rsidRPr="001A77DE">
        <w:rPr>
          <w:rFonts w:ascii="Arial" w:hAnsi="Arial" w:cs="Arial"/>
        </w:rPr>
        <w:t> </w:t>
      </w:r>
      <w:r w:rsidRPr="001A77DE">
        <w:rPr>
          <w:rFonts w:cs="Arial"/>
        </w:rPr>
        <w:t>% manifiesta sentirse respaldado institucionalmente para superar dificultades académicas o personales.</w:t>
      </w:r>
    </w:p>
    <w:p w14:paraId="6DE7C9CB" w14:textId="77777777" w:rsidR="001A77DE" w:rsidRPr="001A77DE" w:rsidRDefault="001A77DE" w:rsidP="001A77DE">
      <w:pPr>
        <w:numPr>
          <w:ilvl w:val="0"/>
          <w:numId w:val="65"/>
        </w:numPr>
        <w:spacing w:after="160" w:line="259" w:lineRule="auto"/>
        <w:jc w:val="both"/>
        <w:rPr>
          <w:rFonts w:cs="Arial"/>
        </w:rPr>
      </w:pPr>
      <w:r w:rsidRPr="001A77DE">
        <w:rPr>
          <w:rFonts w:cs="Arial"/>
        </w:rPr>
        <w:lastRenderedPageBreak/>
        <w:t>Los docentes y administrativos también reconocen la importancia de estas estrategias en la consolidación del clima institucional y el acompañamiento a su desempeño.</w:t>
      </w:r>
    </w:p>
    <w:p w14:paraId="70355333" w14:textId="77777777" w:rsidR="001A77DE" w:rsidRPr="001A77DE" w:rsidRDefault="001A77DE" w:rsidP="001A77DE">
      <w:pPr>
        <w:spacing w:after="160" w:line="259" w:lineRule="auto"/>
        <w:jc w:val="both"/>
        <w:rPr>
          <w:rFonts w:cs="Arial"/>
        </w:rPr>
      </w:pPr>
      <w:r w:rsidRPr="001A77DE">
        <w:rPr>
          <w:rFonts w:cs="Arial"/>
        </w:rPr>
        <w:t>Las acciones de bienestar han sido fundamentales para la permanencia estudiantil y el mejoramiento del ambiente académico, reforzando la formación integral y promoviendo condiciones equitativas para el acceso y la continuidad en la educación superior.</w:t>
      </w:r>
    </w:p>
    <w:p w14:paraId="48C5BF71" w14:textId="77777777" w:rsidR="001A77DE" w:rsidRPr="001A77DE" w:rsidRDefault="001A77DE" w:rsidP="001A77DE">
      <w:pPr>
        <w:spacing w:after="160" w:line="259" w:lineRule="auto"/>
        <w:jc w:val="both"/>
        <w:rPr>
          <w:rFonts w:cs="Arial"/>
        </w:rPr>
      </w:pPr>
      <w:r w:rsidRPr="001A77DE">
        <w:rPr>
          <w:rFonts w:cs="Arial"/>
        </w:rPr>
        <w:t>Fortalezas identificadas:</w:t>
      </w:r>
    </w:p>
    <w:p w14:paraId="654E2BE3" w14:textId="77777777" w:rsidR="001A77DE" w:rsidRPr="001A77DE" w:rsidRDefault="001A77DE" w:rsidP="001A77DE">
      <w:pPr>
        <w:numPr>
          <w:ilvl w:val="0"/>
          <w:numId w:val="66"/>
        </w:numPr>
        <w:spacing w:after="160" w:line="259" w:lineRule="auto"/>
        <w:jc w:val="both"/>
        <w:rPr>
          <w:rFonts w:cs="Arial"/>
        </w:rPr>
      </w:pPr>
      <w:r w:rsidRPr="001A77DE">
        <w:rPr>
          <w:rFonts w:cs="Arial"/>
        </w:rPr>
        <w:t>Cobertura amplia y sostenida de servicios de bienestar, con atención diferenciada por sede, población y tipo de necesidad.</w:t>
      </w:r>
    </w:p>
    <w:p w14:paraId="02F69B81" w14:textId="77777777" w:rsidR="001A77DE" w:rsidRPr="001A77DE" w:rsidRDefault="001A77DE" w:rsidP="001A77DE">
      <w:pPr>
        <w:numPr>
          <w:ilvl w:val="0"/>
          <w:numId w:val="66"/>
        </w:numPr>
        <w:spacing w:after="160" w:line="259" w:lineRule="auto"/>
        <w:jc w:val="both"/>
        <w:rPr>
          <w:rFonts w:cs="Arial"/>
        </w:rPr>
      </w:pPr>
      <w:r w:rsidRPr="001A77DE">
        <w:rPr>
          <w:rFonts w:cs="Arial"/>
        </w:rPr>
        <w:t>Alianzas efectivas con dependencias académicas y administrativas para el seguimiento de estudiantes en riesgo.</w:t>
      </w:r>
    </w:p>
    <w:p w14:paraId="49B856E4" w14:textId="77777777" w:rsidR="001A77DE" w:rsidRPr="001A77DE" w:rsidRDefault="001A77DE" w:rsidP="001A77DE">
      <w:pPr>
        <w:numPr>
          <w:ilvl w:val="0"/>
          <w:numId w:val="66"/>
        </w:numPr>
        <w:spacing w:after="160" w:line="259" w:lineRule="auto"/>
        <w:jc w:val="both"/>
        <w:rPr>
          <w:rFonts w:cs="Arial"/>
        </w:rPr>
      </w:pPr>
      <w:r w:rsidRPr="001A77DE">
        <w:rPr>
          <w:rFonts w:cs="Arial"/>
        </w:rPr>
        <w:t>Percepción institucional positiva respecto al respaldo emocional, académico y social ofrecido a la comunidad.</w:t>
      </w:r>
    </w:p>
    <w:p w14:paraId="3FEA370E" w14:textId="77777777" w:rsidR="001A77DE" w:rsidRPr="001A77DE" w:rsidRDefault="001A77DE" w:rsidP="001A77DE">
      <w:pPr>
        <w:numPr>
          <w:ilvl w:val="0"/>
          <w:numId w:val="66"/>
        </w:numPr>
        <w:spacing w:after="160" w:line="259" w:lineRule="auto"/>
        <w:jc w:val="both"/>
        <w:rPr>
          <w:rFonts w:cs="Arial"/>
        </w:rPr>
      </w:pPr>
      <w:r w:rsidRPr="001A77DE">
        <w:rPr>
          <w:rFonts w:cs="Arial"/>
        </w:rPr>
        <w:t>Acceso a programas de desarrollo humano, salud integral, cultura y recreación, articulados con el proyecto formativo del programa.</w:t>
      </w:r>
    </w:p>
    <w:p w14:paraId="174EF6D8" w14:textId="77777777" w:rsidR="001A77DE" w:rsidRPr="001A77DE" w:rsidRDefault="001A77DE" w:rsidP="001A77DE">
      <w:pPr>
        <w:numPr>
          <w:ilvl w:val="0"/>
          <w:numId w:val="66"/>
        </w:numPr>
        <w:spacing w:after="160" w:line="259" w:lineRule="auto"/>
        <w:jc w:val="both"/>
        <w:rPr>
          <w:rFonts w:cs="Arial"/>
        </w:rPr>
      </w:pPr>
      <w:r w:rsidRPr="001A77DE">
        <w:rPr>
          <w:rFonts w:cs="Arial"/>
        </w:rPr>
        <w:t>Mecanismos de acompañamiento académico y económico que contribuyen significativamente a la permanencia y el rendimiento estudiantil.</w:t>
      </w:r>
    </w:p>
    <w:p w14:paraId="230CE378" w14:textId="77777777" w:rsidR="001A77DE" w:rsidRDefault="001A77DE" w:rsidP="001A77DE">
      <w:pPr>
        <w:spacing w:after="160" w:line="259" w:lineRule="auto"/>
        <w:rPr>
          <w:rFonts w:cs="Arial"/>
          <w:b/>
          <w:bCs/>
        </w:rPr>
      </w:pPr>
    </w:p>
    <w:p w14:paraId="1BC0C2B0" w14:textId="3F0AD8D6" w:rsidR="002112CB" w:rsidRDefault="001A77DE" w:rsidP="001A77DE">
      <w:pPr>
        <w:spacing w:after="160" w:line="259" w:lineRule="auto"/>
        <w:rPr>
          <w:rFonts w:cs="Arial"/>
          <w:b/>
          <w:bCs/>
        </w:rPr>
      </w:pPr>
      <w:r w:rsidRPr="001A77DE">
        <w:rPr>
          <w:rFonts w:cs="Arial"/>
          <w:b/>
          <w:bCs/>
        </w:rPr>
        <w:t>Factor 10.</w:t>
      </w:r>
      <w:r w:rsidRPr="001A77DE">
        <w:rPr>
          <w:b/>
          <w:bCs/>
        </w:rPr>
        <w:t xml:space="preserve"> </w:t>
      </w:r>
      <w:r w:rsidRPr="001A77DE">
        <w:rPr>
          <w:rFonts w:cs="Arial"/>
          <w:b/>
          <w:bCs/>
        </w:rPr>
        <w:t>Medios educativos y ambientes de aprendizaje</w:t>
      </w:r>
      <w:r w:rsidR="002112CB">
        <w:rPr>
          <w:rFonts w:cs="Arial"/>
          <w:b/>
          <w:bCs/>
        </w:rPr>
        <w:t>.</w:t>
      </w:r>
    </w:p>
    <w:p w14:paraId="608B3E41" w14:textId="77777777" w:rsidR="002112CB" w:rsidRPr="002112CB" w:rsidRDefault="002112CB" w:rsidP="002112CB">
      <w:pPr>
        <w:spacing w:after="160" w:line="259" w:lineRule="auto"/>
        <w:jc w:val="both"/>
        <w:rPr>
          <w:rFonts w:cs="Arial"/>
        </w:rPr>
      </w:pPr>
      <w:r w:rsidRPr="002112CB">
        <w:rPr>
          <w:rFonts w:cs="Arial"/>
        </w:rPr>
        <w:t>El Factor 10 obtuvo una calificación cuantitativa de 94,5, correspondiente a la valoración cualitativa de “Se cumple plenamente”, lo que refleja el alto nivel de consolidación de las estrategias institucionales y del programa para garantizar entornos de aprendizaje pertinentes, inclusivos y tecnológicamente fortalecidos, que respaldan de manera efectiva los procesos de enseñanza, investigación y extensión.</w:t>
      </w:r>
    </w:p>
    <w:p w14:paraId="58E01E33" w14:textId="77777777" w:rsidR="002112CB" w:rsidRPr="002112CB" w:rsidRDefault="002112CB" w:rsidP="002112CB">
      <w:pPr>
        <w:spacing w:after="160" w:line="259" w:lineRule="auto"/>
        <w:jc w:val="both"/>
        <w:rPr>
          <w:rFonts w:cs="Arial"/>
        </w:rPr>
      </w:pPr>
      <w:r w:rsidRPr="002112CB">
        <w:rPr>
          <w:rFonts w:cs="Arial"/>
        </w:rPr>
        <w:t xml:space="preserve">En el componente de apoyo a los profesores (Característica 38), el Programa de Ingeniería de Sistemas ha implementado un sistema integral de formación pedagógica, orientado al uso de metodologías activas, tecnologías emergentes y enfoques de inclusión educativa. La participación de al menos 13 docentes en procesos de capacitación internacional —como los ofrecidos en convenio con la Universidad Internacional de La Rioja (UNIR)— ha facilitado la incorporación de </w:t>
      </w:r>
      <w:r w:rsidRPr="002112CB">
        <w:rPr>
          <w:rFonts w:cs="Arial"/>
        </w:rPr>
        <w:lastRenderedPageBreak/>
        <w:t xml:space="preserve">estrategias como el aprendizaje basado en proyectos, el </w:t>
      </w:r>
      <w:proofErr w:type="spellStart"/>
      <w:r w:rsidRPr="002112CB">
        <w:rPr>
          <w:rFonts w:cs="Arial"/>
        </w:rPr>
        <w:t>flipped</w:t>
      </w:r>
      <w:proofErr w:type="spellEnd"/>
      <w:r w:rsidRPr="002112CB">
        <w:rPr>
          <w:rFonts w:cs="Arial"/>
        </w:rPr>
        <w:t xml:space="preserve"> </w:t>
      </w:r>
      <w:proofErr w:type="spellStart"/>
      <w:r w:rsidRPr="002112CB">
        <w:rPr>
          <w:rFonts w:cs="Arial"/>
        </w:rPr>
        <w:t>classroom</w:t>
      </w:r>
      <w:proofErr w:type="spellEnd"/>
      <w:r w:rsidRPr="002112CB">
        <w:rPr>
          <w:rFonts w:cs="Arial"/>
        </w:rPr>
        <w:t>, la gamificación y el uso de inteligencia artificial generativa en el aula.</w:t>
      </w:r>
    </w:p>
    <w:p w14:paraId="28F37B85" w14:textId="77777777" w:rsidR="002112CB" w:rsidRPr="002112CB" w:rsidRDefault="002112CB" w:rsidP="002112CB">
      <w:pPr>
        <w:spacing w:after="160" w:line="259" w:lineRule="auto"/>
        <w:jc w:val="both"/>
        <w:rPr>
          <w:rFonts w:cs="Arial"/>
        </w:rPr>
      </w:pPr>
      <w:r w:rsidRPr="002112CB">
        <w:rPr>
          <w:rFonts w:cs="Arial"/>
        </w:rPr>
        <w:t>Estas iniciativas han tenido un impacto directo en la práctica pedagógica, como lo confirman las encuestas aplicadas en 2024: el 96,9</w:t>
      </w:r>
      <w:r w:rsidRPr="002112CB">
        <w:rPr>
          <w:rFonts w:ascii="Arial" w:hAnsi="Arial" w:cs="Arial"/>
        </w:rPr>
        <w:t> </w:t>
      </w:r>
      <w:r w:rsidRPr="002112CB">
        <w:rPr>
          <w:rFonts w:cs="Arial"/>
        </w:rPr>
        <w:t>% de los estudiantes en Maicao y el 94,8</w:t>
      </w:r>
      <w:r w:rsidRPr="002112CB">
        <w:rPr>
          <w:rFonts w:ascii="Arial" w:hAnsi="Arial" w:cs="Arial"/>
        </w:rPr>
        <w:t> </w:t>
      </w:r>
      <w:r w:rsidRPr="002112CB">
        <w:rPr>
          <w:rFonts w:cs="Arial"/>
        </w:rPr>
        <w:t>% en Riohacha consideran que las estrategias empleadas por los docentes son efectivas para el aprendizaje, mientras que el 98</w:t>
      </w:r>
      <w:r w:rsidRPr="002112CB">
        <w:rPr>
          <w:rFonts w:ascii="Arial" w:hAnsi="Arial" w:cs="Arial"/>
        </w:rPr>
        <w:t> </w:t>
      </w:r>
      <w:r w:rsidRPr="002112CB">
        <w:rPr>
          <w:rFonts w:cs="Arial"/>
        </w:rPr>
        <w:t>% de los docentes afirma haber recibido formación útil para mejorar su desempeño. La disponibilidad de plataformas virtuales, materiales digitales y recursos de acompañamiento ha contribuido a generar ambientes de aprendizaje más participativos y centrados en el estudiante.</w:t>
      </w:r>
    </w:p>
    <w:p w14:paraId="1FD673DC" w14:textId="77777777" w:rsidR="002112CB" w:rsidRPr="002112CB" w:rsidRDefault="002112CB" w:rsidP="002112CB">
      <w:pPr>
        <w:spacing w:after="160" w:line="259" w:lineRule="auto"/>
        <w:jc w:val="both"/>
        <w:rPr>
          <w:rFonts w:cs="Arial"/>
        </w:rPr>
      </w:pPr>
      <w:r w:rsidRPr="002112CB">
        <w:rPr>
          <w:rFonts w:cs="Arial"/>
        </w:rPr>
        <w:t>En cuanto al componente de apoyo a los estudiantes (Característica 39), se evidencia una infraestructura física y tecnológica robusta, con laboratorios especializados, salas TIC, medios audiovisuales y entornos virtuales que respaldan los resultados de aprendizaje esperados. El 97,2</w:t>
      </w:r>
      <w:r w:rsidRPr="002112CB">
        <w:rPr>
          <w:rFonts w:ascii="Arial" w:hAnsi="Arial" w:cs="Arial"/>
        </w:rPr>
        <w:t> </w:t>
      </w:r>
      <w:r w:rsidRPr="002112CB">
        <w:rPr>
          <w:rFonts w:cs="Arial"/>
        </w:rPr>
        <w:t>% de los estudiantes en Riohacha y el 95,3</w:t>
      </w:r>
      <w:r w:rsidRPr="002112CB">
        <w:rPr>
          <w:rFonts w:ascii="Arial" w:hAnsi="Arial" w:cs="Arial"/>
        </w:rPr>
        <w:t> </w:t>
      </w:r>
      <w:r w:rsidRPr="002112CB">
        <w:rPr>
          <w:rFonts w:cs="Arial"/>
        </w:rPr>
        <w:t>% en Maicao califican como útiles estos recursos. Además, el 70</w:t>
      </w:r>
      <w:r w:rsidRPr="002112CB">
        <w:rPr>
          <w:rFonts w:ascii="Arial" w:hAnsi="Arial" w:cs="Arial"/>
        </w:rPr>
        <w:t> </w:t>
      </w:r>
      <w:r w:rsidRPr="002112CB">
        <w:rPr>
          <w:rFonts w:cs="Arial"/>
        </w:rPr>
        <w:t>% de los estudiantes en Riohacha y el 46,7</w:t>
      </w:r>
      <w:r w:rsidRPr="002112CB">
        <w:rPr>
          <w:rFonts w:ascii="Arial" w:hAnsi="Arial" w:cs="Arial"/>
        </w:rPr>
        <w:t> </w:t>
      </w:r>
      <w:r w:rsidRPr="002112CB">
        <w:rPr>
          <w:rFonts w:cs="Arial"/>
        </w:rPr>
        <w:t>% en Maicao acceden a ellos dos o más veces por semana, lo que evidencia su integración en la dinámica académica diaria.</w:t>
      </w:r>
    </w:p>
    <w:p w14:paraId="012790E6" w14:textId="77777777" w:rsidR="002112CB" w:rsidRPr="002112CB" w:rsidRDefault="002112CB" w:rsidP="002112CB">
      <w:pPr>
        <w:spacing w:after="160" w:line="259" w:lineRule="auto"/>
        <w:jc w:val="both"/>
        <w:rPr>
          <w:rFonts w:cs="Arial"/>
        </w:rPr>
      </w:pPr>
      <w:r w:rsidRPr="002112CB">
        <w:rPr>
          <w:rFonts w:cs="Arial"/>
        </w:rPr>
        <w:t>Respecto a los recursos bibliográficos (Característica 40), la Universidad ha invertido más de 4.900 millones de pesos entre 2020 y 2024 en bibliografía física y digital, bases de datos académicas y conectividad. El programa dispone de 5.968 títulos físicos, acceso a 89.000 libros electrónicos y 83 bases de datos especializadas, lo cual ha contribuido a mejorar significativamente las competencias informacionales de los estudiantes y el acceso a recursos pertinentes y actualizados. La consulta digital de estos recursos aumentó exponencialmente: de 158 a más de 5.400 en el caso de estudiantes entre 2021 y 2023.</w:t>
      </w:r>
    </w:p>
    <w:p w14:paraId="65EE7017" w14:textId="77777777" w:rsidR="002112CB" w:rsidRPr="002112CB" w:rsidRDefault="002112CB" w:rsidP="002112CB">
      <w:pPr>
        <w:spacing w:after="160" w:line="259" w:lineRule="auto"/>
        <w:jc w:val="both"/>
        <w:rPr>
          <w:rFonts w:cs="Arial"/>
        </w:rPr>
      </w:pPr>
      <w:r w:rsidRPr="002112CB">
        <w:rPr>
          <w:rFonts w:cs="Arial"/>
        </w:rPr>
        <w:t>Las percepciones estudiantiles ratifican la utilidad y calidad de estos materiales: el 91,4</w:t>
      </w:r>
      <w:r w:rsidRPr="002112CB">
        <w:rPr>
          <w:rFonts w:ascii="Arial" w:hAnsi="Arial" w:cs="Arial"/>
        </w:rPr>
        <w:t> </w:t>
      </w:r>
      <w:r w:rsidRPr="002112CB">
        <w:rPr>
          <w:rFonts w:cs="Arial"/>
        </w:rPr>
        <w:t>% en Riohacha y el 84,6</w:t>
      </w:r>
      <w:r w:rsidRPr="002112CB">
        <w:rPr>
          <w:rFonts w:ascii="Arial" w:hAnsi="Arial" w:cs="Arial"/>
        </w:rPr>
        <w:t> </w:t>
      </w:r>
      <w:r w:rsidRPr="002112CB">
        <w:rPr>
          <w:rFonts w:cs="Arial"/>
        </w:rPr>
        <w:t>% en Maicao los consideran de excelente o muy buena calidad, y más del 94</w:t>
      </w:r>
      <w:r w:rsidRPr="002112CB">
        <w:rPr>
          <w:rFonts w:ascii="Arial" w:hAnsi="Arial" w:cs="Arial"/>
        </w:rPr>
        <w:t> </w:t>
      </w:r>
      <w:r w:rsidRPr="002112CB">
        <w:rPr>
          <w:rFonts w:cs="Arial"/>
        </w:rPr>
        <w:t>% los valora como pertinentes para su formación. Estos resultados reflejan una gestión bibliográfica efectiva y un compromiso con el aseguramiento de recursos académicos que acompañen la implementación curricular.</w:t>
      </w:r>
    </w:p>
    <w:p w14:paraId="074F0677" w14:textId="77777777" w:rsidR="002112CB" w:rsidRPr="002112CB" w:rsidRDefault="002112CB" w:rsidP="002112CB">
      <w:pPr>
        <w:spacing w:after="160" w:line="259" w:lineRule="auto"/>
        <w:jc w:val="both"/>
        <w:rPr>
          <w:rFonts w:cs="Arial"/>
        </w:rPr>
      </w:pPr>
      <w:r w:rsidRPr="002112CB">
        <w:rPr>
          <w:rFonts w:cs="Arial"/>
        </w:rPr>
        <w:t>Fortalezas identificadas:</w:t>
      </w:r>
    </w:p>
    <w:p w14:paraId="7DB7B594" w14:textId="77777777" w:rsidR="002112CB" w:rsidRPr="002112CB" w:rsidRDefault="002112CB" w:rsidP="002112CB">
      <w:pPr>
        <w:numPr>
          <w:ilvl w:val="0"/>
          <w:numId w:val="76"/>
        </w:numPr>
        <w:spacing w:after="160" w:line="259" w:lineRule="auto"/>
        <w:jc w:val="both"/>
        <w:rPr>
          <w:rFonts w:cs="Arial"/>
        </w:rPr>
      </w:pPr>
      <w:r w:rsidRPr="002112CB">
        <w:rPr>
          <w:rFonts w:cs="Arial"/>
        </w:rPr>
        <w:t>Formación docente continua y pertinente, con aplicación efectiva de metodologías activas y tecnologías emergentes.</w:t>
      </w:r>
    </w:p>
    <w:p w14:paraId="0BBDF15F" w14:textId="77777777" w:rsidR="002112CB" w:rsidRPr="002112CB" w:rsidRDefault="002112CB" w:rsidP="002112CB">
      <w:pPr>
        <w:numPr>
          <w:ilvl w:val="0"/>
          <w:numId w:val="76"/>
        </w:numPr>
        <w:spacing w:after="160" w:line="259" w:lineRule="auto"/>
        <w:jc w:val="both"/>
        <w:rPr>
          <w:rFonts w:cs="Arial"/>
        </w:rPr>
      </w:pPr>
      <w:r w:rsidRPr="002112CB">
        <w:rPr>
          <w:rFonts w:cs="Arial"/>
        </w:rPr>
        <w:t>Infraestructura tecnológica y física adecuada, con acceso equitativo a recursos especializados y plataformas virtuales.</w:t>
      </w:r>
    </w:p>
    <w:p w14:paraId="10E16DB5" w14:textId="7C1B86DF" w:rsidR="002112CB" w:rsidRPr="002112CB" w:rsidRDefault="002112CB" w:rsidP="002112CB">
      <w:pPr>
        <w:numPr>
          <w:ilvl w:val="0"/>
          <w:numId w:val="76"/>
        </w:numPr>
        <w:spacing w:after="160" w:line="259" w:lineRule="auto"/>
        <w:jc w:val="both"/>
        <w:rPr>
          <w:rFonts w:cs="Arial"/>
        </w:rPr>
      </w:pPr>
      <w:r w:rsidRPr="002112CB">
        <w:rPr>
          <w:rFonts w:cs="Arial"/>
        </w:rPr>
        <w:lastRenderedPageBreak/>
        <w:t>Inversión bibliográfica significativa y estratégica</w:t>
      </w:r>
      <w:r>
        <w:rPr>
          <w:rFonts w:cs="Arial"/>
        </w:rPr>
        <w:t>.</w:t>
      </w:r>
    </w:p>
    <w:p w14:paraId="333A61F7" w14:textId="77777777" w:rsidR="002112CB" w:rsidRPr="002112CB" w:rsidRDefault="002112CB" w:rsidP="002112CB">
      <w:pPr>
        <w:numPr>
          <w:ilvl w:val="0"/>
          <w:numId w:val="76"/>
        </w:numPr>
        <w:spacing w:after="160" w:line="259" w:lineRule="auto"/>
        <w:jc w:val="both"/>
        <w:rPr>
          <w:rFonts w:cs="Arial"/>
        </w:rPr>
      </w:pPr>
      <w:r w:rsidRPr="002112CB">
        <w:rPr>
          <w:rFonts w:cs="Arial"/>
        </w:rPr>
        <w:t>Alta satisfacción de estudiantes y docentes con los recursos disponibles y su impacto en la calidad del aprendizaje.</w:t>
      </w:r>
    </w:p>
    <w:p w14:paraId="61CD16D2" w14:textId="77777777" w:rsidR="002112CB" w:rsidRPr="002112CB" w:rsidRDefault="002112CB" w:rsidP="002112CB">
      <w:pPr>
        <w:numPr>
          <w:ilvl w:val="0"/>
          <w:numId w:val="76"/>
        </w:numPr>
        <w:spacing w:after="160" w:line="259" w:lineRule="auto"/>
        <w:jc w:val="both"/>
        <w:rPr>
          <w:rFonts w:cs="Arial"/>
        </w:rPr>
      </w:pPr>
      <w:r w:rsidRPr="002112CB">
        <w:rPr>
          <w:rFonts w:cs="Arial"/>
        </w:rPr>
        <w:t>Ambientes de aprendizaje flexibles, accesibles e integrados al proceso académico, con apropiación efectiva en ambas sedes.</w:t>
      </w:r>
    </w:p>
    <w:p w14:paraId="1BE3F67E" w14:textId="77777777" w:rsidR="002112CB" w:rsidRDefault="002112CB" w:rsidP="001A77DE">
      <w:pPr>
        <w:spacing w:after="160" w:line="259" w:lineRule="auto"/>
        <w:rPr>
          <w:rFonts w:cs="Arial"/>
          <w:b/>
          <w:bCs/>
        </w:rPr>
      </w:pPr>
    </w:p>
    <w:p w14:paraId="1AE8758B" w14:textId="77777777" w:rsidR="002112CB" w:rsidRDefault="002112CB" w:rsidP="001A77DE">
      <w:pPr>
        <w:spacing w:after="160" w:line="259" w:lineRule="auto"/>
        <w:rPr>
          <w:rFonts w:cs="Arial"/>
          <w:b/>
          <w:bCs/>
        </w:rPr>
      </w:pPr>
    </w:p>
    <w:p w14:paraId="7B156134" w14:textId="77777777" w:rsidR="002112CB" w:rsidRDefault="002112CB" w:rsidP="001A77DE">
      <w:pPr>
        <w:spacing w:after="160" w:line="259" w:lineRule="auto"/>
        <w:rPr>
          <w:rFonts w:cs="Arial"/>
          <w:b/>
          <w:bCs/>
        </w:rPr>
      </w:pPr>
    </w:p>
    <w:p w14:paraId="50B68E9A" w14:textId="77777777" w:rsidR="002112CB" w:rsidRDefault="002112CB" w:rsidP="001A77DE">
      <w:pPr>
        <w:spacing w:after="160" w:line="259" w:lineRule="auto"/>
        <w:rPr>
          <w:rFonts w:cs="Arial"/>
          <w:b/>
          <w:bCs/>
        </w:rPr>
      </w:pPr>
    </w:p>
    <w:p w14:paraId="6862DBB8" w14:textId="77777777" w:rsidR="002112CB" w:rsidRDefault="002112CB" w:rsidP="001A77DE">
      <w:pPr>
        <w:spacing w:after="160" w:line="259" w:lineRule="auto"/>
        <w:rPr>
          <w:rFonts w:cs="Arial"/>
          <w:b/>
          <w:bCs/>
        </w:rPr>
      </w:pPr>
    </w:p>
    <w:p w14:paraId="2AE16E47" w14:textId="77777777" w:rsidR="002112CB" w:rsidRPr="001A77DE" w:rsidRDefault="002112CB" w:rsidP="001A77DE">
      <w:pPr>
        <w:spacing w:after="160" w:line="259" w:lineRule="auto"/>
        <w:rPr>
          <w:rFonts w:cs="Arial"/>
          <w:b/>
          <w:bCs/>
        </w:rPr>
      </w:pPr>
    </w:p>
    <w:p w14:paraId="62CE1A63" w14:textId="086241AA" w:rsidR="001A77DE" w:rsidRPr="001A77DE" w:rsidRDefault="001A77DE" w:rsidP="001A77DE">
      <w:pPr>
        <w:spacing w:after="160" w:line="259" w:lineRule="auto"/>
        <w:rPr>
          <w:rFonts w:cs="Arial"/>
          <w:b/>
          <w:bCs/>
        </w:rPr>
      </w:pPr>
      <w:r w:rsidRPr="001A77DE">
        <w:rPr>
          <w:rFonts w:cs="Arial"/>
          <w:b/>
          <w:bCs/>
        </w:rPr>
        <w:t>Factor 11. Organización, administración y financiación del programa académico</w:t>
      </w:r>
    </w:p>
    <w:p w14:paraId="5E0BC9D7" w14:textId="77777777" w:rsidR="001A77DE" w:rsidRPr="001A77DE" w:rsidRDefault="001A77DE" w:rsidP="001A77DE">
      <w:pPr>
        <w:spacing w:after="160" w:line="259" w:lineRule="auto"/>
        <w:jc w:val="both"/>
        <w:rPr>
          <w:rFonts w:cs="Arial"/>
        </w:rPr>
      </w:pPr>
      <w:r w:rsidRPr="001A77DE">
        <w:rPr>
          <w:rFonts w:cs="Arial"/>
        </w:rPr>
        <w:t>El Factor 11 obtuvo una calificación cuantitativa de 94,40, correspondiente a la valoración cualitativa de “Se cumple plenamente”, lo cual refleja un alto nivel de consolidación en los procesos organizativos, administrativos y financieros del Programa de Ingeniería de Sistemas, en coherencia con sus funciones sustantivas y con el modelo de aseguramiento de la calidad institucional.</w:t>
      </w:r>
    </w:p>
    <w:p w14:paraId="054B1A78" w14:textId="77777777" w:rsidR="001A77DE" w:rsidRDefault="001A77DE" w:rsidP="001A77DE">
      <w:pPr>
        <w:spacing w:after="160" w:line="259" w:lineRule="auto"/>
        <w:jc w:val="both"/>
        <w:rPr>
          <w:rFonts w:cs="Arial"/>
        </w:rPr>
      </w:pPr>
      <w:r w:rsidRPr="001A77DE">
        <w:rPr>
          <w:rFonts w:cs="Arial"/>
        </w:rPr>
        <w:t xml:space="preserve">La estructura organizativa del programa se destaca por su claridad funcional, respaldo normativo y </w:t>
      </w:r>
      <w:proofErr w:type="gramStart"/>
      <w:r w:rsidRPr="001A77DE">
        <w:rPr>
          <w:rFonts w:cs="Arial"/>
        </w:rPr>
        <w:t>participación activa</w:t>
      </w:r>
      <w:proofErr w:type="gramEnd"/>
      <w:r w:rsidRPr="001A77DE">
        <w:rPr>
          <w:rFonts w:cs="Arial"/>
        </w:rPr>
        <w:t xml:space="preserve"> de todos los estamentos. Docentes, estudiantes y egresados cuentan con representación formal en cuerpos colegiados como el Comité Curricular y el Consejo de Facultad, lo que garantiza un enfoque participativo en la toma de decisiones académicas. Esta gobernanza democrática se refleja en la sistematicidad de las actas y en los ajustes curriculares, pedagógicos y de proyección social que se han logrado a través del trabajo colectivo.</w:t>
      </w:r>
    </w:p>
    <w:p w14:paraId="6FC5793F" w14:textId="77777777" w:rsidR="001A77DE" w:rsidRPr="001A77DE" w:rsidRDefault="001A77DE" w:rsidP="001A77DE">
      <w:pPr>
        <w:spacing w:after="160" w:line="259" w:lineRule="auto"/>
        <w:jc w:val="both"/>
        <w:rPr>
          <w:rFonts w:cs="Arial"/>
        </w:rPr>
      </w:pPr>
    </w:p>
    <w:p w14:paraId="2D432D82" w14:textId="77777777" w:rsidR="001A77DE" w:rsidRPr="001A77DE" w:rsidRDefault="001A77DE" w:rsidP="001A77DE">
      <w:pPr>
        <w:spacing w:after="160" w:line="259" w:lineRule="auto"/>
        <w:jc w:val="both"/>
        <w:rPr>
          <w:rFonts w:cs="Arial"/>
        </w:rPr>
      </w:pPr>
      <w:r w:rsidRPr="001A77DE">
        <w:rPr>
          <w:rFonts w:cs="Arial"/>
        </w:rPr>
        <w:t>En cuanto a la dirección y gestión, el programa opera bajo marcos institucionales establecidos (Estatuto General, Reglamento Académico y procesos SIG), lo cual ha permitido una administración articulada, eficiente y orientada al mejoramiento continuo. La percepción de docentes y estudiantes sobre la gestión académica es altamente favorable, con niveles de satisfacción superiores al 90</w:t>
      </w:r>
      <w:r w:rsidRPr="001A77DE">
        <w:rPr>
          <w:rFonts w:ascii="Arial" w:hAnsi="Arial" w:cs="Arial"/>
        </w:rPr>
        <w:t> </w:t>
      </w:r>
      <w:r w:rsidRPr="001A77DE">
        <w:rPr>
          <w:rFonts w:cs="Arial"/>
        </w:rPr>
        <w:t>% en procesos de evaluaci</w:t>
      </w:r>
      <w:r w:rsidRPr="001A77DE">
        <w:rPr>
          <w:rFonts w:cs="Century Gothic"/>
        </w:rPr>
        <w:t>ó</w:t>
      </w:r>
      <w:r w:rsidRPr="001A77DE">
        <w:rPr>
          <w:rFonts w:cs="Arial"/>
        </w:rPr>
        <w:t>n docente, formaci</w:t>
      </w:r>
      <w:r w:rsidRPr="001A77DE">
        <w:rPr>
          <w:rFonts w:cs="Century Gothic"/>
        </w:rPr>
        <w:t>ó</w:t>
      </w:r>
      <w:r w:rsidRPr="001A77DE">
        <w:rPr>
          <w:rFonts w:cs="Arial"/>
        </w:rPr>
        <w:t>n profesoral y aplicaci</w:t>
      </w:r>
      <w:r w:rsidRPr="001A77DE">
        <w:rPr>
          <w:rFonts w:cs="Century Gothic"/>
        </w:rPr>
        <w:t>ó</w:t>
      </w:r>
      <w:r w:rsidRPr="001A77DE">
        <w:rPr>
          <w:rFonts w:cs="Arial"/>
        </w:rPr>
        <w:t>n del Estatuto Profesoral.</w:t>
      </w:r>
    </w:p>
    <w:p w14:paraId="0535ABBF" w14:textId="77777777" w:rsidR="001A77DE" w:rsidRPr="001A77DE" w:rsidRDefault="001A77DE" w:rsidP="001A77DE">
      <w:pPr>
        <w:spacing w:after="160" w:line="259" w:lineRule="auto"/>
        <w:jc w:val="both"/>
        <w:rPr>
          <w:rFonts w:cs="Arial"/>
        </w:rPr>
      </w:pPr>
      <w:r w:rsidRPr="001A77DE">
        <w:rPr>
          <w:rFonts w:cs="Arial"/>
        </w:rPr>
        <w:lastRenderedPageBreak/>
        <w:t xml:space="preserve">Los sistemas de comunicación e información también se consolidan como fortalezas del programa. El uso de herramientas como el Sistema Académico Institucional (SMA), Google </w:t>
      </w:r>
      <w:proofErr w:type="spellStart"/>
      <w:r w:rsidRPr="001A77DE">
        <w:rPr>
          <w:rFonts w:cs="Arial"/>
        </w:rPr>
        <w:t>Workspace</w:t>
      </w:r>
      <w:proofErr w:type="spellEnd"/>
      <w:r w:rsidRPr="001A77DE">
        <w:rPr>
          <w:rFonts w:cs="Arial"/>
        </w:rPr>
        <w:t xml:space="preserve"> </w:t>
      </w:r>
      <w:proofErr w:type="spellStart"/>
      <w:r w:rsidRPr="001A77DE">
        <w:rPr>
          <w:rFonts w:cs="Arial"/>
        </w:rPr>
        <w:t>for</w:t>
      </w:r>
      <w:proofErr w:type="spellEnd"/>
      <w:r w:rsidRPr="001A77DE">
        <w:rPr>
          <w:rFonts w:cs="Arial"/>
        </w:rPr>
        <w:t xml:space="preserve"> </w:t>
      </w:r>
      <w:proofErr w:type="spellStart"/>
      <w:r w:rsidRPr="001A77DE">
        <w:rPr>
          <w:rFonts w:cs="Arial"/>
        </w:rPr>
        <w:t>Education</w:t>
      </w:r>
      <w:proofErr w:type="spellEnd"/>
      <w:r w:rsidRPr="001A77DE">
        <w:rPr>
          <w:rFonts w:cs="Arial"/>
        </w:rPr>
        <w:t xml:space="preserve"> Plus y sistemas de gestión documental ha facilitado la interacción académica y administrativa. Con una cobertura de conectividad del 96</w:t>
      </w:r>
      <w:r w:rsidRPr="001A77DE">
        <w:rPr>
          <w:rFonts w:ascii="Arial" w:hAnsi="Arial" w:cs="Arial"/>
        </w:rPr>
        <w:t> </w:t>
      </w:r>
      <w:r w:rsidRPr="001A77DE">
        <w:rPr>
          <w:rFonts w:cs="Arial"/>
        </w:rPr>
        <w:t>% en la sede principal, m</w:t>
      </w:r>
      <w:r w:rsidRPr="001A77DE">
        <w:rPr>
          <w:rFonts w:cs="Century Gothic"/>
        </w:rPr>
        <w:t>á</w:t>
      </w:r>
      <w:r w:rsidRPr="001A77DE">
        <w:rPr>
          <w:rFonts w:cs="Arial"/>
        </w:rPr>
        <w:t>s de 12.000 accesos registrados a plataformas institucionales entre 2020 y 2024, y un robusto sistema de trazabilidad, el programa garantiza condiciones tecnol</w:t>
      </w:r>
      <w:r w:rsidRPr="001A77DE">
        <w:rPr>
          <w:rFonts w:cs="Century Gothic"/>
        </w:rPr>
        <w:t>ó</w:t>
      </w:r>
      <w:r w:rsidRPr="001A77DE">
        <w:rPr>
          <w:rFonts w:cs="Arial"/>
        </w:rPr>
        <w:t>gicas adecuadas para estudiantes y docentes.</w:t>
      </w:r>
    </w:p>
    <w:p w14:paraId="770A77DB" w14:textId="77777777" w:rsidR="001A77DE" w:rsidRPr="001A77DE" w:rsidRDefault="001A77DE" w:rsidP="001A77DE">
      <w:pPr>
        <w:spacing w:after="160" w:line="259" w:lineRule="auto"/>
        <w:jc w:val="both"/>
        <w:rPr>
          <w:rFonts w:cs="Arial"/>
        </w:rPr>
      </w:pPr>
      <w:r w:rsidRPr="001A77DE">
        <w:rPr>
          <w:rFonts w:cs="Arial"/>
        </w:rPr>
        <w:t>En el componente financiero, se evidencian prácticas de asignación presupuestal coherentes y progresivas. Entre 2020 y 2022, el presupuesto se duplicó en la sede Riohacha, permitiendo fortalecer áreas como bienestar, investigación, extensión y formación docente. Las proyecciones 2023–2029 muestran una estrategia de crecimiento sostenido que asegura la financiación del Plan de Mejoramiento y la ampliación de capacidades institucionales.</w:t>
      </w:r>
    </w:p>
    <w:p w14:paraId="67A4F29C" w14:textId="77777777" w:rsidR="001A77DE" w:rsidRPr="001A77DE" w:rsidRDefault="001A77DE" w:rsidP="001A77DE">
      <w:pPr>
        <w:spacing w:after="160" w:line="259" w:lineRule="auto"/>
        <w:jc w:val="both"/>
        <w:rPr>
          <w:rFonts w:cs="Arial"/>
        </w:rPr>
      </w:pPr>
      <w:r w:rsidRPr="001A77DE">
        <w:rPr>
          <w:rFonts w:cs="Arial"/>
        </w:rPr>
        <w:t>Finalmente, el Sistema Interno de Aseguramiento de la Calidad (SIAC) está plenamente implementado, con ciclos de autoevaluación sistemáticos, articulación con la planeación institucional y participación de todos los estamentos. Esto ha generado un marco de evaluación confiable que respalda decisiones académicas y gestiona eficazmente la mejora continua.</w:t>
      </w:r>
    </w:p>
    <w:p w14:paraId="3DFC33CC" w14:textId="77777777" w:rsidR="001A77DE" w:rsidRPr="001A77DE" w:rsidRDefault="001A77DE" w:rsidP="001A77DE">
      <w:pPr>
        <w:spacing w:after="160" w:line="259" w:lineRule="auto"/>
        <w:jc w:val="both"/>
        <w:rPr>
          <w:rFonts w:cs="Arial"/>
        </w:rPr>
      </w:pPr>
      <w:r w:rsidRPr="001A77DE">
        <w:rPr>
          <w:rFonts w:cs="Arial"/>
        </w:rPr>
        <w:t>Fortalezas identificadas:</w:t>
      </w:r>
    </w:p>
    <w:p w14:paraId="0F5BECE2" w14:textId="77777777" w:rsidR="001A77DE" w:rsidRPr="001A77DE" w:rsidRDefault="001A77DE" w:rsidP="001A77DE">
      <w:pPr>
        <w:numPr>
          <w:ilvl w:val="0"/>
          <w:numId w:val="67"/>
        </w:numPr>
        <w:spacing w:after="160" w:line="259" w:lineRule="auto"/>
        <w:jc w:val="both"/>
        <w:rPr>
          <w:rFonts w:cs="Arial"/>
        </w:rPr>
      </w:pPr>
      <w:r w:rsidRPr="001A77DE">
        <w:rPr>
          <w:rFonts w:cs="Arial"/>
        </w:rPr>
        <w:t>Estructura organizativa sólida y funcional, con representación de todos los estamentos.</w:t>
      </w:r>
    </w:p>
    <w:p w14:paraId="549B506C" w14:textId="77777777" w:rsidR="001A77DE" w:rsidRPr="001A77DE" w:rsidRDefault="001A77DE" w:rsidP="001A77DE">
      <w:pPr>
        <w:numPr>
          <w:ilvl w:val="0"/>
          <w:numId w:val="67"/>
        </w:numPr>
        <w:spacing w:after="160" w:line="259" w:lineRule="auto"/>
        <w:jc w:val="both"/>
        <w:rPr>
          <w:rFonts w:cs="Arial"/>
        </w:rPr>
      </w:pPr>
      <w:r w:rsidRPr="001A77DE">
        <w:rPr>
          <w:rFonts w:cs="Arial"/>
        </w:rPr>
        <w:t>Gestión académica eficiente, alineada con marcos normativos y planes estratégicos institucionales.</w:t>
      </w:r>
    </w:p>
    <w:p w14:paraId="65693385" w14:textId="77777777" w:rsidR="001A77DE" w:rsidRPr="001A77DE" w:rsidRDefault="001A77DE" w:rsidP="001A77DE">
      <w:pPr>
        <w:numPr>
          <w:ilvl w:val="0"/>
          <w:numId w:val="67"/>
        </w:numPr>
        <w:spacing w:after="160" w:line="259" w:lineRule="auto"/>
        <w:jc w:val="both"/>
        <w:rPr>
          <w:rFonts w:cs="Arial"/>
        </w:rPr>
      </w:pPr>
      <w:r w:rsidRPr="001A77DE">
        <w:rPr>
          <w:rFonts w:cs="Arial"/>
        </w:rPr>
        <w:t>Altos niveles de satisfacción respecto a la administración académica y los procesos de evaluación docente.</w:t>
      </w:r>
    </w:p>
    <w:p w14:paraId="0FEA71ED" w14:textId="77777777" w:rsidR="001A77DE" w:rsidRPr="001A77DE" w:rsidRDefault="001A77DE" w:rsidP="001A77DE">
      <w:pPr>
        <w:numPr>
          <w:ilvl w:val="0"/>
          <w:numId w:val="67"/>
        </w:numPr>
        <w:spacing w:after="160" w:line="259" w:lineRule="auto"/>
        <w:jc w:val="both"/>
        <w:rPr>
          <w:rFonts w:cs="Arial"/>
        </w:rPr>
      </w:pPr>
      <w:r w:rsidRPr="001A77DE">
        <w:rPr>
          <w:rFonts w:cs="Arial"/>
        </w:rPr>
        <w:t>Sistemas tecnológicos y de información consolidados, que garantizan conectividad, trazabilidad y acceso equitativo a los servicios institucionales.</w:t>
      </w:r>
    </w:p>
    <w:p w14:paraId="30214732" w14:textId="77777777" w:rsidR="001A77DE" w:rsidRPr="001A77DE" w:rsidRDefault="001A77DE" w:rsidP="001A77DE">
      <w:pPr>
        <w:numPr>
          <w:ilvl w:val="0"/>
          <w:numId w:val="67"/>
        </w:numPr>
        <w:spacing w:after="160" w:line="259" w:lineRule="auto"/>
        <w:jc w:val="both"/>
        <w:rPr>
          <w:rFonts w:cs="Arial"/>
        </w:rPr>
      </w:pPr>
      <w:r w:rsidRPr="001A77DE">
        <w:rPr>
          <w:rFonts w:cs="Arial"/>
        </w:rPr>
        <w:t>Planeación financiera articulada con los fines misionales del programa, y crecimiento sostenido en áreas clave.</w:t>
      </w:r>
    </w:p>
    <w:p w14:paraId="07B5288D" w14:textId="77777777" w:rsidR="001A77DE" w:rsidRPr="001A77DE" w:rsidRDefault="001A77DE" w:rsidP="001A77DE">
      <w:pPr>
        <w:numPr>
          <w:ilvl w:val="0"/>
          <w:numId w:val="67"/>
        </w:numPr>
        <w:spacing w:after="160" w:line="259" w:lineRule="auto"/>
        <w:jc w:val="both"/>
        <w:rPr>
          <w:rFonts w:cs="Arial"/>
        </w:rPr>
      </w:pPr>
      <w:r w:rsidRPr="001A77DE">
        <w:rPr>
          <w:rFonts w:cs="Arial"/>
        </w:rPr>
        <w:t>Cultura de aseguramiento de la calidad consolidada, con procesos de autoevaluación institucionalizados y efectivos.</w:t>
      </w:r>
    </w:p>
    <w:p w14:paraId="51B42662" w14:textId="77777777" w:rsidR="009D3F24" w:rsidRDefault="009D3F24" w:rsidP="001A77DE">
      <w:pPr>
        <w:spacing w:after="160" w:line="259" w:lineRule="auto"/>
        <w:rPr>
          <w:rFonts w:cs="Arial"/>
          <w:b/>
          <w:bCs/>
        </w:rPr>
      </w:pPr>
    </w:p>
    <w:p w14:paraId="0D1C42E5" w14:textId="525D70DD" w:rsidR="009D3F24" w:rsidRPr="009D3F24" w:rsidRDefault="009D3F24" w:rsidP="001A77DE">
      <w:pPr>
        <w:spacing w:after="160" w:line="259" w:lineRule="auto"/>
        <w:rPr>
          <w:rFonts w:cs="Arial"/>
          <w:b/>
          <w:bCs/>
        </w:rPr>
      </w:pPr>
      <w:r w:rsidRPr="009D3F24">
        <w:rPr>
          <w:rFonts w:cs="Arial"/>
          <w:b/>
          <w:bCs/>
        </w:rPr>
        <w:t>Factor 12. Recursos físicos y tecnológicos</w:t>
      </w:r>
    </w:p>
    <w:p w14:paraId="68B29168" w14:textId="77777777" w:rsidR="009D3F24" w:rsidRPr="009D3F24" w:rsidRDefault="009D3F24" w:rsidP="009D3F24">
      <w:pPr>
        <w:spacing w:after="160" w:line="259" w:lineRule="auto"/>
        <w:jc w:val="both"/>
        <w:rPr>
          <w:rFonts w:cs="Arial"/>
        </w:rPr>
      </w:pPr>
      <w:r w:rsidRPr="009D3F24">
        <w:rPr>
          <w:rFonts w:cs="Arial"/>
        </w:rPr>
        <w:t>El Factor 12 obtuvo una calificación cuantitativa de 94,77, con una valoración cualitativa de “Se cumple plenamente”, lo que evidencia la existencia de condiciones físicas, tecnológicas y bibliográficas adecuadas y suficientes que permiten el desarrollo efectivo de las funciones sustantivas del programa.</w:t>
      </w:r>
    </w:p>
    <w:p w14:paraId="25811FD8" w14:textId="77777777" w:rsidR="009D3F24" w:rsidRPr="009D3F24" w:rsidRDefault="009D3F24" w:rsidP="009D3F24">
      <w:pPr>
        <w:spacing w:after="160" w:line="259" w:lineRule="auto"/>
        <w:jc w:val="both"/>
        <w:rPr>
          <w:rFonts w:cs="Arial"/>
        </w:rPr>
      </w:pPr>
      <w:r w:rsidRPr="009D3F24">
        <w:rPr>
          <w:rFonts w:cs="Arial"/>
        </w:rPr>
        <w:t>El programa cuenta con una infraestructura moderna, amplia y en constante adecuación, distribuida equitativamente en las sedes de Riohacha y Maicao. Los bloques VI y VIII albergan aulas, laboratorios, salas TIC, cubículos docentes y espacios de atención estudiantil. Esta infraestructura física está alineada con el número de estudiantes, el nivel de formación y las metodologías de enseñanza-aprendizaje utilizadas, garantizando entornos formativos funcionales, seguros y confortables.</w:t>
      </w:r>
    </w:p>
    <w:p w14:paraId="65AF6BDF" w14:textId="77777777" w:rsidR="009D3F24" w:rsidRPr="009D3F24" w:rsidRDefault="009D3F24" w:rsidP="009D3F24">
      <w:pPr>
        <w:spacing w:after="160" w:line="259" w:lineRule="auto"/>
        <w:jc w:val="both"/>
        <w:rPr>
          <w:rFonts w:cs="Arial"/>
        </w:rPr>
      </w:pPr>
      <w:r w:rsidRPr="009D3F24">
        <w:rPr>
          <w:rFonts w:cs="Arial"/>
        </w:rPr>
        <w:t>En cuanto a los recursos tecnológicos e informáticos, el programa dispone de 22 salas de informática, 8 salas audiovisuales y una red de conectividad con cobertura del 96</w:t>
      </w:r>
      <w:r w:rsidRPr="009D3F24">
        <w:rPr>
          <w:rFonts w:ascii="Arial" w:hAnsi="Arial" w:cs="Arial"/>
        </w:rPr>
        <w:t> </w:t>
      </w:r>
      <w:r w:rsidRPr="009D3F24">
        <w:rPr>
          <w:rFonts w:cs="Arial"/>
        </w:rPr>
        <w:t xml:space="preserve">% del campus y más de 100 puntos de acceso </w:t>
      </w:r>
      <w:proofErr w:type="spellStart"/>
      <w:r w:rsidRPr="009D3F24">
        <w:rPr>
          <w:rFonts w:cs="Arial"/>
        </w:rPr>
        <w:t>Wi</w:t>
      </w:r>
      <w:proofErr w:type="spellEnd"/>
      <w:r w:rsidRPr="009D3F24">
        <w:rPr>
          <w:rFonts w:cs="Arial"/>
        </w:rPr>
        <w:t xml:space="preserve">-Fi. Se destaca el uso de Google </w:t>
      </w:r>
      <w:proofErr w:type="spellStart"/>
      <w:r w:rsidRPr="009D3F24">
        <w:rPr>
          <w:rFonts w:cs="Arial"/>
        </w:rPr>
        <w:t>Workspace</w:t>
      </w:r>
      <w:proofErr w:type="spellEnd"/>
      <w:r w:rsidRPr="009D3F24">
        <w:rPr>
          <w:rFonts w:cs="Arial"/>
        </w:rPr>
        <w:t xml:space="preserve"> </w:t>
      </w:r>
      <w:proofErr w:type="spellStart"/>
      <w:r w:rsidRPr="009D3F24">
        <w:rPr>
          <w:rFonts w:cs="Arial"/>
        </w:rPr>
        <w:t>for</w:t>
      </w:r>
      <w:proofErr w:type="spellEnd"/>
      <w:r w:rsidRPr="009D3F24">
        <w:rPr>
          <w:rFonts w:cs="Arial"/>
        </w:rPr>
        <w:t xml:space="preserve"> </w:t>
      </w:r>
      <w:proofErr w:type="spellStart"/>
      <w:r w:rsidRPr="009D3F24">
        <w:rPr>
          <w:rFonts w:cs="Arial"/>
        </w:rPr>
        <w:t>Education</w:t>
      </w:r>
      <w:proofErr w:type="spellEnd"/>
      <w:r w:rsidRPr="009D3F24">
        <w:rPr>
          <w:rFonts w:cs="Arial"/>
        </w:rPr>
        <w:t xml:space="preserve"> Plus, herramientas colaborativas, plataformas institucionales y software especializado en áreas clave como programación, redes, bases de datos e inteligencia artificial.</w:t>
      </w:r>
    </w:p>
    <w:p w14:paraId="15CA3204" w14:textId="77777777" w:rsidR="009D3F24" w:rsidRPr="009D3F24" w:rsidRDefault="009D3F24" w:rsidP="009D3F24">
      <w:pPr>
        <w:spacing w:after="160" w:line="259" w:lineRule="auto"/>
        <w:jc w:val="both"/>
        <w:rPr>
          <w:rFonts w:cs="Arial"/>
        </w:rPr>
      </w:pPr>
      <w:r w:rsidRPr="009D3F24">
        <w:rPr>
          <w:rFonts w:cs="Arial"/>
        </w:rPr>
        <w:t>Asimismo, la biblioteca universitaria ofrece más de 95.000 recursos bibliográficos, entre libros físicos y electrónicos, bases de datos científicas y bibliotecas digitales, garantizando acceso oportuno y pertinente a la información académica y científica necesaria para la formación, la investigación y la extensión.</w:t>
      </w:r>
    </w:p>
    <w:p w14:paraId="08ED7B6E" w14:textId="77777777" w:rsidR="009D3F24" w:rsidRPr="009D3F24" w:rsidRDefault="009D3F24" w:rsidP="009D3F24">
      <w:pPr>
        <w:spacing w:after="160" w:line="259" w:lineRule="auto"/>
        <w:jc w:val="both"/>
        <w:rPr>
          <w:rFonts w:cs="Arial"/>
        </w:rPr>
      </w:pPr>
      <w:r w:rsidRPr="009D3F24">
        <w:rPr>
          <w:rFonts w:cs="Arial"/>
        </w:rPr>
        <w:t>Durante el periodo 2020–2024, se ejecutaron acciones clave como:</w:t>
      </w:r>
    </w:p>
    <w:p w14:paraId="19A4D260" w14:textId="77777777" w:rsidR="009D3F24" w:rsidRPr="009D3F24" w:rsidRDefault="009D3F24" w:rsidP="009D3F24">
      <w:pPr>
        <w:numPr>
          <w:ilvl w:val="0"/>
          <w:numId w:val="68"/>
        </w:numPr>
        <w:spacing w:after="160" w:line="259" w:lineRule="auto"/>
        <w:jc w:val="both"/>
        <w:rPr>
          <w:rFonts w:cs="Arial"/>
        </w:rPr>
      </w:pPr>
      <w:r w:rsidRPr="009D3F24">
        <w:rPr>
          <w:rFonts w:cs="Arial"/>
        </w:rPr>
        <w:t>Remodelación y ampliación de laboratorios especializados (sede Riohacha y Maicao).</w:t>
      </w:r>
    </w:p>
    <w:p w14:paraId="6327752E" w14:textId="77777777" w:rsidR="009D3F24" w:rsidRPr="009D3F24" w:rsidRDefault="009D3F24" w:rsidP="009D3F24">
      <w:pPr>
        <w:numPr>
          <w:ilvl w:val="0"/>
          <w:numId w:val="68"/>
        </w:numPr>
        <w:spacing w:after="160" w:line="259" w:lineRule="auto"/>
        <w:jc w:val="both"/>
        <w:rPr>
          <w:rFonts w:cs="Arial"/>
        </w:rPr>
      </w:pPr>
      <w:r w:rsidRPr="009D3F24">
        <w:rPr>
          <w:rFonts w:cs="Arial"/>
        </w:rPr>
        <w:t>Dotación y actualización tecnológica (hardware y software).</w:t>
      </w:r>
    </w:p>
    <w:p w14:paraId="7BC74A69" w14:textId="77777777" w:rsidR="009D3F24" w:rsidRPr="009D3F24" w:rsidRDefault="009D3F24" w:rsidP="009D3F24">
      <w:pPr>
        <w:numPr>
          <w:ilvl w:val="0"/>
          <w:numId w:val="68"/>
        </w:numPr>
        <w:spacing w:after="160" w:line="259" w:lineRule="auto"/>
        <w:jc w:val="both"/>
        <w:rPr>
          <w:rFonts w:cs="Arial"/>
        </w:rPr>
      </w:pPr>
      <w:r w:rsidRPr="009D3F24">
        <w:rPr>
          <w:rFonts w:cs="Arial"/>
        </w:rPr>
        <w:t>Adecuaciones para accesibilidad e inclusión.</w:t>
      </w:r>
    </w:p>
    <w:p w14:paraId="277EA325" w14:textId="77777777" w:rsidR="009D3F24" w:rsidRPr="009D3F24" w:rsidRDefault="009D3F24" w:rsidP="009D3F24">
      <w:pPr>
        <w:numPr>
          <w:ilvl w:val="0"/>
          <w:numId w:val="68"/>
        </w:numPr>
        <w:spacing w:after="160" w:line="259" w:lineRule="auto"/>
        <w:jc w:val="both"/>
        <w:rPr>
          <w:rFonts w:cs="Arial"/>
        </w:rPr>
      </w:pPr>
      <w:r w:rsidRPr="009D3F24">
        <w:rPr>
          <w:rFonts w:cs="Arial"/>
        </w:rPr>
        <w:t>Mantenimiento correctivo y preventivo continuo, como parte de los planes de mejoramiento institucional.</w:t>
      </w:r>
    </w:p>
    <w:p w14:paraId="404585CD" w14:textId="77777777" w:rsidR="009D3F24" w:rsidRPr="009D3F24" w:rsidRDefault="009D3F24" w:rsidP="009D3F24">
      <w:pPr>
        <w:spacing w:after="160" w:line="259" w:lineRule="auto"/>
        <w:jc w:val="both"/>
        <w:rPr>
          <w:rFonts w:cs="Arial"/>
        </w:rPr>
      </w:pPr>
      <w:r w:rsidRPr="009D3F24">
        <w:rPr>
          <w:rFonts w:cs="Arial"/>
        </w:rPr>
        <w:t>Los resultados de las encuestas aplicadas a estudiantes, egresados, docentes y directivos reflejan un alto nivel de satisfacción con respecto a la calidad, suficiencia y pertinencia de los recursos físicos y tecnológicos. Por ejemplo, el 95,6</w:t>
      </w:r>
      <w:r w:rsidRPr="009D3F24">
        <w:rPr>
          <w:rFonts w:ascii="Arial" w:hAnsi="Arial" w:cs="Arial"/>
        </w:rPr>
        <w:t> </w:t>
      </w:r>
      <w:r w:rsidRPr="009D3F24">
        <w:rPr>
          <w:rFonts w:cs="Arial"/>
        </w:rPr>
        <w:t>% de los estudiantes en Riohacha y el 90,77</w:t>
      </w:r>
      <w:r w:rsidRPr="009D3F24">
        <w:rPr>
          <w:rFonts w:ascii="Arial" w:hAnsi="Arial" w:cs="Arial"/>
        </w:rPr>
        <w:t> </w:t>
      </w:r>
      <w:r w:rsidRPr="009D3F24">
        <w:rPr>
          <w:rFonts w:cs="Arial"/>
        </w:rPr>
        <w:t xml:space="preserve">% en Maicao reconocen la existencia de material educativo digital, valorado como </w:t>
      </w:r>
      <w:r w:rsidRPr="009D3F24">
        <w:rPr>
          <w:rFonts w:cs="Century Gothic"/>
        </w:rPr>
        <w:t>“</w:t>
      </w:r>
      <w:r w:rsidRPr="009D3F24">
        <w:rPr>
          <w:rFonts w:cs="Arial"/>
        </w:rPr>
        <w:t>excelente</w:t>
      </w:r>
      <w:r w:rsidRPr="009D3F24">
        <w:rPr>
          <w:rFonts w:cs="Century Gothic"/>
        </w:rPr>
        <w:t>”</w:t>
      </w:r>
      <w:r w:rsidRPr="009D3F24">
        <w:rPr>
          <w:rFonts w:cs="Arial"/>
        </w:rPr>
        <w:t xml:space="preserve"> y </w:t>
      </w:r>
      <w:r w:rsidRPr="009D3F24">
        <w:rPr>
          <w:rFonts w:cs="Century Gothic"/>
        </w:rPr>
        <w:t>“</w:t>
      </w:r>
      <w:r w:rsidRPr="009D3F24">
        <w:rPr>
          <w:rFonts w:cs="Arial"/>
        </w:rPr>
        <w:t>totalmente pertinente</w:t>
      </w:r>
      <w:r w:rsidRPr="009D3F24">
        <w:rPr>
          <w:rFonts w:cs="Century Gothic"/>
        </w:rPr>
        <w:t>”</w:t>
      </w:r>
      <w:r w:rsidRPr="009D3F24">
        <w:rPr>
          <w:rFonts w:cs="Arial"/>
        </w:rPr>
        <w:t xml:space="preserve"> </w:t>
      </w:r>
      <w:r w:rsidRPr="009D3F24">
        <w:rPr>
          <w:rFonts w:cs="Arial"/>
        </w:rPr>
        <w:lastRenderedPageBreak/>
        <w:t>en m</w:t>
      </w:r>
      <w:r w:rsidRPr="009D3F24">
        <w:rPr>
          <w:rFonts w:cs="Century Gothic"/>
        </w:rPr>
        <w:t>á</w:t>
      </w:r>
      <w:r w:rsidRPr="009D3F24">
        <w:rPr>
          <w:rFonts w:cs="Arial"/>
        </w:rPr>
        <w:t>s del 50</w:t>
      </w:r>
      <w:r w:rsidRPr="009D3F24">
        <w:rPr>
          <w:rFonts w:ascii="Arial" w:hAnsi="Arial" w:cs="Arial"/>
        </w:rPr>
        <w:t> </w:t>
      </w:r>
      <w:r w:rsidRPr="009D3F24">
        <w:rPr>
          <w:rFonts w:cs="Arial"/>
        </w:rPr>
        <w:t>% de los casos. Los egresados tambi</w:t>
      </w:r>
      <w:r w:rsidRPr="009D3F24">
        <w:rPr>
          <w:rFonts w:cs="Century Gothic"/>
        </w:rPr>
        <w:t>é</w:t>
      </w:r>
      <w:r w:rsidRPr="009D3F24">
        <w:rPr>
          <w:rFonts w:cs="Arial"/>
        </w:rPr>
        <w:t>n reportan niveles de satisfacci</w:t>
      </w:r>
      <w:r w:rsidRPr="009D3F24">
        <w:rPr>
          <w:rFonts w:cs="Century Gothic"/>
        </w:rPr>
        <w:t>ó</w:t>
      </w:r>
      <w:r w:rsidRPr="009D3F24">
        <w:rPr>
          <w:rFonts w:cs="Arial"/>
        </w:rPr>
        <w:t>n superiores al 85</w:t>
      </w:r>
      <w:r w:rsidRPr="009D3F24">
        <w:rPr>
          <w:rFonts w:ascii="Arial" w:hAnsi="Arial" w:cs="Arial"/>
        </w:rPr>
        <w:t> </w:t>
      </w:r>
      <w:r w:rsidRPr="009D3F24">
        <w:rPr>
          <w:rFonts w:cs="Arial"/>
        </w:rPr>
        <w:t>% en ambos aspectos.</w:t>
      </w:r>
    </w:p>
    <w:p w14:paraId="462AEEA0" w14:textId="77777777" w:rsidR="009D3F24" w:rsidRPr="009D3F24" w:rsidRDefault="009D3F24" w:rsidP="009D3F24">
      <w:pPr>
        <w:spacing w:after="160" w:line="259" w:lineRule="auto"/>
        <w:jc w:val="both"/>
        <w:rPr>
          <w:rFonts w:cs="Arial"/>
        </w:rPr>
      </w:pPr>
      <w:r w:rsidRPr="009D3F24">
        <w:rPr>
          <w:rFonts w:cs="Arial"/>
        </w:rPr>
        <w:t>Fortalezas identificadas:</w:t>
      </w:r>
    </w:p>
    <w:p w14:paraId="78115234" w14:textId="77777777" w:rsidR="009D3F24" w:rsidRPr="009D3F24" w:rsidRDefault="009D3F24" w:rsidP="009D3F24">
      <w:pPr>
        <w:numPr>
          <w:ilvl w:val="0"/>
          <w:numId w:val="69"/>
        </w:numPr>
        <w:spacing w:after="160" w:line="259" w:lineRule="auto"/>
        <w:jc w:val="both"/>
        <w:rPr>
          <w:rFonts w:cs="Arial"/>
        </w:rPr>
      </w:pPr>
      <w:r w:rsidRPr="009D3F24">
        <w:rPr>
          <w:rFonts w:cs="Arial"/>
        </w:rPr>
        <w:t>Infraestructura física amplia, moderna y funcional, con cobertura equitativa en ambas sedes.</w:t>
      </w:r>
    </w:p>
    <w:p w14:paraId="4B8B8C2D" w14:textId="77777777" w:rsidR="009D3F24" w:rsidRPr="009D3F24" w:rsidRDefault="009D3F24" w:rsidP="009D3F24">
      <w:pPr>
        <w:numPr>
          <w:ilvl w:val="0"/>
          <w:numId w:val="69"/>
        </w:numPr>
        <w:spacing w:after="160" w:line="259" w:lineRule="auto"/>
        <w:jc w:val="both"/>
        <w:rPr>
          <w:rFonts w:cs="Arial"/>
        </w:rPr>
      </w:pPr>
      <w:r w:rsidRPr="009D3F24">
        <w:rPr>
          <w:rFonts w:cs="Arial"/>
        </w:rPr>
        <w:t>Alta disponibilidad tecnológica: red de conectividad con cobertura del 96</w:t>
      </w:r>
      <w:r w:rsidRPr="009D3F24">
        <w:rPr>
          <w:rFonts w:ascii="Arial" w:hAnsi="Arial" w:cs="Arial"/>
        </w:rPr>
        <w:t> </w:t>
      </w:r>
      <w:r w:rsidRPr="009D3F24">
        <w:rPr>
          <w:rFonts w:cs="Arial"/>
        </w:rPr>
        <w:t>%, software especializado, plataformas educativas activas.</w:t>
      </w:r>
    </w:p>
    <w:p w14:paraId="438D7AC8" w14:textId="77777777" w:rsidR="009D3F24" w:rsidRPr="009D3F24" w:rsidRDefault="009D3F24" w:rsidP="009D3F24">
      <w:pPr>
        <w:numPr>
          <w:ilvl w:val="0"/>
          <w:numId w:val="69"/>
        </w:numPr>
        <w:spacing w:after="160" w:line="259" w:lineRule="auto"/>
        <w:jc w:val="both"/>
        <w:rPr>
          <w:rFonts w:cs="Arial"/>
        </w:rPr>
      </w:pPr>
      <w:r w:rsidRPr="009D3F24">
        <w:rPr>
          <w:rFonts w:cs="Arial"/>
        </w:rPr>
        <w:t>Actualización continua de laboratorios y salas TIC, con dotación reciente en Riohacha y Maicao.</w:t>
      </w:r>
    </w:p>
    <w:p w14:paraId="25AC1BBB" w14:textId="77777777" w:rsidR="009D3F24" w:rsidRPr="009D3F24" w:rsidRDefault="009D3F24" w:rsidP="009D3F24">
      <w:pPr>
        <w:numPr>
          <w:ilvl w:val="0"/>
          <w:numId w:val="69"/>
        </w:numPr>
        <w:spacing w:after="160" w:line="259" w:lineRule="auto"/>
        <w:jc w:val="both"/>
        <w:rPr>
          <w:rFonts w:cs="Arial"/>
        </w:rPr>
      </w:pPr>
      <w:r w:rsidRPr="009D3F24">
        <w:rPr>
          <w:rFonts w:cs="Arial"/>
        </w:rPr>
        <w:t>Acceso bibliográfico robusto y actualizado, tanto físico como digital.</w:t>
      </w:r>
    </w:p>
    <w:p w14:paraId="56B09CF0" w14:textId="77777777" w:rsidR="009D3F24" w:rsidRPr="009D3F24" w:rsidRDefault="009D3F24" w:rsidP="009D3F24">
      <w:pPr>
        <w:numPr>
          <w:ilvl w:val="0"/>
          <w:numId w:val="69"/>
        </w:numPr>
        <w:spacing w:after="160" w:line="259" w:lineRule="auto"/>
        <w:jc w:val="both"/>
        <w:rPr>
          <w:rFonts w:cs="Arial"/>
        </w:rPr>
      </w:pPr>
      <w:r w:rsidRPr="009D3F24">
        <w:rPr>
          <w:rFonts w:cs="Arial"/>
        </w:rPr>
        <w:t>Percepción positiva unánime de los estamentos sobre la suficiencia y pertinencia de los recursos disponibles.</w:t>
      </w:r>
    </w:p>
    <w:p w14:paraId="021F2A13" w14:textId="77777777" w:rsidR="00620D6D" w:rsidRPr="00620D6D" w:rsidRDefault="00620D6D" w:rsidP="00620D6D">
      <w:pPr>
        <w:spacing w:after="160" w:line="259" w:lineRule="auto"/>
        <w:jc w:val="both"/>
        <w:rPr>
          <w:rFonts w:cs="Arial"/>
          <w:b/>
          <w:bCs/>
        </w:rPr>
      </w:pPr>
    </w:p>
    <w:p w14:paraId="01A5D9A8" w14:textId="77777777" w:rsidR="003F3179" w:rsidRPr="003F3179" w:rsidRDefault="003F3179" w:rsidP="003F3179">
      <w:pPr>
        <w:spacing w:after="160" w:line="259" w:lineRule="auto"/>
        <w:jc w:val="both"/>
        <w:rPr>
          <w:rFonts w:cs="Arial"/>
        </w:rPr>
      </w:pPr>
      <w:r w:rsidRPr="003F3179">
        <w:rPr>
          <w:rFonts w:cs="Arial"/>
        </w:rPr>
        <w:t>En síntesis, el Programa de Ingeniería de Sistemas de la Universidad de La Guajira alcanza una calificación global de 93,26 puntos sobre 100, correspondiente al juicio de “Se cumple plenamente” según la escala de gradación del modelo de autoevaluación. Los doce factores se comportan como fortalezas, con calificaciones entre 88,70 y 96,65 puntos. Los factores de mayor peso en la ponderación, Aspectos académicos y resultados de aprendizaje con 15,40, Profesores con 13,40 y Aportes de la investigación con 11,40, concentran el 40,20 % de la ponderación total y obtienen en conjunto un desempeño que sostiene el resultado global. El único factor que no alcanza el juicio de cumplimiento pleno es el Factor 8, con 88,70 puntos y juicio de “Se cumple en alto grado”, sobre el cual el programa concentra sus acciones de mejora, en particular el aumento de la participación estudiantil activa en investigación en la sede Maicao.</w:t>
      </w:r>
    </w:p>
    <w:p w14:paraId="5DD35FBD" w14:textId="77777777" w:rsidR="009D3F24" w:rsidRPr="001A77DE" w:rsidRDefault="009D3F24" w:rsidP="001A77DE">
      <w:pPr>
        <w:spacing w:after="160" w:line="259" w:lineRule="auto"/>
        <w:rPr>
          <w:rFonts w:cs="Arial"/>
          <w:b/>
          <w:bCs/>
        </w:rPr>
      </w:pPr>
    </w:p>
    <w:p w14:paraId="178D6E2D" w14:textId="77777777" w:rsidR="001A77DE" w:rsidRPr="001A77DE" w:rsidRDefault="001A77DE">
      <w:pPr>
        <w:spacing w:after="160" w:line="259" w:lineRule="auto"/>
        <w:rPr>
          <w:rFonts w:cs="Arial"/>
          <w:b/>
          <w:bCs/>
        </w:rPr>
      </w:pPr>
    </w:p>
    <w:p w14:paraId="41117CC6" w14:textId="3D2FC7FD" w:rsidR="00660CDF" w:rsidRPr="00D30F7F" w:rsidRDefault="00660CDF" w:rsidP="00D30F7F">
      <w:pPr>
        <w:spacing w:after="0" w:line="240" w:lineRule="auto"/>
        <w:jc w:val="center"/>
        <w:rPr>
          <w:rFonts w:cs="Arial"/>
          <w:b/>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