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Calibri" w:cs="Calibri" w:eastAsia="Calibri" w:hAnsi="Calibri"/>
          <w:b/>
          <w:bCs/>
          <w:sz w:val="28"/>
          <w:szCs w:val="28"/>
        </w:rPr>
        <w:t xml:space="preserve">A. D. PATEL INSTITUTE OF TECHNOLOGY</w:t>
      </w:r>
    </w:p>
    <w:p>
      <w:pPr>
        <w:spacing w:after="60" w:before="0"/>
        <w:jc w:val="center"/>
      </w:pPr>
      <w:r>
        <w:rPr>
          <w:rFonts w:ascii="Calibri" w:cs="Calibri" w:eastAsia="Calibri" w:hAnsi="Calibri"/>
          <w:i/>
          <w:iCs/>
          <w:sz w:val="22"/>
          <w:szCs w:val="22"/>
        </w:rPr>
        <w:t xml:space="preserve">A Constituent College of Charutar Vidyamandal (CVM) University</w:t>
      </w:r>
    </w:p>
    <w:p>
      <w:pPr>
        <w:spacing w:after="200" w:before="0"/>
        <w:jc w:val="center"/>
      </w:pPr>
      <w:r>
        <w:rPr>
          <w:rFonts w:ascii="Calibri" w:cs="Calibri" w:eastAsia="Calibri" w:hAnsi="Calibri"/>
          <w:b/>
          <w:bCs/>
          <w:sz w:val="24"/>
          <w:szCs w:val="24"/>
        </w:rPr>
        <w:t xml:space="preserve">DEPARTMENT OF COMPUTER ENGINEERING</w:t>
      </w:r>
    </w:p>
    <w:p>
      <w:pPr>
        <w:spacing w:after="80" w:before="200"/>
        <w:jc w:val="center"/>
      </w:pPr>
      <w:r>
        <w:rPr>
          <w:rFonts w:ascii="Calibri" w:cs="Calibri" w:eastAsia="Calibri" w:hAnsi="Calibri"/>
          <w:b/>
          <w:bCs/>
          <w:sz w:val="22"/>
          <w:szCs w:val="22"/>
        </w:rPr>
        <w:t xml:space="preserve">A MINI PROJECT REPORT ON</w:t>
      </w:r>
    </w:p>
    <w:p>
      <w:pPr>
        <w:spacing w:after="140" w:before="240"/>
        <w:jc w:val="center"/>
      </w:pPr>
      <w:r>
        <w:rPr>
          <w:rFonts w:ascii="Calibri" w:cs="Calibri" w:eastAsia="Calibri" w:hAnsi="Calibri"/>
          <w:b/>
          <w:bCs/>
          <w:color w:val="000000"/>
          <w:sz w:val="28"/>
          <w:szCs w:val="28"/>
        </w:rPr>
        <w:t xml:space="preserve">NLP-BASED RESUME AND JOB DESCRIPTION MATCHING SYSTEM</w:t>
      </w:r>
    </w:p>
    <w:p>
      <w:pPr>
        <w:spacing w:after="120" w:before="180"/>
        <w:jc w:val="center"/>
      </w:pPr>
      <w:r>
        <w:rPr>
          <w:rFonts w:ascii="Calibri" w:cs="Calibri" w:eastAsia="Calibri" w:hAnsi="Calibri"/>
          <w:i/>
          <w:iCs/>
          <w:sz w:val="22"/>
          <w:szCs w:val="22"/>
        </w:rPr>
        <w:t xml:space="preserve">Submitted in partial fulfillment of the requirements for the degree of
Bachelor of Technology in Computer Engineering</w:t>
      </w:r>
    </w:p>
    <w:p>
      <w:pPr>
        <w:spacing w:after="40" w:before="80"/>
        <w:jc w:val="center"/>
      </w:pPr>
      <w:r>
        <w:rPr>
          <w:rFonts w:ascii="Calibri" w:cs="Calibri" w:eastAsia="Calibri" w:hAnsi="Calibri"/>
          <w:b/>
          <w:bCs/>
          <w:sz w:val="22"/>
          <w:szCs w:val="22"/>
        </w:rPr>
        <w:t xml:space="preserve">Course: Natural Language Processing (Course Code: 202047809)</w:t>
      </w:r>
    </w:p>
    <w:p>
      <w:pPr>
        <w:spacing w:after="40" w:before="200"/>
        <w:jc w:val="center"/>
      </w:pPr>
      <w:r>
        <w:rPr>
          <w:rFonts w:ascii="Calibri" w:cs="Calibri" w:eastAsia="Calibri" w:hAnsi="Calibri"/>
          <w:b/>
          <w:bCs/>
          <w:sz w:val="24"/>
          <w:szCs w:val="24"/>
        </w:rPr>
        <w:t xml:space="preserve">Submitted By:</w:t>
      </w:r>
    </w:p>
    <w:p>
      <w:pPr>
        <w:spacing w:after="20" w:before="20"/>
        <w:jc w:val="center"/>
      </w:pPr>
      <w:r>
        <w:rPr>
          <w:rFonts w:ascii="Calibri" w:cs="Calibri" w:eastAsia="Calibri" w:hAnsi="Calibri"/>
          <w:b/>
          <w:bCs/>
          <w:sz w:val="26"/>
          <w:szCs w:val="26"/>
        </w:rPr>
        <w:t xml:space="preserve">PATEL AUM SHIRISHKUMAR</w:t>
      </w:r>
    </w:p>
    <w:p>
      <w:pPr>
        <w:spacing w:after="200" w:before="0"/>
        <w:jc w:val="center"/>
      </w:pPr>
      <w:r>
        <w:rPr>
          <w:rFonts w:ascii="Calibri" w:cs="Calibri" w:eastAsia="Calibri" w:hAnsi="Calibri"/>
          <w:sz w:val="22"/>
          <w:szCs w:val="22"/>
        </w:rPr>
        <w:t xml:space="preserve">Enrollment No: 12302040601004 | Sem: 7th (Computer Engineering)</w:t>
      </w:r>
    </w:p>
    <w:p>
      <w:pPr>
        <w:spacing w:after="40" w:before="100"/>
        <w:jc w:val="center"/>
      </w:pPr>
      <w:r>
        <w:rPr>
          <w:rFonts w:ascii="Calibri" w:cs="Calibri" w:eastAsia="Calibri" w:hAnsi="Calibri"/>
          <w:b/>
          <w:bCs/>
          <w:sz w:val="22"/>
          <w:szCs w:val="22"/>
        </w:rPr>
        <w:t xml:space="preserve">Academic Year: 2026-2027</w:t>
      </w:r>
    </w:p>
    <w:p>
      <w:r>
        <w:br w:type="page"/>
      </w:r>
    </w:p>
    <w:p>
      <w:pPr>
        <w:spacing w:after="140" w:before="240"/>
        <w:jc w:val="center"/>
      </w:pPr>
      <w:r>
        <w:rPr>
          <w:rFonts w:ascii="Calibri" w:cs="Calibri" w:eastAsia="Calibri" w:hAnsi="Calibri"/>
          <w:b/>
          <w:bCs/>
          <w:color w:val="000000"/>
          <w:sz w:val="28"/>
          <w:szCs w:val="28"/>
        </w:rPr>
        <w:t xml:space="preserve">CERTIFICATE</w:t>
      </w:r>
    </w:p>
    <w:p>
      <w:pPr>
        <w:spacing w:after="80" w:before="40" w:line="276"/>
        <w:jc w:val="both"/>
      </w:pPr>
      <w:r>
        <w:rPr>
          <w:rFonts w:ascii="Calibri" w:cs="Calibri" w:eastAsia="Calibri" w:hAnsi="Calibri"/>
          <w:sz w:val="22"/>
          <w:szCs w:val="22"/>
        </w:rPr>
        <w:t xml:space="preserve">This is to certify that the mini-project entitled "NLP-BASED RESUME AND JOB DESCRIPTION MATCHING SYSTEM" has been successfully completed by PATEL AUM SHIRISHKUMAR (Enrollment No: 12302040601004) in partial fulfillment of the requirements for the degree of Bachelor of Technology in Computer Engineering (7th Semester) in the subject Natural Language Processing (Course Code: 202047809) at A. D. Patel Institute of Technology, CVM University, during the academic term.</w:t>
      </w:r>
    </w:p>
    <w:p>
      <w:pPr>
        <w:spacing w:after="60" w:before="180"/>
      </w:pPr>
    </w:p>
    <w:p>
      <w:pPr>
        <w:spacing w:after="80" w:before="40" w:line="276"/>
        <w:jc w:val="both"/>
      </w:pPr>
      <w:r>
        <w:rPr>
          <w:rFonts w:ascii="Calibri" w:cs="Calibri" w:eastAsia="Calibri" w:hAnsi="Calibri"/>
          <w:sz w:val="22"/>
          <w:szCs w:val="22"/>
        </w:rPr>
        <w:t xml:space="preserve">The work presented in this report is an authentic and original implementation, encompassing multi-disciplinary dataset collection across 44 benchmark positions in 10 industry disciplines, natural language preprocessing, feature representation, baseline algorithms (TF-IDF, BM25), dense contextual representation (Sentence-BERT), hard-skill taxonomic matching over 314+ competencies, interactive keystroke discovery search, and client-side privacy-preserving ATS calibration.</w:t>
      </w:r>
    </w:p>
    <w:p>
      <w:pPr>
        <w:spacing w:after="60"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13"/>
          </w:tcPr>
          <w:p>
            <w:pPr>
              <w:jc w:val="left"/>
            </w:pPr>
            <w:r>
              <w:rPr>
                <w:rFonts w:ascii="Calibri" w:cs="Calibri" w:eastAsia="Calibri" w:hAnsi="Calibri"/>
                <w:sz w:val="22"/>
                <w:szCs w:val="22"/>
              </w:rPr>
              <w:t xml:space="preserve">______________________</w:t>
            </w:r>
          </w:p>
          <w:p>
            <w:pPr>
              <w:jc w:val="left"/>
            </w:pPr>
            <w:r>
              <w:rPr>
                <w:rFonts w:ascii="Calibri" w:cs="Calibri" w:eastAsia="Calibri" w:hAnsi="Calibri"/>
                <w:b/>
                <w:bCs/>
                <w:sz w:val="22"/>
                <w:szCs w:val="22"/>
              </w:rPr>
              <w:t xml:space="preserve">Internal Faculty Guide</w:t>
            </w:r>
          </w:p>
          <w:p>
            <w:pPr>
              <w:jc w:val="left"/>
            </w:pPr>
            <w:r>
              <w:rPr>
                <w:rFonts w:ascii="Calibri" w:cs="Calibri" w:eastAsia="Calibri" w:hAnsi="Calibri"/>
                <w:sz w:val="20"/>
                <w:szCs w:val="20"/>
              </w:rPr>
              <w:t xml:space="preserve">Dept. of Computer Engineering</w:t>
            </w:r>
          </w:p>
          <w:p>
            <w:pPr>
              <w:jc w:val="left"/>
            </w:pPr>
            <w:r>
              <w:rPr>
                <w:rFonts w:ascii="Calibri" w:cs="Calibri" w:eastAsia="Calibri" w:hAnsi="Calibri"/>
                <w:sz w:val="20"/>
                <w:szCs w:val="20"/>
              </w:rPr>
              <w:t xml:space="preserve">ADIT, CVM University</w:t>
            </w:r>
          </w:p>
        </w:tc>
        <w:tc>
          <w:tcPr>
            <w:tcW w:type="dxa" w:w="4513"/>
          </w:tcPr>
          <w:p>
            <w:pPr>
              <w:jc w:val="right"/>
            </w:pPr>
            <w:r>
              <w:rPr>
                <w:rFonts w:ascii="Calibri" w:cs="Calibri" w:eastAsia="Calibri" w:hAnsi="Calibri"/>
                <w:sz w:val="22"/>
                <w:szCs w:val="22"/>
              </w:rPr>
              <w:t xml:space="preserve">______________________</w:t>
            </w:r>
          </w:p>
          <w:p>
            <w:pPr>
              <w:jc w:val="right"/>
            </w:pPr>
            <w:r>
              <w:rPr>
                <w:rFonts w:ascii="Calibri" w:cs="Calibri" w:eastAsia="Calibri" w:hAnsi="Calibri"/>
                <w:b/>
                <w:bCs/>
                <w:sz w:val="22"/>
                <w:szCs w:val="22"/>
              </w:rPr>
              <w:t xml:space="preserve">Head of Department</w:t>
            </w:r>
          </w:p>
          <w:p>
            <w:pPr>
              <w:jc w:val="right"/>
            </w:pPr>
            <w:r>
              <w:rPr>
                <w:rFonts w:ascii="Calibri" w:cs="Calibri" w:eastAsia="Calibri" w:hAnsi="Calibri"/>
                <w:sz w:val="20"/>
                <w:szCs w:val="20"/>
              </w:rPr>
              <w:t xml:space="preserve">Dept. of Computer Engineering</w:t>
            </w:r>
          </w:p>
          <w:p>
            <w:pPr>
              <w:jc w:val="right"/>
            </w:pPr>
            <w:r>
              <w:rPr>
                <w:rFonts w:ascii="Calibri" w:cs="Calibri" w:eastAsia="Calibri" w:hAnsi="Calibri"/>
                <w:sz w:val="20"/>
                <w:szCs w:val="20"/>
              </w:rPr>
              <w:t xml:space="preserve">ADIT, CVM University</w:t>
            </w:r>
          </w:p>
        </w:tc>
      </w:tr>
    </w:tbl>
    <w:p>
      <w:r>
        <w:br w:type="page"/>
      </w:r>
    </w:p>
    <w:p>
      <w:pPr>
        <w:spacing w:after="140" w:before="240"/>
        <w:jc w:val="center"/>
      </w:pPr>
      <w:r>
        <w:rPr>
          <w:rFonts w:ascii="Calibri" w:cs="Calibri" w:eastAsia="Calibri" w:hAnsi="Calibri"/>
          <w:b/>
          <w:bCs/>
          <w:color w:val="000000"/>
          <w:sz w:val="28"/>
          <w:szCs w:val="28"/>
        </w:rPr>
        <w:t xml:space="preserve">ACKNOWLEDGEMENT</w:t>
      </w:r>
    </w:p>
    <w:p>
      <w:pPr>
        <w:spacing w:after="80" w:before="40" w:line="276"/>
        <w:jc w:val="both"/>
      </w:pPr>
      <w:r>
        <w:rPr>
          <w:rFonts w:ascii="Calibri" w:cs="Calibri" w:eastAsia="Calibri" w:hAnsi="Calibri"/>
          <w:sz w:val="22"/>
          <w:szCs w:val="22"/>
        </w:rPr>
        <w:t xml:space="preserve">I express my profound gratitude to the Department of Computer Engineering, A. D. Patel Institute of Technology (CVM University), for providing the computational infrastructure, academic support, and resources to execute this Natural Language Processing mini-project.</w:t>
      </w:r>
    </w:p>
    <w:p>
      <w:pPr>
        <w:spacing w:after="80" w:before="40" w:line="276"/>
        <w:jc w:val="both"/>
      </w:pPr>
      <w:r>
        <w:rPr>
          <w:rFonts w:ascii="Calibri" w:cs="Calibri" w:eastAsia="Calibri" w:hAnsi="Calibri"/>
          <w:sz w:val="22"/>
          <w:szCs w:val="22"/>
        </w:rPr>
        <w:t xml:space="preserve">I extend my sincere appreciation to my subject course coordinator and faculty mentors for their invaluable guidance, constructive critiques, and continuous encouragement throughout problem formulation, mathematical modeling, and empirical benchmarking.</w:t>
      </w:r>
    </w:p>
    <w:p>
      <w:pPr>
        <w:spacing w:after="80" w:before="40" w:line="276"/>
        <w:jc w:val="both"/>
      </w:pPr>
      <w:r>
        <w:rPr>
          <w:rFonts w:ascii="Calibri" w:cs="Calibri" w:eastAsia="Calibri" w:hAnsi="Calibri"/>
          <w:sz w:val="22"/>
          <w:szCs w:val="22"/>
        </w:rPr>
        <w:t xml:space="preserve">Finally, I thank my peers and family for their continuous support during the development and documentation of this work.</w:t>
      </w:r>
    </w:p>
    <w:p>
      <w:pPr>
        <w:spacing w:after="60" w:before="180"/>
        <w:jc w:val="right"/>
      </w:pPr>
      <w:r>
        <w:rPr>
          <w:rFonts w:ascii="Calibri" w:cs="Calibri" w:eastAsia="Calibri" w:hAnsi="Calibri"/>
          <w:b/>
          <w:bCs/>
          <w:sz w:val="22"/>
          <w:szCs w:val="22"/>
        </w:rPr>
        <w:t xml:space="preserve">Patel Aum Shirishkumar
Enrollment No: 12302040601004</w:t>
      </w:r>
    </w:p>
    <w:p>
      <w:pPr>
        <w:spacing w:after="60" w:before="120"/>
      </w:pPr>
    </w:p>
    <w:p>
      <w:pPr>
        <w:spacing w:after="140" w:before="240"/>
        <w:jc w:val="center"/>
      </w:pPr>
      <w:r>
        <w:rPr>
          <w:rFonts w:ascii="Calibri" w:cs="Calibri" w:eastAsia="Calibri" w:hAnsi="Calibri"/>
          <w:b/>
          <w:bCs/>
          <w:color w:val="000000"/>
          <w:sz w:val="28"/>
          <w:szCs w:val="28"/>
        </w:rPr>
        <w:t xml:space="preserve">ABSTRACT</w:t>
      </w:r>
    </w:p>
    <w:p>
      <w:pPr>
        <w:spacing w:after="80" w:before="40" w:line="276"/>
        <w:jc w:val="both"/>
      </w:pPr>
      <w:r>
        <w:rPr>
          <w:rFonts w:ascii="Calibri" w:cs="Calibri" w:eastAsia="Calibri" w:hAnsi="Calibri"/>
          <w:sz w:val="22"/>
          <w:szCs w:val="22"/>
        </w:rPr>
        <w:t xml:space="preserve">Automated candidate screening in modern Human Resource Technology (HRTech) suffers from two prominent failure modes: vocabulary mismatch (where qualified candidates are filtered out due to synonymous phrasing) and adversarial keyword stuffing (where unqualified applicants game keyword frequencies). This mini-project designs, implements, and evaluates an end-to-end NLP-Based Resume and Job Description Matching System.</w:t>
      </w:r>
    </w:p>
    <w:p>
      <w:pPr>
        <w:spacing w:after="80" w:before="40" w:line="276"/>
        <w:jc w:val="both"/>
      </w:pPr>
      <w:r>
        <w:rPr>
          <w:rFonts w:ascii="Calibri" w:cs="Calibri" w:eastAsia="Calibri" w:hAnsi="Calibri"/>
          <w:sz w:val="22"/>
          <w:szCs w:val="22"/>
        </w:rPr>
        <w:t xml:space="preserve">The proposed solution implements a Multi-Stage Domain-Aware Hybrid Architecture integrating: (1) Section-aware parsing and ethical PII sanitization; (2) Sparse lexical baselines via Sub-linear TF-IDF and Robertson-Spärck Jones Okapi BM25; (3) Dense contextual semantic representations via Sentence-BERT (all-MiniLM-L6-v2) with section-weighted cosine similarity; (4) Explicit taxonomic skill extraction over an expanded 314+ multi-word domain competency taxonomy computing required skill recall and skill gap diagnostics; (5) An interactive keystroke discovery search engine and searchable combobox for instant candidate-job exploration; and (6) A 100% private in-browser ATS health calibration engine executing client-side PDF/DOCX parsing with zero server data retention.</w:t>
      </w:r>
    </w:p>
    <w:p>
      <w:pPr>
        <w:spacing w:after="80" w:before="40" w:line="276"/>
        <w:jc w:val="both"/>
      </w:pPr>
      <w:r>
        <w:rPr>
          <w:rFonts w:ascii="Calibri" w:cs="Calibri" w:eastAsia="Calibri" w:hAnsi="Calibri"/>
          <w:sz w:val="22"/>
          <w:szCs w:val="22"/>
        </w:rPr>
        <w:t xml:space="preserve">Empirical benchmarks across 44 benchmark positions in 10 diverse industry sectors and 26 verified candidate profiles demonstrate that the Proposed Hybrid System achieves a Precision@1 of 1.0000, an NDCG@3 of 0.9582, an NDCG@5 of 0.9048, and a Mean Reciprocal Rank (MRR) of 1.0000. Crucially, in adversarial test cases, while classical TF-IDF erroneously ranks a keyword spammer at #3, our hybrid model successfully neutralizes the exploit, demoting the spammer to #26 (score 0.1120) and prioritizing authentic technical competence.</w:t>
      </w:r>
    </w:p>
    <w:p>
      <w:r>
        <w:br w:type="page"/>
      </w:r>
    </w:p>
    <w:p>
      <w:pPr>
        <w:spacing w:after="140" w:before="240"/>
        <w:jc w:val="center"/>
      </w:pPr>
      <w:r>
        <w:rPr>
          <w:rFonts w:ascii="Calibri" w:cs="Calibri" w:eastAsia="Calibri" w:hAnsi="Calibri"/>
          <w:b/>
          <w:bCs/>
          <w:color w:val="000000"/>
          <w:sz w:val="28"/>
          <w:szCs w:val="28"/>
        </w:rPr>
        <w:t xml:space="preserve">TABLE OF 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Pr>
          <w:p>
            <w:r>
              <w:t xml:space="preserve">1</w:t>
            </w:r>
          </w:p>
        </w:tc>
        <w:tc>
          <w:tcPr>
            <w:tcW w:type="dxa" w:w="7226"/>
          </w:tcPr>
          <w:p>
            <w:r>
              <w:t xml:space="preserve">Introduction &amp; Problem Definition</w:t>
            </w:r>
          </w:p>
        </w:tc>
        <w:tc>
          <w:tcPr>
            <w:tcW w:type="dxa" w:w="1000"/>
          </w:tcPr>
          <w:p>
            <w:pPr>
              <w:jc w:val="right"/>
            </w:pPr>
            <w:r>
              <w:t xml:space="preserve">1</w:t>
            </w:r>
          </w:p>
        </w:tc>
      </w:tr>
      <w:tr>
        <w:tc>
          <w:tcPr>
            <w:tcW w:type="dxa" w:w="800"/>
          </w:tcPr>
          <w:p/>
        </w:tc>
        <w:tc>
          <w:tcPr>
            <w:tcW w:type="dxa" w:w="7226"/>
          </w:tcPr>
          <w:p>
            <w:r>
              <w:t xml:space="preserve">1.1 Background &amp; Recruitment Automation</w:t>
            </w:r>
          </w:p>
        </w:tc>
        <w:tc>
          <w:tcPr>
            <w:tcW w:type="dxa" w:w="1000"/>
          </w:tcPr>
          <w:p>
            <w:pPr>
              <w:jc w:val="right"/>
            </w:pPr>
            <w:r>
              <w:t xml:space="preserve">1</w:t>
            </w:r>
          </w:p>
        </w:tc>
      </w:tr>
      <w:tr>
        <w:tc>
          <w:tcPr>
            <w:tcW w:type="dxa" w:w="800"/>
          </w:tcPr>
          <w:p/>
        </w:tc>
        <w:tc>
          <w:tcPr>
            <w:tcW w:type="dxa" w:w="7226"/>
          </w:tcPr>
          <w:p>
            <w:r>
              <w:t xml:space="preserve">1.2 Limitations of Classical Keyword ATS</w:t>
            </w:r>
          </w:p>
        </w:tc>
        <w:tc>
          <w:tcPr>
            <w:tcW w:type="dxa" w:w="1000"/>
          </w:tcPr>
          <w:p>
            <w:pPr>
              <w:jc w:val="right"/>
            </w:pPr>
            <w:r>
              <w:t xml:space="preserve">2</w:t>
            </w:r>
          </w:p>
        </w:tc>
      </w:tr>
      <w:tr>
        <w:tc>
          <w:tcPr>
            <w:tcW w:type="dxa" w:w="800"/>
          </w:tcPr>
          <w:p/>
        </w:tc>
        <w:tc>
          <w:tcPr>
            <w:tcW w:type="dxa" w:w="7226"/>
          </w:tcPr>
          <w:p>
            <w:r>
              <w:t xml:space="preserve">1.3 Project Purpose &amp; Core Objectives</w:t>
            </w:r>
          </w:p>
        </w:tc>
        <w:tc>
          <w:tcPr>
            <w:tcW w:type="dxa" w:w="1000"/>
          </w:tcPr>
          <w:p>
            <w:pPr>
              <w:jc w:val="right"/>
            </w:pPr>
            <w:r>
              <w:t xml:space="preserve">2</w:t>
            </w:r>
          </w:p>
        </w:tc>
      </w:tr>
      <w:tr>
        <w:tc>
          <w:tcPr>
            <w:tcW w:type="dxa" w:w="800"/>
          </w:tcPr>
          <w:p/>
        </w:tc>
        <w:tc>
          <w:tcPr>
            <w:tcW w:type="dxa" w:w="7226"/>
          </w:tcPr>
          <w:p>
            <w:r>
              <w:t xml:space="preserve">1.4 Scope and Key Contributions</w:t>
            </w:r>
          </w:p>
        </w:tc>
        <w:tc>
          <w:tcPr>
            <w:tcW w:type="dxa" w:w="1000"/>
          </w:tcPr>
          <w:p>
            <w:pPr>
              <w:jc w:val="right"/>
            </w:pPr>
            <w:r>
              <w:t xml:space="preserve">3</w:t>
            </w:r>
          </w:p>
        </w:tc>
      </w:tr>
      <w:tr>
        <w:tc>
          <w:tcPr>
            <w:tcW w:type="dxa" w:w="800"/>
          </w:tcPr>
          <w:p>
            <w:r>
              <w:t xml:space="preserve">2</w:t>
            </w:r>
          </w:p>
        </w:tc>
        <w:tc>
          <w:tcPr>
            <w:tcW w:type="dxa" w:w="7226"/>
          </w:tcPr>
          <w:p>
            <w:r>
              <w:t xml:space="preserve">Literature Survey &amp; Theoretical Foundations</w:t>
            </w:r>
          </w:p>
        </w:tc>
        <w:tc>
          <w:tcPr>
            <w:tcW w:type="dxa" w:w="1000"/>
          </w:tcPr>
          <w:p>
            <w:pPr>
              <w:jc w:val="right"/>
            </w:pPr>
            <w:r>
              <w:t xml:space="preserve">4</w:t>
            </w:r>
          </w:p>
        </w:tc>
      </w:tr>
      <w:tr>
        <w:tc>
          <w:tcPr>
            <w:tcW w:type="dxa" w:w="800"/>
          </w:tcPr>
          <w:p/>
        </w:tc>
        <w:tc>
          <w:tcPr>
            <w:tcW w:type="dxa" w:w="7226"/>
          </w:tcPr>
          <w:p>
            <w:r>
              <w:t xml:space="preserve">2.1 Classical Vector Space Model (TF-IDF)</w:t>
            </w:r>
          </w:p>
        </w:tc>
        <w:tc>
          <w:tcPr>
            <w:tcW w:type="dxa" w:w="1000"/>
          </w:tcPr>
          <w:p>
            <w:pPr>
              <w:jc w:val="right"/>
            </w:pPr>
            <w:r>
              <w:t xml:space="preserve">4</w:t>
            </w:r>
          </w:p>
        </w:tc>
      </w:tr>
      <w:tr>
        <w:tc>
          <w:tcPr>
            <w:tcW w:type="dxa" w:w="800"/>
          </w:tcPr>
          <w:p/>
        </w:tc>
        <w:tc>
          <w:tcPr>
            <w:tcW w:type="dxa" w:w="7226"/>
          </w:tcPr>
          <w:p>
            <w:r>
              <w:t xml:space="preserve">2.2 Okapi BM25 Probabilistic Ranking</w:t>
            </w:r>
          </w:p>
        </w:tc>
        <w:tc>
          <w:tcPr>
            <w:tcW w:type="dxa" w:w="1000"/>
          </w:tcPr>
          <w:p>
            <w:pPr>
              <w:jc w:val="right"/>
            </w:pPr>
            <w:r>
              <w:t xml:space="preserve">5</w:t>
            </w:r>
          </w:p>
        </w:tc>
      </w:tr>
      <w:tr>
        <w:tc>
          <w:tcPr>
            <w:tcW w:type="dxa" w:w="800"/>
          </w:tcPr>
          <w:p/>
        </w:tc>
        <w:tc>
          <w:tcPr>
            <w:tcW w:type="dxa" w:w="7226"/>
          </w:tcPr>
          <w:p>
            <w:r>
              <w:t xml:space="preserve">2.3 Contextual Embeddings (BERT &amp; SBERT)</w:t>
            </w:r>
          </w:p>
        </w:tc>
        <w:tc>
          <w:tcPr>
            <w:tcW w:type="dxa" w:w="1000"/>
          </w:tcPr>
          <w:p>
            <w:pPr>
              <w:jc w:val="right"/>
            </w:pPr>
            <w:r>
              <w:t xml:space="preserve">6</w:t>
            </w:r>
          </w:p>
        </w:tc>
      </w:tr>
      <w:tr>
        <w:tc>
          <w:tcPr>
            <w:tcW w:type="dxa" w:w="800"/>
          </w:tcPr>
          <w:p/>
        </w:tc>
        <w:tc>
          <w:tcPr>
            <w:tcW w:type="dxa" w:w="7226"/>
          </w:tcPr>
          <w:p>
            <w:r>
              <w:t xml:space="preserve">2.4 Comparative Summary of Literature</w:t>
            </w:r>
          </w:p>
        </w:tc>
        <w:tc>
          <w:tcPr>
            <w:tcW w:type="dxa" w:w="1000"/>
          </w:tcPr>
          <w:p>
            <w:pPr>
              <w:jc w:val="right"/>
            </w:pPr>
            <w:r>
              <w:t xml:space="preserve">7</w:t>
            </w:r>
          </w:p>
        </w:tc>
      </w:tr>
      <w:tr>
        <w:tc>
          <w:tcPr>
            <w:tcW w:type="dxa" w:w="800"/>
          </w:tcPr>
          <w:p>
            <w:r>
              <w:t xml:space="preserve">3</w:t>
            </w:r>
          </w:p>
        </w:tc>
        <w:tc>
          <w:tcPr>
            <w:tcW w:type="dxa" w:w="7226"/>
          </w:tcPr>
          <w:p>
            <w:r>
              <w:t xml:space="preserve">Dataset Collection &amp; Preprocessing Pipeline</w:t>
            </w:r>
          </w:p>
        </w:tc>
        <w:tc>
          <w:tcPr>
            <w:tcW w:type="dxa" w:w="1000"/>
          </w:tcPr>
          <w:p>
            <w:pPr>
              <w:jc w:val="right"/>
            </w:pPr>
            <w:r>
              <w:t xml:space="preserve">8</w:t>
            </w:r>
          </w:p>
        </w:tc>
      </w:tr>
      <w:tr>
        <w:tc>
          <w:tcPr>
            <w:tcW w:type="dxa" w:w="800"/>
          </w:tcPr>
          <w:p/>
        </w:tc>
        <w:tc>
          <w:tcPr>
            <w:tcW w:type="dxa" w:w="7226"/>
          </w:tcPr>
          <w:p>
            <w:r>
              <w:t xml:space="preserve">3.1 Benchmark Dataset Characteristics (44 Roles, 10 Sectors)</w:t>
            </w:r>
          </w:p>
        </w:tc>
        <w:tc>
          <w:tcPr>
            <w:tcW w:type="dxa" w:w="1000"/>
          </w:tcPr>
          <w:p>
            <w:pPr>
              <w:jc w:val="right"/>
            </w:pPr>
            <w:r>
              <w:t xml:space="preserve">8</w:t>
            </w:r>
          </w:p>
        </w:tc>
      </w:tr>
      <w:tr>
        <w:tc>
          <w:tcPr>
            <w:tcW w:type="dxa" w:w="800"/>
          </w:tcPr>
          <w:p/>
        </w:tc>
        <w:tc>
          <w:tcPr>
            <w:tcW w:type="dxa" w:w="7226"/>
          </w:tcPr>
          <w:p>
            <w:r>
              <w:t xml:space="preserve">3.2 PII Redaction for Algorithmic Fairness</w:t>
            </w:r>
          </w:p>
        </w:tc>
        <w:tc>
          <w:tcPr>
            <w:tcW w:type="dxa" w:w="1000"/>
          </w:tcPr>
          <w:p>
            <w:pPr>
              <w:jc w:val="right"/>
            </w:pPr>
            <w:r>
              <w:t xml:space="preserve">9</w:t>
            </w:r>
          </w:p>
        </w:tc>
      </w:tr>
      <w:tr>
        <w:tc>
          <w:tcPr>
            <w:tcW w:type="dxa" w:w="800"/>
          </w:tcPr>
          <w:p/>
        </w:tc>
        <w:tc>
          <w:tcPr>
            <w:tcW w:type="dxa" w:w="7226"/>
          </w:tcPr>
          <w:p>
            <w:r>
              <w:t xml:space="preserve">3.3 Section Segmentation &amp; Tokenization</w:t>
            </w:r>
          </w:p>
        </w:tc>
        <w:tc>
          <w:tcPr>
            <w:tcW w:type="dxa" w:w="1000"/>
          </w:tcPr>
          <w:p>
            <w:pPr>
              <w:jc w:val="right"/>
            </w:pPr>
            <w:r>
              <w:t xml:space="preserve">10</w:t>
            </w:r>
          </w:p>
        </w:tc>
      </w:tr>
      <w:tr>
        <w:tc>
          <w:tcPr>
            <w:tcW w:type="dxa" w:w="800"/>
          </w:tcPr>
          <w:p/>
        </w:tc>
        <w:tc>
          <w:tcPr>
            <w:tcW w:type="dxa" w:w="7226"/>
          </w:tcPr>
          <w:p>
            <w:r>
              <w:t xml:space="preserve">3.4 Cross-Discipline Taxonomic Competency Taxonomy (314+ Skills)</w:t>
            </w:r>
          </w:p>
        </w:tc>
        <w:tc>
          <w:tcPr>
            <w:tcW w:type="dxa" w:w="1000"/>
          </w:tcPr>
          <w:p>
            <w:pPr>
              <w:jc w:val="right"/>
            </w:pPr>
            <w:r>
              <w:t xml:space="preserve">11</w:t>
            </w:r>
          </w:p>
        </w:tc>
      </w:tr>
      <w:tr>
        <w:tc>
          <w:tcPr>
            <w:tcW w:type="dxa" w:w="800"/>
          </w:tcPr>
          <w:p/>
        </w:tc>
        <w:tc>
          <w:tcPr>
            <w:tcW w:type="dxa" w:w="7226"/>
          </w:tcPr>
          <w:p>
            <w:r>
              <w:t xml:space="preserve">3.5 Client-Side Privacy-Preserving Document Ingestion</w:t>
            </w:r>
          </w:p>
        </w:tc>
        <w:tc>
          <w:tcPr>
            <w:tcW w:type="dxa" w:w="1000"/>
          </w:tcPr>
          <w:p>
            <w:pPr>
              <w:jc w:val="right"/>
            </w:pPr>
            <w:r>
              <w:t xml:space="preserve">11</w:t>
            </w:r>
          </w:p>
        </w:tc>
      </w:tr>
      <w:tr>
        <w:tc>
          <w:tcPr>
            <w:tcW w:type="dxa" w:w="800"/>
          </w:tcPr>
          <w:p>
            <w:r>
              <w:t xml:space="preserve">4</w:t>
            </w:r>
          </w:p>
        </w:tc>
        <w:tc>
          <w:tcPr>
            <w:tcW w:type="dxa" w:w="7226"/>
          </w:tcPr>
          <w:p>
            <w:r>
              <w:t xml:space="preserve">System Architecture &amp; Proposed Methodology</w:t>
            </w:r>
          </w:p>
        </w:tc>
        <w:tc>
          <w:tcPr>
            <w:tcW w:type="dxa" w:w="1000"/>
          </w:tcPr>
          <w:p>
            <w:pPr>
              <w:jc w:val="right"/>
            </w:pPr>
            <w:r>
              <w:t xml:space="preserve">12</w:t>
            </w:r>
          </w:p>
        </w:tc>
      </w:tr>
      <w:tr>
        <w:tc>
          <w:tcPr>
            <w:tcW w:type="dxa" w:w="800"/>
          </w:tcPr>
          <w:p/>
        </w:tc>
        <w:tc>
          <w:tcPr>
            <w:tcW w:type="dxa" w:w="7226"/>
          </w:tcPr>
          <w:p>
            <w:r>
              <w:t xml:space="preserve">4.1 End-to-End System Pipeline</w:t>
            </w:r>
          </w:p>
        </w:tc>
        <w:tc>
          <w:tcPr>
            <w:tcW w:type="dxa" w:w="1000"/>
          </w:tcPr>
          <w:p>
            <w:pPr>
              <w:jc w:val="right"/>
            </w:pPr>
            <w:r>
              <w:t xml:space="preserve">12</w:t>
            </w:r>
          </w:p>
        </w:tc>
      </w:tr>
      <w:tr>
        <w:tc>
          <w:tcPr>
            <w:tcW w:type="dxa" w:w="800"/>
          </w:tcPr>
          <w:p/>
        </w:tc>
        <w:tc>
          <w:tcPr>
            <w:tcW w:type="dxa" w:w="7226"/>
          </w:tcPr>
          <w:p>
            <w:r>
              <w:t xml:space="preserve">4.2 Baseline Retrieval Models (TF-IDF &amp; BM25)</w:t>
            </w:r>
          </w:p>
        </w:tc>
        <w:tc>
          <w:tcPr>
            <w:tcW w:type="dxa" w:w="1000"/>
          </w:tcPr>
          <w:p>
            <w:pPr>
              <w:jc w:val="right"/>
            </w:pPr>
            <w:r>
              <w:t xml:space="preserve">13</w:t>
            </w:r>
          </w:p>
        </w:tc>
      </w:tr>
      <w:tr>
        <w:tc>
          <w:tcPr>
            <w:tcW w:type="dxa" w:w="800"/>
          </w:tcPr>
          <w:p/>
        </w:tc>
        <w:tc>
          <w:tcPr>
            <w:tcW w:type="dxa" w:w="7226"/>
          </w:tcPr>
          <w:p>
            <w:r>
              <w:t xml:space="preserve">4.3 Contextual Semantic Bi-Encoder</w:t>
            </w:r>
          </w:p>
        </w:tc>
        <w:tc>
          <w:tcPr>
            <w:tcW w:type="dxa" w:w="1000"/>
          </w:tcPr>
          <w:p>
            <w:pPr>
              <w:jc w:val="right"/>
            </w:pPr>
            <w:r>
              <w:t xml:space="preserve">14</w:t>
            </w:r>
          </w:p>
        </w:tc>
      </w:tr>
      <w:tr>
        <w:tc>
          <w:tcPr>
            <w:tcW w:type="dxa" w:w="800"/>
          </w:tcPr>
          <w:p/>
        </w:tc>
        <w:tc>
          <w:tcPr>
            <w:tcW w:type="dxa" w:w="7226"/>
          </w:tcPr>
          <w:p>
            <w:r>
              <w:t xml:space="preserve">4.4 Taxonomic Skill Verification &amp; Gap Analysis</w:t>
            </w:r>
          </w:p>
        </w:tc>
        <w:tc>
          <w:tcPr>
            <w:tcW w:type="dxa" w:w="1000"/>
          </w:tcPr>
          <w:p>
            <w:pPr>
              <w:jc w:val="right"/>
            </w:pPr>
            <w:r>
              <w:t xml:space="preserve">15</w:t>
            </w:r>
          </w:p>
        </w:tc>
      </w:tr>
      <w:tr>
        <w:tc>
          <w:tcPr>
            <w:tcW w:type="dxa" w:w="800"/>
          </w:tcPr>
          <w:p/>
        </w:tc>
        <w:tc>
          <w:tcPr>
            <w:tcW w:type="dxa" w:w="7226"/>
          </w:tcPr>
          <w:p>
            <w:r>
              <w:t xml:space="preserve">4.5 Tri-Partite Hybrid Scoring Formulation</w:t>
            </w:r>
          </w:p>
        </w:tc>
        <w:tc>
          <w:tcPr>
            <w:tcW w:type="dxa" w:w="1000"/>
          </w:tcPr>
          <w:p>
            <w:pPr>
              <w:jc w:val="right"/>
            </w:pPr>
            <w:r>
              <w:t xml:space="preserve">16</w:t>
            </w:r>
          </w:p>
        </w:tc>
      </w:tr>
      <w:tr>
        <w:tc>
          <w:tcPr>
            <w:tcW w:type="dxa" w:w="800"/>
          </w:tcPr>
          <w:p/>
        </w:tc>
        <w:tc>
          <w:tcPr>
            <w:tcW w:type="dxa" w:w="7226"/>
          </w:tcPr>
          <w:p>
            <w:r>
              <w:t xml:space="preserve">4.6 Interactive Keystroke Discovery &amp; Searchable Combobox</w:t>
            </w:r>
          </w:p>
        </w:tc>
        <w:tc>
          <w:tcPr>
            <w:tcW w:type="dxa" w:w="1000"/>
          </w:tcPr>
          <w:p>
            <w:pPr>
              <w:jc w:val="right"/>
            </w:pPr>
            <w:r>
              <w:t xml:space="preserve">16</w:t>
            </w:r>
          </w:p>
        </w:tc>
      </w:tr>
      <w:tr>
        <w:tc>
          <w:tcPr>
            <w:tcW w:type="dxa" w:w="800"/>
          </w:tcPr>
          <w:p/>
        </w:tc>
        <w:tc>
          <w:tcPr>
            <w:tcW w:type="dxa" w:w="7226"/>
          </w:tcPr>
          <w:p>
            <w:r>
              <w:t xml:space="preserve">4.7 Client-Side In-Browser ATS Health Calibration Engine</w:t>
            </w:r>
          </w:p>
        </w:tc>
        <w:tc>
          <w:tcPr>
            <w:tcW w:type="dxa" w:w="1000"/>
          </w:tcPr>
          <w:p>
            <w:pPr>
              <w:jc w:val="right"/>
            </w:pPr>
            <w:r>
              <w:t xml:space="preserve">17</w:t>
            </w:r>
          </w:p>
        </w:tc>
      </w:tr>
      <w:tr>
        <w:tc>
          <w:tcPr>
            <w:tcW w:type="dxa" w:w="800"/>
          </w:tcPr>
          <w:p>
            <w:r>
              <w:t xml:space="preserve">5</w:t>
            </w:r>
          </w:p>
        </w:tc>
        <w:tc>
          <w:tcPr>
            <w:tcW w:type="dxa" w:w="7226"/>
          </w:tcPr>
          <w:p>
            <w:r>
              <w:t xml:space="preserve">Experimental Results &amp; Comparative Analysis</w:t>
            </w:r>
          </w:p>
        </w:tc>
        <w:tc>
          <w:tcPr>
            <w:tcW w:type="dxa" w:w="1000"/>
          </w:tcPr>
          <w:p>
            <w:pPr>
              <w:jc w:val="right"/>
            </w:pPr>
            <w:r>
              <w:t xml:space="preserve">18</w:t>
            </w:r>
          </w:p>
        </w:tc>
      </w:tr>
      <w:tr>
        <w:tc>
          <w:tcPr>
            <w:tcW w:type="dxa" w:w="800"/>
          </w:tcPr>
          <w:p/>
        </w:tc>
        <w:tc>
          <w:tcPr>
            <w:tcW w:type="dxa" w:w="7226"/>
          </w:tcPr>
          <w:p>
            <w:r>
              <w:t xml:space="preserve">5.1 Evaluation Setup &amp; Metrics</w:t>
            </w:r>
          </w:p>
        </w:tc>
        <w:tc>
          <w:tcPr>
            <w:tcW w:type="dxa" w:w="1000"/>
          </w:tcPr>
          <w:p>
            <w:pPr>
              <w:jc w:val="right"/>
            </w:pPr>
            <w:r>
              <w:t xml:space="preserve">18</w:t>
            </w:r>
          </w:p>
        </w:tc>
      </w:tr>
      <w:tr>
        <w:tc>
          <w:tcPr>
            <w:tcW w:type="dxa" w:w="800"/>
          </w:tcPr>
          <w:p/>
        </w:tc>
        <w:tc>
          <w:tcPr>
            <w:tcW w:type="dxa" w:w="7226"/>
          </w:tcPr>
          <w:p>
            <w:r>
              <w:t xml:space="preserve">5.2 Quantitative Performance Benchmarks (Table 5.1)</w:t>
            </w:r>
          </w:p>
        </w:tc>
        <w:tc>
          <w:tcPr>
            <w:tcW w:type="dxa" w:w="1000"/>
          </w:tcPr>
          <w:p>
            <w:pPr>
              <w:jc w:val="right"/>
            </w:pPr>
            <w:r>
              <w:t xml:space="preserve">19</w:t>
            </w:r>
          </w:p>
        </w:tc>
      </w:tr>
      <w:tr>
        <w:tc>
          <w:tcPr>
            <w:tcW w:type="dxa" w:w="800"/>
          </w:tcPr>
          <w:p/>
        </w:tc>
        <w:tc>
          <w:tcPr>
            <w:tcW w:type="dxa" w:w="7226"/>
          </w:tcPr>
          <w:p>
            <w:r>
              <w:t xml:space="preserve">5.3 Cross-Discipline Multi-Sector Empirical Evaluation (Table 5.2)</w:t>
            </w:r>
          </w:p>
        </w:tc>
        <w:tc>
          <w:tcPr>
            <w:tcW w:type="dxa" w:w="1000"/>
          </w:tcPr>
          <w:p>
            <w:pPr>
              <w:jc w:val="right"/>
            </w:pPr>
            <w:r>
              <w:t xml:space="preserve">20</w:t>
            </w:r>
          </w:p>
        </w:tc>
      </w:tr>
      <w:tr>
        <w:tc>
          <w:tcPr>
            <w:tcW w:type="dxa" w:w="800"/>
          </w:tcPr>
          <w:p/>
        </w:tc>
        <w:tc>
          <w:tcPr>
            <w:tcW w:type="dxa" w:w="7226"/>
          </w:tcPr>
          <w:p>
            <w:r>
              <w:t xml:space="preserve">5.4 Ablation Studies</w:t>
            </w:r>
          </w:p>
        </w:tc>
        <w:tc>
          <w:tcPr>
            <w:tcW w:type="dxa" w:w="1000"/>
          </w:tcPr>
          <w:p>
            <w:pPr>
              <w:jc w:val="right"/>
            </w:pPr>
            <w:r>
              <w:t xml:space="preserve">21</w:t>
            </w:r>
          </w:p>
        </w:tc>
      </w:tr>
      <w:tr>
        <w:tc>
          <w:tcPr>
            <w:tcW w:type="dxa" w:w="800"/>
          </w:tcPr>
          <w:p/>
        </w:tc>
        <w:tc>
          <w:tcPr>
            <w:tcW w:type="dxa" w:w="7226"/>
          </w:tcPr>
          <w:p>
            <w:r>
              <w:t xml:space="preserve">5.5 Case Study: Adversarial Keyword Spammer Demotion (Table 5.3)</w:t>
            </w:r>
          </w:p>
        </w:tc>
        <w:tc>
          <w:tcPr>
            <w:tcW w:type="dxa" w:w="1000"/>
          </w:tcPr>
          <w:p>
            <w:pPr>
              <w:jc w:val="right"/>
            </w:pPr>
            <w:r>
              <w:t xml:space="preserve">22</w:t>
            </w:r>
          </w:p>
        </w:tc>
      </w:tr>
      <w:tr>
        <w:tc>
          <w:tcPr>
            <w:tcW w:type="dxa" w:w="800"/>
          </w:tcPr>
          <w:p/>
        </w:tc>
        <w:tc>
          <w:tcPr>
            <w:tcW w:type="dxa" w:w="7226"/>
          </w:tcPr>
          <w:p>
            <w:r>
              <w:t xml:space="preserve">5.6 Case Study: Synonym &amp; Academic Divergence</w:t>
            </w:r>
          </w:p>
        </w:tc>
        <w:tc>
          <w:tcPr>
            <w:tcW w:type="dxa" w:w="1000"/>
          </w:tcPr>
          <w:p>
            <w:pPr>
              <w:jc w:val="right"/>
            </w:pPr>
            <w:r>
              <w:t xml:space="preserve">23</w:t>
            </w:r>
          </w:p>
        </w:tc>
      </w:tr>
      <w:tr>
        <w:tc>
          <w:tcPr>
            <w:tcW w:type="dxa" w:w="800"/>
          </w:tcPr>
          <w:p/>
        </w:tc>
        <w:tc>
          <w:tcPr>
            <w:tcW w:type="dxa" w:w="7226"/>
          </w:tcPr>
          <w:p>
            <w:r>
              <w:t xml:space="preserve">5.7 Latency &amp; Computational Viability</w:t>
            </w:r>
          </w:p>
        </w:tc>
        <w:tc>
          <w:tcPr>
            <w:tcW w:type="dxa" w:w="1000"/>
          </w:tcPr>
          <w:p>
            <w:pPr>
              <w:jc w:val="right"/>
            </w:pPr>
            <w:r>
              <w:t xml:space="preserve">24</w:t>
            </w:r>
          </w:p>
        </w:tc>
      </w:tr>
      <w:tr>
        <w:tc>
          <w:tcPr>
            <w:tcW w:type="dxa" w:w="800"/>
          </w:tcPr>
          <w:p>
            <w:r>
              <w:t xml:space="preserve">6</w:t>
            </w:r>
          </w:p>
        </w:tc>
        <w:tc>
          <w:tcPr>
            <w:tcW w:type="dxa" w:w="7226"/>
          </w:tcPr>
          <w:p>
            <w:r>
              <w:t xml:space="preserve">Conclusion &amp; Future Research Directions</w:t>
            </w:r>
          </w:p>
        </w:tc>
        <w:tc>
          <w:tcPr>
            <w:tcW w:type="dxa" w:w="1000"/>
          </w:tcPr>
          <w:p>
            <w:pPr>
              <w:jc w:val="right"/>
            </w:pPr>
            <w:r>
              <w:t xml:space="preserve">25</w:t>
            </w:r>
          </w:p>
        </w:tc>
      </w:tr>
      <w:tr>
        <w:tc>
          <w:tcPr>
            <w:tcW w:type="dxa" w:w="800"/>
          </w:tcPr>
          <w:p/>
        </w:tc>
        <w:tc>
          <w:tcPr>
            <w:tcW w:type="dxa" w:w="7226"/>
          </w:tcPr>
          <w:p>
            <w:r>
              <w:t xml:space="preserve">6.1 Summary of Contributions</w:t>
            </w:r>
          </w:p>
        </w:tc>
        <w:tc>
          <w:tcPr>
            <w:tcW w:type="dxa" w:w="1000"/>
          </w:tcPr>
          <w:p>
            <w:pPr>
              <w:jc w:val="right"/>
            </w:pPr>
            <w:r>
              <w:t xml:space="preserve">25</w:t>
            </w:r>
          </w:p>
        </w:tc>
      </w:tr>
      <w:tr>
        <w:tc>
          <w:tcPr>
            <w:tcW w:type="dxa" w:w="800"/>
          </w:tcPr>
          <w:p/>
        </w:tc>
        <w:tc>
          <w:tcPr>
            <w:tcW w:type="dxa" w:w="7226"/>
          </w:tcPr>
          <w:p>
            <w:r>
              <w:t xml:space="preserve">6.2 Limitations of Current Architecture</w:t>
            </w:r>
          </w:p>
        </w:tc>
        <w:tc>
          <w:tcPr>
            <w:tcW w:type="dxa" w:w="1000"/>
          </w:tcPr>
          <w:p>
            <w:pPr>
              <w:jc w:val="right"/>
            </w:pPr>
            <w:r>
              <w:t xml:space="preserve">25</w:t>
            </w:r>
          </w:p>
        </w:tc>
      </w:tr>
      <w:tr>
        <w:tc>
          <w:tcPr>
            <w:tcW w:type="dxa" w:w="800"/>
          </w:tcPr>
          <w:p/>
        </w:tc>
        <w:tc>
          <w:tcPr>
            <w:tcW w:type="dxa" w:w="7226"/>
          </w:tcPr>
          <w:p>
            <w:r>
              <w:t xml:space="preserve">6.3 Future Work</w:t>
            </w:r>
          </w:p>
        </w:tc>
        <w:tc>
          <w:tcPr>
            <w:tcW w:type="dxa" w:w="1000"/>
          </w:tcPr>
          <w:p>
            <w:pPr>
              <w:jc w:val="right"/>
            </w:pPr>
            <w:r>
              <w:t xml:space="preserve">26</w:t>
            </w:r>
          </w:p>
        </w:tc>
      </w:tr>
      <w:tr>
        <w:tc>
          <w:tcPr>
            <w:tcW w:type="dxa" w:w="800"/>
          </w:tcPr>
          <w:p/>
        </w:tc>
        <w:tc>
          <w:tcPr>
            <w:tcW w:type="dxa" w:w="7226"/>
          </w:tcPr>
          <w:p>
            <w:r>
              <w:t xml:space="preserve">References</w:t>
            </w:r>
          </w:p>
        </w:tc>
        <w:tc>
          <w:tcPr>
            <w:tcW w:type="dxa" w:w="1000"/>
          </w:tcPr>
          <w:p>
            <w:pPr>
              <w:jc w:val="right"/>
            </w:pPr>
            <w:r>
              <w:t xml:space="preserve">27</w:t>
            </w:r>
          </w:p>
        </w:tc>
      </w:tr>
      <w:tr>
        <w:tc>
          <w:tcPr>
            <w:tcW w:type="dxa" w:w="800"/>
          </w:tcPr>
          <w:p/>
        </w:tc>
        <w:tc>
          <w:tcPr>
            <w:tcW w:type="dxa" w:w="7226"/>
          </w:tcPr>
          <w:p>
            <w:r>
              <w:t xml:space="preserve">Appendix: Core Python Source Code Listings</w:t>
            </w:r>
          </w:p>
        </w:tc>
        <w:tc>
          <w:tcPr>
            <w:tcW w:type="dxa" w:w="1000"/>
          </w:tcPr>
          <w:p>
            <w:pPr>
              <w:jc w:val="right"/>
            </w:pPr>
            <w:r>
              <w:t xml:space="preserve">29</w:t>
            </w:r>
          </w:p>
        </w:tc>
      </w:tr>
    </w:tbl>
    <w:p>
      <w:r>
        <w:br w:type="page"/>
      </w:r>
    </w:p>
    <w:p>
      <w:pPr>
        <w:spacing w:after="140" w:before="240"/>
        <w:jc w:val="center"/>
      </w:pPr>
      <w:r>
        <w:rPr>
          <w:rFonts w:ascii="Calibri" w:cs="Calibri" w:eastAsia="Calibri" w:hAnsi="Calibri"/>
          <w:b/>
          <w:bCs/>
          <w:color w:val="000000"/>
          <w:sz w:val="28"/>
          <w:szCs w:val="28"/>
        </w:rPr>
        <w:t xml:space="preserve">CHAPTER 1: INTRODUCTION &amp; PROBLEM DEFINITION</w:t>
      </w:r>
    </w:p>
    <w:p>
      <w:pPr>
        <w:spacing w:after="80" w:before="180"/>
        <w:jc w:val="left"/>
      </w:pPr>
      <w:r>
        <w:rPr>
          <w:rFonts w:ascii="Calibri" w:cs="Calibri" w:eastAsia="Calibri" w:hAnsi="Calibri"/>
          <w:b/>
          <w:bCs/>
          <w:color w:val="000000"/>
          <w:sz w:val="24"/>
          <w:szCs w:val="24"/>
        </w:rPr>
        <w:t xml:space="preserve">1.1 Background &amp; Recruitment Automation</w:t>
      </w:r>
    </w:p>
    <w:p>
      <w:pPr>
        <w:spacing w:after="80" w:before="40" w:line="276"/>
        <w:jc w:val="both"/>
      </w:pPr>
      <w:r>
        <w:rPr>
          <w:rFonts w:ascii="Calibri" w:cs="Calibri" w:eastAsia="Calibri" w:hAnsi="Calibri"/>
          <w:sz w:val="22"/>
          <w:szCs w:val="22"/>
        </w:rPr>
        <w:t xml:space="preserve">In modern corporate talent acquisition, digital job platforms routinely attract thousands of applicants per opening. Human recruiters cannot manually review every resume without incurring severe delays and cognitive fatigue. Consequently, organizations rely heavily on automated Applicant Tracking Systems (ATS) to screen, filter, and rank inbound resumes before human interviews.</w:t>
      </w:r>
    </w:p>
    <w:p>
      <w:pPr>
        <w:spacing w:after="80" w:before="180"/>
        <w:jc w:val="left"/>
      </w:pPr>
      <w:r>
        <w:rPr>
          <w:rFonts w:ascii="Calibri" w:cs="Calibri" w:eastAsia="Calibri" w:hAnsi="Calibri"/>
          <w:b/>
          <w:bCs/>
          <w:color w:val="000000"/>
          <w:sz w:val="24"/>
          <w:szCs w:val="24"/>
        </w:rPr>
        <w:t xml:space="preserve">1.2 Limitations of Classical Keyword ATS</w:t>
      </w:r>
    </w:p>
    <w:p>
      <w:pPr>
        <w:spacing w:after="80" w:before="40" w:line="276"/>
        <w:jc w:val="both"/>
      </w:pPr>
      <w:r>
        <w:rPr>
          <w:rFonts w:ascii="Calibri" w:cs="Calibri" w:eastAsia="Calibri" w:hAnsi="Calibri"/>
          <w:sz w:val="22"/>
          <w:szCs w:val="22"/>
        </w:rPr>
        <w:t xml:space="preserve">Prevailing ATS platforms rely primarily on basic lexical keyword matching (Boolean search, Bag-of-Words, or TF-IDF). This creates two critical failure modes:</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Vocabulary Mismatch Bottleneck: </w:t>
      </w:r>
      <w:r>
        <w:rPr>
          <w:rFonts w:ascii="Calibri" w:cs="Calibri" w:eastAsia="Calibri" w:hAnsi="Calibri"/>
          <w:sz w:val="22"/>
          <w:szCs w:val="22"/>
        </w:rPr>
        <w:t xml:space="preserve">A candidate with extensive experience in 'distributed cloud infrastructure' may be rejected if the job posting explicitly specifies 'AWS DevOps', despite having identical technical capability.</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Susceptibility to Keyword Manipulation: </w:t>
      </w:r>
      <w:r>
        <w:rPr>
          <w:rFonts w:ascii="Calibri" w:cs="Calibri" w:eastAsia="Calibri" w:hAnsi="Calibri"/>
          <w:sz w:val="22"/>
          <w:szCs w:val="22"/>
        </w:rPr>
        <w:t xml:space="preserve">Unqualified candidates game the system by stuffing trending buzzwords into hidden resume text blocks or repeating keywords, artificially boosting their TF-IDF scores.</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Context Blindness: </w:t>
      </w:r>
      <w:r>
        <w:rPr>
          <w:rFonts w:ascii="Calibri" w:cs="Calibri" w:eastAsia="Calibri" w:hAnsi="Calibri"/>
          <w:sz w:val="22"/>
          <w:szCs w:val="22"/>
        </w:rPr>
        <w:t xml:space="preserve">Keywords appearing in an applicant's hobbies or casual mentions are treated identically to those representing 5 years of verified production engineering.</w:t>
      </w:r>
    </w:p>
    <w:p>
      <w:pPr>
        <w:spacing w:after="80" w:before="180"/>
        <w:jc w:val="left"/>
      </w:pPr>
      <w:r>
        <w:rPr>
          <w:rFonts w:ascii="Calibri" w:cs="Calibri" w:eastAsia="Calibri" w:hAnsi="Calibri"/>
          <w:b/>
          <w:bCs/>
          <w:color w:val="000000"/>
          <w:sz w:val="24"/>
          <w:szCs w:val="24"/>
        </w:rPr>
        <w:t xml:space="preserve">1.3 Project Purpose &amp; Core Objectives</w:t>
      </w:r>
    </w:p>
    <w:p>
      <w:pPr>
        <w:spacing w:after="80" w:before="40" w:line="276"/>
        <w:jc w:val="both"/>
      </w:pPr>
      <w:r>
        <w:rPr>
          <w:rFonts w:ascii="Calibri" w:cs="Calibri" w:eastAsia="Calibri" w:hAnsi="Calibri"/>
          <w:sz w:val="22"/>
          <w:szCs w:val="22"/>
        </w:rPr>
        <w:t xml:space="preserve">This mini-project aims to construct an authentic, research-grade NLP matching engine that balances semantic comprehension with strict technical verification.</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Objective 1: </w:t>
      </w:r>
      <w:r>
        <w:rPr>
          <w:rFonts w:ascii="Calibri" w:cs="Calibri" w:eastAsia="Calibri" w:hAnsi="Calibri"/>
          <w:sz w:val="22"/>
          <w:szCs w:val="22"/>
        </w:rPr>
        <w:t xml:space="preserve">Implement robust lexical baselines using Sub-linear TF-IDF and Okapi BM25.</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Objective 2: </w:t>
      </w:r>
      <w:r>
        <w:rPr>
          <w:rFonts w:ascii="Calibri" w:cs="Calibri" w:eastAsia="Calibri" w:hAnsi="Calibri"/>
          <w:sz w:val="22"/>
          <w:szCs w:val="22"/>
        </w:rPr>
        <w:t xml:space="preserve">Integrate Sentence-BERT dense embeddings with section weighting to capture contextual meaning.</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Objective 3: </w:t>
      </w:r>
      <w:r>
        <w:rPr>
          <w:rFonts w:ascii="Calibri" w:cs="Calibri" w:eastAsia="Calibri" w:hAnsi="Calibri"/>
          <w:sz w:val="22"/>
          <w:szCs w:val="22"/>
        </w:rPr>
        <w:t xml:space="preserve">Incorporate explicit taxonomic skill extraction and gap diagnostics across 314+ multi-word competencies.</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Objective 4: </w:t>
      </w:r>
      <w:r>
        <w:rPr>
          <w:rFonts w:ascii="Calibri" w:cs="Calibri" w:eastAsia="Calibri" w:hAnsi="Calibri"/>
          <w:sz w:val="22"/>
          <w:szCs w:val="22"/>
        </w:rPr>
        <w:t xml:space="preserve">Benchmark the hybrid system on Information Retrieval metrics (P@K, R@K, MRR, NDCG@K) across 44 benchmark positions in 10 diverse sectors.</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Objective 5: </w:t>
      </w:r>
      <w:r>
        <w:rPr>
          <w:rFonts w:ascii="Calibri" w:cs="Calibri" w:eastAsia="Calibri" w:hAnsi="Calibri"/>
          <w:sz w:val="22"/>
          <w:szCs w:val="22"/>
        </w:rPr>
        <w:t xml:space="preserve">Deploy an interactive keystroke discovery search engine and private client-side ATS calibration tool.</w:t>
      </w:r>
    </w:p>
    <w:p>
      <w:pPr>
        <w:spacing w:after="80" w:before="180"/>
        <w:jc w:val="left"/>
      </w:pPr>
      <w:r>
        <w:rPr>
          <w:rFonts w:ascii="Calibri" w:cs="Calibri" w:eastAsia="Calibri" w:hAnsi="Calibri"/>
          <w:b/>
          <w:bCs/>
          <w:color w:val="000000"/>
          <w:sz w:val="24"/>
          <w:szCs w:val="24"/>
        </w:rPr>
        <w:t xml:space="preserve">1.4 Scope and Key Contributions</w:t>
      </w:r>
    </w:p>
    <w:p>
      <w:pPr>
        <w:spacing w:after="80" w:before="40" w:line="276"/>
        <w:jc w:val="both"/>
      </w:pPr>
      <w:r>
        <w:rPr>
          <w:rFonts w:ascii="Calibri" w:cs="Calibri" w:eastAsia="Calibri" w:hAnsi="Calibri"/>
          <w:sz w:val="22"/>
          <w:szCs w:val="22"/>
        </w:rPr>
        <w:t xml:space="preserve">The project delivers a fully modular, reproducible Python codebase, a curated real-world benchmark dataset spanning 10 core engineering and corporate domains (44 benchmark roles, 26 candidate profiles), comprehensive empirical evaluation tables, an interactive production web application, and an IEEE-compliant research paper.</w:t>
      </w:r>
    </w:p>
    <w:p>
      <w:r>
        <w:br w:type="page"/>
      </w:r>
    </w:p>
    <w:p>
      <w:pPr>
        <w:spacing w:after="140" w:before="240"/>
        <w:jc w:val="center"/>
      </w:pPr>
      <w:r>
        <w:rPr>
          <w:rFonts w:ascii="Calibri" w:cs="Calibri" w:eastAsia="Calibri" w:hAnsi="Calibri"/>
          <w:b/>
          <w:bCs/>
          <w:color w:val="000000"/>
          <w:sz w:val="28"/>
          <w:szCs w:val="28"/>
        </w:rPr>
        <w:t xml:space="preserve">CHAPTER 2: LITERATURE SURVEY &amp; THEORETICAL FOUNDATIONS</w:t>
      </w:r>
    </w:p>
    <w:p>
      <w:pPr>
        <w:spacing w:after="80" w:before="180"/>
        <w:jc w:val="left"/>
      </w:pPr>
      <w:r>
        <w:rPr>
          <w:rFonts w:ascii="Calibri" w:cs="Calibri" w:eastAsia="Calibri" w:hAnsi="Calibri"/>
          <w:b/>
          <w:bCs/>
          <w:color w:val="000000"/>
          <w:sz w:val="24"/>
          <w:szCs w:val="24"/>
        </w:rPr>
        <w:t xml:space="preserve">2.1 Classical Vector Space Model (TF-IDF)</w:t>
      </w:r>
    </w:p>
    <w:p>
      <w:pPr>
        <w:spacing w:after="80" w:before="40" w:line="276"/>
        <w:jc w:val="both"/>
      </w:pPr>
      <w:r>
        <w:rPr>
          <w:rFonts w:ascii="Calibri" w:cs="Calibri" w:eastAsia="Calibri" w:hAnsi="Calibri"/>
          <w:sz w:val="22"/>
          <w:szCs w:val="22"/>
        </w:rPr>
        <w:t xml:space="preserve">Salton et al. (1975) introduced the Vector Space Model (VSM), where documents are represented as high-dimensional sparse vectors in a shared vocabulary space. Term Frequency-Inverse Document Frequency (TF-IDF) weights terms by their local frequency while discounting collection-wide frequent words:</w:t>
      </w:r>
    </w:p>
    <w:p>
      <w:pPr>
        <w:spacing w:after="100" w:before="100"/>
        <w:jc w:val="center"/>
      </w:pPr>
      <w:r>
        <w:rPr>
          <w:rFonts w:ascii="Calibri" w:cs="Calibri" w:eastAsia="Calibri" w:hAnsi="Calibri"/>
          <w:b/>
          <w:bCs/>
          <w:i/>
          <w:iCs/>
          <w:sz w:val="22"/>
          <w:szCs w:val="22"/>
        </w:rPr>
        <w:t xml:space="preserve">TF-IDF(t, d, D) = (1 + log(f_{t, d})) · log((|D| + 1) / (DF_t + 1) + 1)</w:t>
      </w:r>
    </w:p>
    <w:p>
      <w:pPr>
        <w:spacing w:after="80" w:before="40" w:line="276"/>
        <w:jc w:val="both"/>
      </w:pPr>
      <w:r>
        <w:rPr>
          <w:rFonts w:ascii="Calibri" w:cs="Calibri" w:eastAsia="Calibri" w:hAnsi="Calibri"/>
          <w:sz w:val="22"/>
          <w:szCs w:val="22"/>
        </w:rPr>
        <w:t xml:space="preserve">Cosine similarity between candidate vector R and job vector JD computes lexical overlap. However, TF-IDF assumes complete term independence and provides zero semantic generalization.</w:t>
      </w:r>
    </w:p>
    <w:p>
      <w:pPr>
        <w:spacing w:after="80" w:before="180"/>
        <w:jc w:val="left"/>
      </w:pPr>
      <w:r>
        <w:rPr>
          <w:rFonts w:ascii="Calibri" w:cs="Calibri" w:eastAsia="Calibri" w:hAnsi="Calibri"/>
          <w:b/>
          <w:bCs/>
          <w:color w:val="000000"/>
          <w:sz w:val="24"/>
          <w:szCs w:val="24"/>
        </w:rPr>
        <w:t xml:space="preserve">2.2 Okapi BM25 Probabilistic Ranking</w:t>
      </w:r>
    </w:p>
    <w:p>
      <w:pPr>
        <w:spacing w:after="80" w:before="40" w:line="276"/>
        <w:jc w:val="both"/>
      </w:pPr>
      <w:r>
        <w:rPr>
          <w:rFonts w:ascii="Calibri" w:cs="Calibri" w:eastAsia="Calibri" w:hAnsi="Calibri"/>
          <w:sz w:val="22"/>
          <w:szCs w:val="22"/>
        </w:rPr>
        <w:t xml:space="preserve">Robertson and Zaragoza (2009) developed Okapi BM25, introducing non-linear term saturation and document length normalization:</w:t>
      </w:r>
    </w:p>
    <w:p>
      <w:pPr>
        <w:spacing w:after="100" w:before="100"/>
        <w:jc w:val="center"/>
      </w:pPr>
      <w:r>
        <w:rPr>
          <w:rFonts w:ascii="Calibri" w:cs="Calibri" w:eastAsia="Calibri" w:hAnsi="Calibri"/>
          <w:b/>
          <w:bCs/>
          <w:i/>
          <w:iCs/>
          <w:sz w:val="22"/>
          <w:szCs w:val="22"/>
        </w:rPr>
        <w:t xml:space="preserve">BM25(D, Q) = ∑ IDF(q_i) · [f(q_i, D) · (k1 + 1)] / [f(q_i, D) + k1 · (1 - b + b · (|D| / avgdl))]</w:t>
      </w:r>
    </w:p>
    <w:p>
      <w:pPr>
        <w:spacing w:after="80" w:before="40" w:line="276"/>
        <w:jc w:val="both"/>
      </w:pPr>
      <w:r>
        <w:rPr>
          <w:rFonts w:ascii="Calibri" w:cs="Calibri" w:eastAsia="Calibri" w:hAnsi="Calibri"/>
          <w:sz w:val="22"/>
          <w:szCs w:val="22"/>
        </w:rPr>
        <w:t xml:space="preserve">BM25 prevents long resumes from unfairly dominating rankings simply due to word count. However, it still fails to bridge semantic synonymy.</w:t>
      </w:r>
    </w:p>
    <w:p>
      <w:pPr>
        <w:spacing w:after="80" w:before="180"/>
        <w:jc w:val="left"/>
      </w:pPr>
      <w:r>
        <w:rPr>
          <w:rFonts w:ascii="Calibri" w:cs="Calibri" w:eastAsia="Calibri" w:hAnsi="Calibri"/>
          <w:b/>
          <w:bCs/>
          <w:color w:val="000000"/>
          <w:sz w:val="24"/>
          <w:szCs w:val="24"/>
        </w:rPr>
        <w:t xml:space="preserve">2.3 Contextual Dense Embeddings (BERT &amp; SBERT)</w:t>
      </w:r>
    </w:p>
    <w:p>
      <w:pPr>
        <w:spacing w:after="80" w:before="40" w:line="276"/>
        <w:jc w:val="both"/>
      </w:pPr>
      <w:r>
        <w:rPr>
          <w:rFonts w:ascii="Calibri" w:cs="Calibri" w:eastAsia="Calibri" w:hAnsi="Calibri"/>
          <w:sz w:val="22"/>
          <w:szCs w:val="22"/>
        </w:rPr>
        <w:t xml:space="preserve">Devlin et al. (2018) introduced BERT, using bidirectional self-attention to generate context-dependent representations. However, pairwise cross-encoder inference for large candidate databases is computationally prohibitive (O(M × N)). Reimers &amp; Gurevych (2019) solved this with Sentence-BERT (SBERT), training Siamese networks to generate 384-dimensional dense vectors that compute cosine similarity in milliseconds:</w:t>
      </w:r>
    </w:p>
    <w:p>
      <w:pPr>
        <w:spacing w:after="100" w:before="100"/>
        <w:jc w:val="center"/>
      </w:pPr>
      <w:r>
        <w:rPr>
          <w:rFonts w:ascii="Calibri" w:cs="Calibri" w:eastAsia="Calibri" w:hAnsi="Calibri"/>
          <w:b/>
          <w:bCs/>
          <w:i/>
          <w:iCs/>
          <w:sz w:val="22"/>
          <w:szCs w:val="22"/>
        </w:rPr>
        <w:t xml:space="preserve">Sim_dense(u, v) = (u · v) / (||u||_2 · ||v||_2)</w:t>
      </w:r>
    </w:p>
    <w:p>
      <w:pPr>
        <w:spacing w:after="80" w:before="180"/>
        <w:jc w:val="left"/>
      </w:pPr>
      <w:r>
        <w:rPr>
          <w:rFonts w:ascii="Calibri" w:cs="Calibri" w:eastAsia="Calibri" w:hAnsi="Calibri"/>
          <w:b/>
          <w:bCs/>
          <w:color w:val="000000"/>
          <w:sz w:val="24"/>
          <w:szCs w:val="24"/>
        </w:rPr>
        <w:t xml:space="preserve">2.4 Comparative Summary of Literature</w:t>
      </w:r>
    </w:p>
    <w:p>
      <w:pPr>
        <w:spacing w:after="80" w:before="40" w:line="276"/>
        <w:jc w:val="both"/>
      </w:pPr>
      <w:r>
        <w:rPr>
          <w:rFonts w:ascii="Calibri" w:cs="Calibri" w:eastAsia="Calibri" w:hAnsi="Calibri"/>
          <w:sz w:val="22"/>
          <w:szCs w:val="22"/>
        </w:rPr>
        <w:t xml:space="preserve">Table 2.1 summarizes the strengths and limitations of prevailing matching paradigms.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8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Paradigm</w:t>
            </w:r>
          </w:p>
        </w:tc>
        <w:tc>
          <w:tcPr>
            <w:tcW w:type="dxa" w:w="24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Key Advantage</w:t>
            </w:r>
          </w:p>
        </w:tc>
        <w:tc>
          <w:tcPr>
            <w:tcW w:type="dxa" w:w="2826"/>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Primary Bottleneck</w:t>
            </w:r>
          </w:p>
        </w:tc>
        <w:tc>
          <w:tcPr>
            <w:tcW w:type="dxa" w:w="20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Recruitment Fit</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TF-IDF</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Sub-millisecond latency, exact terms</w:t>
            </w:r>
          </w:p>
        </w:tc>
        <w:tc>
          <w:tcPr>
            <w:tcW w:type="dxa" w:w="2826"/>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Zero synonym generalization</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Poor (High False Negatives)</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Okapi BM25</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Length-normalized, robust lexical</w:t>
            </w:r>
          </w:p>
        </w:tc>
        <w:tc>
          <w:tcPr>
            <w:tcW w:type="dxa" w:w="2826"/>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Vocabulary mismatch bottleneck</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Fair baseline</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Static Word2Vec</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Captures word analogies</w:t>
            </w:r>
          </w:p>
        </w:tc>
        <w:tc>
          <w:tcPr>
            <w:tcW w:type="dxa" w:w="2826"/>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Polysemy, out-of-vocabulary terms</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Moderate</w:t>
            </w:r>
          </w:p>
        </w:tc>
      </w:tr>
      <w:tr>
        <w:tc>
          <w:tcPr>
            <w:tcW w:type="dxa" w:w="18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Dense SBERT</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Deep contextual understanding</w:t>
            </w:r>
          </w:p>
        </w:tc>
        <w:tc>
          <w:tcPr>
            <w:tcW w:type="dxa" w:w="2826"/>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Keyword dilution, no hard constraints</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Good (Needs skill grounding)</w:t>
            </w:r>
          </w:p>
        </w:tc>
      </w:tr>
      <w:tr>
        <w:tc>
          <w:tcPr>
            <w:tcW w:type="dxa" w:w="18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Proposed Hybrid</w:t>
            </w:r>
          </w:p>
        </w:tc>
        <w:tc>
          <w:tcPr>
            <w:tcW w:type="dxa" w:w="24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Combines semantic, lexical &amp; skills</w:t>
            </w:r>
          </w:p>
        </w:tc>
        <w:tc>
          <w:tcPr>
            <w:tcW w:type="dxa" w:w="2826"/>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Negligible computation (2.81 ms)</w:t>
            </w:r>
          </w:p>
        </w:tc>
        <w:tc>
          <w:tcPr>
            <w:tcW w:type="dxa" w:w="20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Superior (High precision &amp; recall)</w:t>
            </w:r>
          </w:p>
        </w:tc>
      </w:tr>
    </w:tbl>
    <w:p>
      <w:r>
        <w:br w:type="page"/>
      </w:r>
    </w:p>
    <w:p>
      <w:pPr>
        <w:spacing w:after="140" w:before="240"/>
        <w:jc w:val="center"/>
      </w:pPr>
      <w:r>
        <w:rPr>
          <w:rFonts w:ascii="Calibri" w:cs="Calibri" w:eastAsia="Calibri" w:hAnsi="Calibri"/>
          <w:b/>
          <w:bCs/>
          <w:color w:val="000000"/>
          <w:sz w:val="28"/>
          <w:szCs w:val="28"/>
        </w:rPr>
        <w:t xml:space="preserve">CHAPTER 3: DATASET COLLECTION &amp; PREPROCESSING PIPELINE</w:t>
      </w:r>
    </w:p>
    <w:p>
      <w:pPr>
        <w:spacing w:after="80" w:before="180"/>
        <w:jc w:val="left"/>
      </w:pPr>
      <w:r>
        <w:rPr>
          <w:rFonts w:ascii="Calibri" w:cs="Calibri" w:eastAsia="Calibri" w:hAnsi="Calibri"/>
          <w:b/>
          <w:bCs/>
          <w:color w:val="000000"/>
          <w:sz w:val="24"/>
          <w:szCs w:val="24"/>
        </w:rPr>
        <w:t xml:space="preserve">3.1 Benchmark Dataset Characteristics (44 Roles, 10 Sectors)</w:t>
      </w:r>
    </w:p>
    <w:p>
      <w:pPr>
        <w:spacing w:after="80" w:before="40" w:line="276"/>
        <w:jc w:val="both"/>
      </w:pPr>
      <w:r>
        <w:rPr>
          <w:rFonts w:ascii="Calibri" w:cs="Calibri" w:eastAsia="Calibri" w:hAnsi="Calibri"/>
          <w:sz w:val="22"/>
          <w:szCs w:val="22"/>
        </w:rPr>
        <w:t xml:space="preserve">To avoid artificial toy examples and validate generalizability across modern enterprise operations, our benchmark corpus incorporates 44 benchmark job specifications across 10 distinct industry sectors and 26 verified candidate resumes. The sector distribution encompasses:</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Computer Science, Software &amp; AI: </w:t>
      </w:r>
      <w:r>
        <w:rPr>
          <w:rFonts w:ascii="Calibri" w:cs="Calibri" w:eastAsia="Calibri" w:hAnsi="Calibri"/>
          <w:sz w:val="22"/>
          <w:szCs w:val="22"/>
        </w:rPr>
        <w:t xml:space="preserve">19 positions (Full-Stack, Backend, Frontend, Cloud/DevOps, SRE, Cybersecurity, Data Engineering, NLP Engineer, Computer Vision, MLOps, Mobile, QA, Blockchain, Solutions Architect).</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Mechanical Engineering: </w:t>
      </w:r>
      <w:r>
        <w:rPr>
          <w:rFonts w:ascii="Calibri" w:cs="Calibri" w:eastAsia="Calibri" w:hAnsi="Calibri"/>
          <w:sz w:val="22"/>
          <w:szCs w:val="22"/>
        </w:rPr>
        <w:t xml:space="preserve">4 positions (CAD/FEA Design, Thermal HVAC, Automotive Powertrain, Robotics &amp; Mechatronics).</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Civil &amp; Structural Engineering: </w:t>
      </w:r>
      <w:r>
        <w:rPr>
          <w:rFonts w:ascii="Calibri" w:cs="Calibri" w:eastAsia="Calibri" w:hAnsi="Calibri"/>
          <w:sz w:val="22"/>
          <w:szCs w:val="22"/>
        </w:rPr>
        <w:t xml:space="preserve">4 positions (Structural RCC Design, Geotechnical, Highway &amp; Transportation, BIM Project Manager).</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Electrical &amp; Electronics Engineering: </w:t>
      </w:r>
      <w:r>
        <w:rPr>
          <w:rFonts w:ascii="Calibri" w:cs="Calibri" w:eastAsia="Calibri" w:hAnsi="Calibri"/>
          <w:sz w:val="22"/>
          <w:szCs w:val="22"/>
        </w:rPr>
        <w:t xml:space="preserve">3 positions (Embedded Firmware IoT, Power Systems Grid, VLSI ASIC Design).</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Chemical &amp; Biotech Engineering: </w:t>
      </w:r>
      <w:r>
        <w:rPr>
          <w:rFonts w:ascii="Calibri" w:cs="Calibri" w:eastAsia="Calibri" w:hAnsi="Calibri"/>
          <w:sz w:val="22"/>
          <w:szCs w:val="22"/>
        </w:rPr>
        <w:t xml:space="preserve">2 positions (Process Chemical Design, Bioprocess Fermentation Scientist).</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Commerce, CA &amp; Accounting: </w:t>
      </w:r>
      <w:r>
        <w:rPr>
          <w:rFonts w:ascii="Calibri" w:cs="Calibri" w:eastAsia="Calibri" w:hAnsi="Calibri"/>
          <w:sz w:val="22"/>
          <w:szCs w:val="22"/>
        </w:rPr>
        <w:t xml:space="preserve">3 positions (Chartered Accountant Senior Auditor, GST Tax Consultant, FP&amp;A Controller).</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Finance, Banking &amp; Investment: </w:t>
      </w:r>
      <w:r>
        <w:rPr>
          <w:rFonts w:ascii="Calibri" w:cs="Calibri" w:eastAsia="Calibri" w:hAnsi="Calibri"/>
          <w:sz w:val="22"/>
          <w:szCs w:val="22"/>
        </w:rPr>
        <w:t xml:space="preserve">3 positions (Equity Research Analyst, Investment Banking Associate, Risk &amp; Credit Underwriter).</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Human Resources &amp; Operations: </w:t>
      </w:r>
      <w:r>
        <w:rPr>
          <w:rFonts w:ascii="Calibri" w:cs="Calibri" w:eastAsia="Calibri" w:hAnsi="Calibri"/>
          <w:sz w:val="22"/>
          <w:szCs w:val="22"/>
        </w:rPr>
        <w:t xml:space="preserve">3 positions (Talent Acquisition Specialist, HR Business Partner, Supply Chain Logistics Manager).</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Marketing, Growth &amp; Sales: </w:t>
      </w:r>
      <w:r>
        <w:rPr>
          <w:rFonts w:ascii="Calibri" w:cs="Calibri" w:eastAsia="Calibri" w:hAnsi="Calibri"/>
          <w:sz w:val="22"/>
          <w:szCs w:val="22"/>
        </w:rPr>
        <w:t xml:space="preserve">2 positions (Digital Growth Strategist, B2B Enterprise Account Executive).</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Corporate Legal &amp; Compliance: </w:t>
      </w:r>
      <w:r>
        <w:rPr>
          <w:rFonts w:ascii="Calibri" w:cs="Calibri" w:eastAsia="Calibri" w:hAnsi="Calibri"/>
          <w:sz w:val="22"/>
          <w:szCs w:val="22"/>
        </w:rPr>
        <w:t xml:space="preserve">1 position (Corporate Legal Counsel &amp; Compliance Officer).</w:t>
      </w:r>
    </w:p>
    <w:p>
      <w:pPr>
        <w:spacing w:after="80" w:before="40" w:line="276"/>
        <w:jc w:val="both"/>
      </w:pPr>
      <w:r>
        <w:rPr>
          <w:rFonts w:ascii="Calibri" w:cs="Calibri" w:eastAsia="Calibri" w:hAnsi="Calibri"/>
          <w:sz w:val="22"/>
          <w:szCs w:val="22"/>
        </w:rPr>
        <w:t xml:space="preserve">The candidate pool consists of 26 curated profiles reflecting junior to senior tiers, career transitions, academic synonym divergence, and a dedicated adversarial keyword spammer (RES_CORRUPT_01). Ground-truth relevance annotations (0 = Irrelevant, 1 = Marginal, 2 = Strong, 3 = Exact Role Fit) were established by industry hiring managers across each domain.</w:t>
      </w:r>
    </w:p>
    <w:p>
      <w:pPr>
        <w:spacing w:after="80" w:before="180"/>
        <w:jc w:val="left"/>
      </w:pPr>
      <w:r>
        <w:rPr>
          <w:rFonts w:ascii="Calibri" w:cs="Calibri" w:eastAsia="Calibri" w:hAnsi="Calibri"/>
          <w:b/>
          <w:bCs/>
          <w:color w:val="000000"/>
          <w:sz w:val="24"/>
          <w:szCs w:val="24"/>
        </w:rPr>
        <w:t xml:space="preserve">3.2 PII Redaction for Algorithmic Fairness</w:t>
      </w:r>
    </w:p>
    <w:p>
      <w:pPr>
        <w:spacing w:after="80" w:before="40" w:line="276"/>
        <w:jc w:val="both"/>
      </w:pPr>
      <w:r>
        <w:rPr>
          <w:rFonts w:ascii="Calibri" w:cs="Calibri" w:eastAsia="Calibri" w:hAnsi="Calibri"/>
          <w:sz w:val="22"/>
          <w:szCs w:val="22"/>
        </w:rPr>
        <w:t xml:space="preserve">To eliminate demographic bias and ensure GDPR/DPDP compliance, deterministic regex filters redact sensitive personally identifiable information:</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Email Addresses: </w:t>
      </w:r>
      <w:r>
        <w:rPr>
          <w:rFonts w:ascii="Calibri" w:cs="Calibri" w:eastAsia="Calibri" w:hAnsi="Calibri"/>
          <w:sz w:val="22"/>
          <w:szCs w:val="22"/>
        </w:rPr>
        <w:t xml:space="preserve">Masked with [EMAIL]</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Phone Numbers: </w:t>
      </w:r>
      <w:r>
        <w:rPr>
          <w:rFonts w:ascii="Calibri" w:cs="Calibri" w:eastAsia="Calibri" w:hAnsi="Calibri"/>
          <w:sz w:val="22"/>
          <w:szCs w:val="22"/>
        </w:rPr>
        <w:t xml:space="preserve">Masked with [PHONE]</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Hyperlinks / URLs: </w:t>
      </w:r>
      <w:r>
        <w:rPr>
          <w:rFonts w:ascii="Calibri" w:cs="Calibri" w:eastAsia="Calibri" w:hAnsi="Calibri"/>
          <w:sz w:val="22"/>
          <w:szCs w:val="22"/>
        </w:rPr>
        <w:t xml:space="preserve">Masked with [URL]</w:t>
      </w:r>
    </w:p>
    <w:p>
      <w:pPr>
        <w:spacing w:after="80" w:before="180"/>
        <w:jc w:val="left"/>
      </w:pPr>
      <w:r>
        <w:rPr>
          <w:rFonts w:ascii="Calibri" w:cs="Calibri" w:eastAsia="Calibri" w:hAnsi="Calibri"/>
          <w:b/>
          <w:bCs/>
          <w:color w:val="000000"/>
          <w:sz w:val="24"/>
          <w:szCs w:val="24"/>
        </w:rPr>
        <w:t xml:space="preserve">3.3 Section Segmentation &amp; Tokenization</w:t>
      </w:r>
    </w:p>
    <w:p>
      <w:pPr>
        <w:spacing w:after="80" w:before="40" w:line="276"/>
        <w:jc w:val="both"/>
      </w:pPr>
      <w:r>
        <w:rPr>
          <w:rFonts w:ascii="Calibri" w:cs="Calibri" w:eastAsia="Calibri" w:hAnsi="Calibri"/>
          <w:sz w:val="22"/>
          <w:szCs w:val="22"/>
        </w:rPr>
        <w:t xml:space="preserve">Resumes are automatically partitioned into functional sections: Professional Summary, Technical Skills, Professional Experience, and Academic Projects. Domain-preserving tokenization protects specialized tokens like 'c++', 'c#', 'node.js', 'r', 'go', 'staad.pro', and 'cad/cam'.</w:t>
      </w:r>
    </w:p>
    <w:p>
      <w:pPr>
        <w:spacing w:after="80" w:before="180"/>
        <w:jc w:val="left"/>
      </w:pPr>
      <w:r>
        <w:rPr>
          <w:rFonts w:ascii="Calibri" w:cs="Calibri" w:eastAsia="Calibri" w:hAnsi="Calibri"/>
          <w:b/>
          <w:bCs/>
          <w:color w:val="000000"/>
          <w:sz w:val="24"/>
          <w:szCs w:val="24"/>
        </w:rPr>
        <w:t xml:space="preserve">3.4 Cross-Discipline Taxonomic Competency Taxonomy (314+ Skills)</w:t>
      </w:r>
    </w:p>
    <w:p>
      <w:pPr>
        <w:spacing w:after="80" w:before="40" w:line="276"/>
        <w:jc w:val="both"/>
      </w:pPr>
      <w:r>
        <w:rPr>
          <w:rFonts w:ascii="Calibri" w:cs="Calibri" w:eastAsia="Calibri" w:hAnsi="Calibri"/>
          <w:sz w:val="22"/>
          <w:szCs w:val="22"/>
        </w:rPr>
        <w:t xml:space="preserve">A structured taxonomy comprising 314+ standardized multi-word technical and professional competencies categorizes skills across all 10 domain sectors: Programming Languages, Machine Learning &amp; AI, Web Frameworks, Cloud &amp; DevOps, Databases, Mechanical CAD/FEA, Civil &amp; Structural Design, Electrical Embedded Systems, Chemical Unit Operations, Commerce &amp; CA Taxation, Finance &amp; Investment, Human Resources, Digital Marketing, and Corporate Legal Compliance. The taxonomy enforces multi-word boundary matching (e.g., 'Financial Modeling', 'Finite Element Analysis', 'Statutory Audit') to prevent ambiguous substring collisions.</w:t>
      </w:r>
    </w:p>
    <w:p>
      <w:pPr>
        <w:spacing w:after="80" w:before="180"/>
        <w:jc w:val="left"/>
      </w:pPr>
      <w:r>
        <w:rPr>
          <w:rFonts w:ascii="Calibri" w:cs="Calibri" w:eastAsia="Calibri" w:hAnsi="Calibri"/>
          <w:b/>
          <w:bCs/>
          <w:color w:val="000000"/>
          <w:sz w:val="24"/>
          <w:szCs w:val="24"/>
        </w:rPr>
        <w:t xml:space="preserve">3.5 Client-Side Privacy-Preserving Document Ingestion</w:t>
      </w:r>
    </w:p>
    <w:p>
      <w:pPr>
        <w:spacing w:after="80" w:before="40" w:line="276"/>
        <w:jc w:val="both"/>
      </w:pPr>
      <w:r>
        <w:rPr>
          <w:rFonts w:ascii="Calibri" w:cs="Calibri" w:eastAsia="Calibri" w:hAnsi="Calibri"/>
          <w:sz w:val="22"/>
          <w:szCs w:val="22"/>
        </w:rPr>
        <w:t xml:space="preserve">In production enterprise environments, candidate resumes frequently contain confidential employment history and personal data. To preserve candidate data privacy and achieve zero server-side data retention, document ingestion executes entirely in-browser. A web worker utilizing PDF.js extracts text streams from PDF files, while Mammoth.js parses DOCX OpenXML formats locally on the client machine. The extracted raw text is then piped directly into the local NLP feature extraction engine without transiting external servers or third-party APIs.</w:t>
      </w:r>
    </w:p>
    <w:p>
      <w:r>
        <w:br w:type="page"/>
      </w:r>
    </w:p>
    <w:p>
      <w:pPr>
        <w:spacing w:after="140" w:before="240"/>
        <w:jc w:val="center"/>
      </w:pPr>
      <w:r>
        <w:rPr>
          <w:rFonts w:ascii="Calibri" w:cs="Calibri" w:eastAsia="Calibri" w:hAnsi="Calibri"/>
          <w:b/>
          <w:bCs/>
          <w:color w:val="000000"/>
          <w:sz w:val="28"/>
          <w:szCs w:val="28"/>
        </w:rPr>
        <w:t xml:space="preserve">CHAPTER 4: SYSTEM ARCHITECTURE &amp; PROPOSED METHODOLOGY</w:t>
      </w:r>
    </w:p>
    <w:p>
      <w:pPr>
        <w:spacing w:after="80" w:before="180"/>
        <w:jc w:val="left"/>
      </w:pPr>
      <w:r>
        <w:rPr>
          <w:rFonts w:ascii="Calibri" w:cs="Calibri" w:eastAsia="Calibri" w:hAnsi="Calibri"/>
          <w:b/>
          <w:bCs/>
          <w:color w:val="000000"/>
          <w:sz w:val="24"/>
          <w:szCs w:val="24"/>
        </w:rPr>
        <w:t xml:space="preserve">4.1 End-to-End System Pipeline</w:t>
      </w:r>
    </w:p>
    <w:p>
      <w:pPr>
        <w:spacing w:after="80" w:before="40" w:line="276"/>
        <w:jc w:val="both"/>
      </w:pPr>
      <w:r>
        <w:rPr>
          <w:rFonts w:ascii="Calibri" w:cs="Calibri" w:eastAsia="Calibri" w:hAnsi="Calibri"/>
          <w:sz w:val="22"/>
          <w:szCs w:val="22"/>
        </w:rPr>
        <w:t xml:space="preserve">The system ingests raw candidate resumes and job descriptions, parses and cleans the text, extracts explicit skills, computes dense and sparse representations, and calculates a tri-partite hybrid ranking score.</w:t>
      </w:r>
    </w:p>
    <w:p>
      <w:pPr>
        <w:spacing w:after="80" w:before="180"/>
        <w:jc w:val="left"/>
      </w:pPr>
      <w:r>
        <w:rPr>
          <w:rFonts w:ascii="Calibri" w:cs="Calibri" w:eastAsia="Calibri" w:hAnsi="Calibri"/>
          <w:b/>
          <w:bCs/>
          <w:color w:val="000000"/>
          <w:sz w:val="24"/>
          <w:szCs w:val="24"/>
        </w:rPr>
        <w:t xml:space="preserve">4.2 Baseline Retrieval Models (TF-IDF &amp; BM25)</w:t>
      </w:r>
    </w:p>
    <w:p>
      <w:pPr>
        <w:spacing w:after="80" w:before="40" w:line="276"/>
        <w:jc w:val="both"/>
      </w:pPr>
      <w:r>
        <w:rPr>
          <w:rFonts w:ascii="Calibri" w:cs="Calibri" w:eastAsia="Calibri" w:hAnsi="Calibri"/>
          <w:sz w:val="22"/>
          <w:szCs w:val="22"/>
        </w:rPr>
        <w:t xml:space="preserve">The lexical pipeline computes normalized TF-IDF cosine similarity and Okapi BM25 scores:</w:t>
      </w:r>
    </w:p>
    <w:p>
      <w:pPr>
        <w:spacing w:after="100" w:before="100"/>
        <w:jc w:val="center"/>
      </w:pPr>
      <w:r>
        <w:rPr>
          <w:rFonts w:ascii="Calibri" w:cs="Calibri" w:eastAsia="Calibri" w:hAnsi="Calibri"/>
          <w:b/>
          <w:bCs/>
          <w:i/>
          <w:iCs/>
          <w:sz w:val="22"/>
          <w:szCs w:val="22"/>
        </w:rPr>
        <w:t xml:space="preserve">S_lexical = 0.50 · S_TFIDF + 0.50 · S_BM25</w:t>
      </w:r>
    </w:p>
    <w:p>
      <w:pPr>
        <w:spacing w:after="80" w:before="180"/>
        <w:jc w:val="left"/>
      </w:pPr>
      <w:r>
        <w:rPr>
          <w:rFonts w:ascii="Calibri" w:cs="Calibri" w:eastAsia="Calibri" w:hAnsi="Calibri"/>
          <w:b/>
          <w:bCs/>
          <w:color w:val="000000"/>
          <w:sz w:val="24"/>
          <w:szCs w:val="24"/>
        </w:rPr>
        <w:t xml:space="preserve">4.3 Contextual Semantic Bi-Encoder</w:t>
      </w:r>
    </w:p>
    <w:p>
      <w:pPr>
        <w:spacing w:after="80" w:before="40" w:line="276"/>
        <w:jc w:val="both"/>
      </w:pPr>
      <w:r>
        <w:rPr>
          <w:rFonts w:ascii="Calibri" w:cs="Calibri" w:eastAsia="Calibri" w:hAnsi="Calibri"/>
          <w:sz w:val="22"/>
          <w:szCs w:val="22"/>
        </w:rPr>
        <w:t xml:space="preserve">Dense 384-dimensional embeddings are generated using Sentence-BERT (all-MiniLM-L6-v2). To prevent long-document dilution, section-weighted similarity is calculated:</w:t>
      </w:r>
    </w:p>
    <w:p>
      <w:pPr>
        <w:spacing w:after="100" w:before="100"/>
        <w:jc w:val="center"/>
      </w:pPr>
      <w:r>
        <w:rPr>
          <w:rFonts w:ascii="Calibri" w:cs="Calibri" w:eastAsia="Calibri" w:hAnsi="Calibri"/>
          <w:b/>
          <w:bCs/>
          <w:i/>
          <w:iCs/>
          <w:sz w:val="22"/>
          <w:szCs w:val="22"/>
        </w:rPr>
        <w:t xml:space="preserve">S_semantic = 0.40 · Sim(Skills) + 0.35 · Sim(Exp) + 0.15 · Sim(Projects) + 0.10 · Sim(Summary)</w:t>
      </w:r>
    </w:p>
    <w:p>
      <w:pPr>
        <w:spacing w:after="80" w:before="180"/>
        <w:jc w:val="left"/>
      </w:pPr>
      <w:r>
        <w:rPr>
          <w:rFonts w:ascii="Calibri" w:cs="Calibri" w:eastAsia="Calibri" w:hAnsi="Calibri"/>
          <w:b/>
          <w:bCs/>
          <w:color w:val="000000"/>
          <w:sz w:val="24"/>
          <w:szCs w:val="24"/>
        </w:rPr>
        <w:t xml:space="preserve">4.4 Taxonomic Skill Verification &amp; Gap Analysis</w:t>
      </w:r>
    </w:p>
    <w:p>
      <w:pPr>
        <w:spacing w:after="80" w:before="40" w:line="276"/>
        <w:jc w:val="both"/>
      </w:pPr>
      <w:r>
        <w:rPr>
          <w:rFonts w:ascii="Calibri" w:cs="Calibri" w:eastAsia="Calibri" w:hAnsi="Calibri"/>
          <w:sz w:val="22"/>
          <w:szCs w:val="22"/>
        </w:rPr>
        <w:t xml:space="preserve">Hard-skill fulfillment is calculated via required skill recall (75% weight) and preferred skill recall (25% weight):</w:t>
      </w:r>
    </w:p>
    <w:p>
      <w:pPr>
        <w:spacing w:after="100" w:before="100"/>
        <w:jc w:val="center"/>
      </w:pPr>
      <w:r>
        <w:rPr>
          <w:rFonts w:ascii="Calibri" w:cs="Calibri" w:eastAsia="Calibri" w:hAnsi="Calibri"/>
          <w:b/>
          <w:bCs/>
          <w:i/>
          <w:iCs/>
          <w:sz w:val="22"/>
          <w:szCs w:val="22"/>
        </w:rPr>
        <w:t xml:space="preserve">S_skill = 0.75 · (Matched_Req / Total_Req) + 0.25 · (Matched_Pref / Total_Pref)</w:t>
      </w:r>
    </w:p>
    <w:p>
      <w:pPr>
        <w:spacing w:after="80" w:before="180"/>
        <w:jc w:val="left"/>
      </w:pPr>
      <w:r>
        <w:rPr>
          <w:rFonts w:ascii="Calibri" w:cs="Calibri" w:eastAsia="Calibri" w:hAnsi="Calibri"/>
          <w:b/>
          <w:bCs/>
          <w:color w:val="000000"/>
          <w:sz w:val="24"/>
          <w:szCs w:val="24"/>
        </w:rPr>
        <w:t xml:space="preserve">4.5 Tri-Partite Hybrid Scoring Formulation</w:t>
      </w:r>
    </w:p>
    <w:p>
      <w:pPr>
        <w:spacing w:after="80" w:before="40" w:line="276"/>
        <w:jc w:val="both"/>
      </w:pPr>
      <w:r>
        <w:rPr>
          <w:rFonts w:ascii="Calibri" w:cs="Calibri" w:eastAsia="Calibri" w:hAnsi="Calibri"/>
          <w:sz w:val="22"/>
          <w:szCs w:val="22"/>
        </w:rPr>
        <w:t xml:space="preserve">The final composite ranking score is defined as:</w:t>
      </w:r>
    </w:p>
    <w:p>
      <w:pPr>
        <w:spacing w:after="100" w:before="100"/>
        <w:jc w:val="center"/>
      </w:pPr>
      <w:r>
        <w:rPr>
          <w:rFonts w:ascii="Calibri" w:cs="Calibri" w:eastAsia="Calibri" w:hAnsi="Calibri"/>
          <w:b/>
          <w:bCs/>
          <w:i/>
          <w:iCs/>
          <w:sz w:val="22"/>
          <w:szCs w:val="22"/>
        </w:rPr>
        <w:t xml:space="preserve">S_hybrid = α · S_semantic + β · S_lexical + γ · S_skill</w:t>
      </w:r>
    </w:p>
    <w:p>
      <w:pPr>
        <w:spacing w:after="80" w:before="40" w:line="276"/>
        <w:jc w:val="both"/>
      </w:pPr>
      <w:r>
        <w:rPr>
          <w:rFonts w:ascii="Calibri" w:cs="Calibri" w:eastAsia="Calibri" w:hAnsi="Calibri"/>
          <w:sz w:val="22"/>
          <w:szCs w:val="22"/>
        </w:rPr>
        <w:t xml:space="preserve">Calibrated optimal weights: α = 0.50, β = 0.20, γ = 0.30.</w:t>
      </w:r>
    </w:p>
    <w:p>
      <w:pPr>
        <w:spacing w:after="80" w:before="180"/>
        <w:jc w:val="left"/>
      </w:pPr>
      <w:r>
        <w:rPr>
          <w:rFonts w:ascii="Calibri" w:cs="Calibri" w:eastAsia="Calibri" w:hAnsi="Calibri"/>
          <w:b/>
          <w:bCs/>
          <w:color w:val="000000"/>
          <w:sz w:val="24"/>
          <w:szCs w:val="24"/>
        </w:rPr>
        <w:t xml:space="preserve">4.6 Interactive Keystroke Discovery &amp; Searchable Combobox</w:t>
      </w:r>
    </w:p>
    <w:p>
      <w:pPr>
        <w:spacing w:after="80" w:before="40" w:line="276"/>
        <w:jc w:val="both"/>
      </w:pPr>
      <w:r>
        <w:rPr>
          <w:rFonts w:ascii="Calibri" w:cs="Calibri" w:eastAsia="Calibri" w:hAnsi="Calibri"/>
          <w:sz w:val="22"/>
          <w:szCs w:val="22"/>
        </w:rPr>
        <w:t xml:space="preserve">To facilitate instant candidate-job exploration across the expanded 44-role corpus, the system implements an interactive discovery engine:</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Real-Time Keystroke Filtering: </w:t>
      </w:r>
      <w:r>
        <w:rPr>
          <w:rFonts w:ascii="Calibri" w:cs="Calibri" w:eastAsia="Calibri" w:hAnsi="Calibri"/>
          <w:sz w:val="22"/>
          <w:szCs w:val="22"/>
        </w:rPr>
        <w:t xml:space="preserve">A sub-millisecond prefix and fuzzy search filter responds instantly to recruiter keystrokes across role titles, descriptions, and required competencies.</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Domain Sector Categorization: </w:t>
      </w:r>
      <w:r>
        <w:rPr>
          <w:rFonts w:ascii="Calibri" w:cs="Calibri" w:eastAsia="Calibri" w:hAnsi="Calibri"/>
          <w:sz w:val="22"/>
          <w:szCs w:val="22"/>
        </w:rPr>
        <w:t xml:space="preserve">Multi-sector badges allow immediate pivoting between Engineering, Commerce, Management, and Technical disciplines.</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Searchable Combobox Controller: </w:t>
      </w:r>
      <w:r>
        <w:rPr>
          <w:rFonts w:ascii="Calibri" w:cs="Calibri" w:eastAsia="Calibri" w:hAnsi="Calibri"/>
          <w:sz w:val="22"/>
          <w:szCs w:val="22"/>
        </w:rPr>
        <w:t xml:space="preserve">An accessible, keyboard-navigable combobox component provides instant role lookup with optgroup grouping, eliminating manual dropdown scrolling.</w:t>
      </w:r>
    </w:p>
    <w:p>
      <w:pPr>
        <w:spacing w:after="80" w:before="180"/>
        <w:jc w:val="left"/>
      </w:pPr>
      <w:r>
        <w:rPr>
          <w:rFonts w:ascii="Calibri" w:cs="Calibri" w:eastAsia="Calibri" w:hAnsi="Calibri"/>
          <w:b/>
          <w:bCs/>
          <w:color w:val="000000"/>
          <w:sz w:val="24"/>
          <w:szCs w:val="24"/>
        </w:rPr>
        <w:t xml:space="preserve">4.7 Client-Side In-Browser ATS Health Calibration Engine</w:t>
      </w:r>
    </w:p>
    <w:p>
      <w:pPr>
        <w:spacing w:after="80" w:before="40" w:line="276"/>
        <w:jc w:val="both"/>
      </w:pPr>
      <w:r>
        <w:rPr>
          <w:rFonts w:ascii="Calibri" w:cs="Calibri" w:eastAsia="Calibri" w:hAnsi="Calibri"/>
          <w:sz w:val="22"/>
          <w:szCs w:val="22"/>
        </w:rPr>
        <w:t xml:space="preserve">To assist candidates in optimizing their resumes prior to submission, the platform integrates an in-browser ATS diagnostic engine. Operating directly on client-extracted document text, the engine computes:</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Keyword Match Density: </w:t>
      </w:r>
      <w:r>
        <w:rPr>
          <w:rFonts w:ascii="Calibri" w:cs="Calibri" w:eastAsia="Calibri" w:hAnsi="Calibri"/>
          <w:sz w:val="22"/>
          <w:szCs w:val="22"/>
        </w:rPr>
        <w:t xml:space="preserve">Comparing resume terms against target job requirements.</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Functional Section Completeness: </w:t>
      </w:r>
      <w:r>
        <w:rPr>
          <w:rFonts w:ascii="Calibri" w:cs="Calibri" w:eastAsia="Calibri" w:hAnsi="Calibri"/>
          <w:sz w:val="22"/>
          <w:szCs w:val="22"/>
        </w:rPr>
        <w:t xml:space="preserve">Verifying presence of Summary, Experience, Skills, and Education.</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Action Verb &amp; Impact Metrics: </w:t>
      </w:r>
      <w:r>
        <w:rPr>
          <w:rFonts w:ascii="Calibri" w:cs="Calibri" w:eastAsia="Calibri" w:hAnsi="Calibri"/>
          <w:sz w:val="22"/>
          <w:szCs w:val="22"/>
        </w:rPr>
        <w:t xml:space="preserve">Scanning for quantifiable metric statements and strong action verbs (e.g., 'orchestrated', 'optimized', 'spearheaded').</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Dynamic Circular Health Gauge: </w:t>
      </w:r>
      <w:r>
        <w:rPr>
          <w:rFonts w:ascii="Calibri" w:cs="Calibri" w:eastAsia="Calibri" w:hAnsi="Calibri"/>
          <w:sz w:val="22"/>
          <w:szCs w:val="22"/>
        </w:rPr>
        <w:t xml:space="preserve">Rendering SVG-based animated visual calibration indicating ATS readiness tiers (Needs Work, Competitive, Optimal).</w:t>
      </w:r>
    </w:p>
    <w:p>
      <w:r>
        <w:br w:type="page"/>
      </w:r>
    </w:p>
    <w:p>
      <w:pPr>
        <w:spacing w:after="140" w:before="240"/>
        <w:jc w:val="center"/>
      </w:pPr>
      <w:r>
        <w:rPr>
          <w:rFonts w:ascii="Calibri" w:cs="Calibri" w:eastAsia="Calibri" w:hAnsi="Calibri"/>
          <w:b/>
          <w:bCs/>
          <w:color w:val="000000"/>
          <w:sz w:val="28"/>
          <w:szCs w:val="28"/>
        </w:rPr>
        <w:t xml:space="preserve">CHAPTER 5: EXPERIMENTAL RESULTS &amp; COMPARATIVE ANALYSIS</w:t>
      </w:r>
    </w:p>
    <w:p>
      <w:pPr>
        <w:spacing w:after="80" w:before="180"/>
        <w:jc w:val="left"/>
      </w:pPr>
      <w:r>
        <w:rPr>
          <w:rFonts w:ascii="Calibri" w:cs="Calibri" w:eastAsia="Calibri" w:hAnsi="Calibri"/>
          <w:b/>
          <w:bCs/>
          <w:color w:val="000000"/>
          <w:sz w:val="24"/>
          <w:szCs w:val="24"/>
        </w:rPr>
        <w:t xml:space="preserve">5.1 Evaluation Setup &amp; Metrics</w:t>
      </w:r>
    </w:p>
    <w:p>
      <w:pPr>
        <w:spacing w:after="80" w:before="40" w:line="276"/>
        <w:jc w:val="both"/>
      </w:pPr>
      <w:r>
        <w:rPr>
          <w:rFonts w:ascii="Calibri" w:cs="Calibri" w:eastAsia="Calibri" w:hAnsi="Calibri"/>
          <w:sz w:val="22"/>
          <w:szCs w:val="22"/>
        </w:rPr>
        <w:t xml:space="preserve">Models were evaluated on Precision@1/3/5, Recall@3/5, Mean Reciprocal Rank (MRR), Normalized Discounted Cumulative Gain (NDCG@3/5), and inference latency in milliseconds.</w:t>
      </w:r>
    </w:p>
    <w:p>
      <w:pPr>
        <w:spacing w:after="80" w:before="180"/>
        <w:jc w:val="left"/>
      </w:pPr>
      <w:r>
        <w:rPr>
          <w:rFonts w:ascii="Calibri" w:cs="Calibri" w:eastAsia="Calibri" w:hAnsi="Calibri"/>
          <w:b/>
          <w:bCs/>
          <w:color w:val="000000"/>
          <w:sz w:val="24"/>
          <w:szCs w:val="24"/>
        </w:rPr>
        <w:t xml:space="preserve">5.2 Quantitative Performance Benchmarks</w:t>
      </w:r>
    </w:p>
    <w:p>
      <w:pPr>
        <w:spacing w:after="80" w:before="40" w:line="276"/>
        <w:jc w:val="both"/>
      </w:pPr>
      <w:r>
        <w:rPr>
          <w:rFonts w:ascii="Calibri" w:cs="Calibri" w:eastAsia="Calibri" w:hAnsi="Calibri"/>
          <w:sz w:val="22"/>
          <w:szCs w:val="22"/>
        </w:rPr>
        <w:t xml:space="preserve">Table 5.1 displays the empirical performance averaged over all domain job descriptions.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tblGrid>
      <w:tr>
        <w:trPr>
          <w:tblHeader/>
        </w:trPr>
        <w:tc>
          <w:tcPr>
            <w:tcW w:type="dxa" w:w="2426"/>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Architecture / Model</w:t>
            </w:r>
          </w:p>
        </w:tc>
        <w:tc>
          <w:tcPr>
            <w:tcW w:type="dxa" w:w="7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P@1</w:t>
            </w:r>
          </w:p>
        </w:tc>
        <w:tc>
          <w:tcPr>
            <w:tcW w:type="dxa" w:w="7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P@3</w:t>
            </w:r>
          </w:p>
        </w:tc>
        <w:tc>
          <w:tcPr>
            <w:tcW w:type="dxa" w:w="7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P@5</w:t>
            </w:r>
          </w:p>
        </w:tc>
        <w:tc>
          <w:tcPr>
            <w:tcW w:type="dxa" w:w="7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R@3</w:t>
            </w:r>
          </w:p>
        </w:tc>
        <w:tc>
          <w:tcPr>
            <w:tcW w:type="dxa" w:w="7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R@5</w:t>
            </w:r>
          </w:p>
        </w:tc>
        <w:tc>
          <w:tcPr>
            <w:tcW w:type="dxa" w:w="7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MRR</w:t>
            </w:r>
          </w:p>
        </w:tc>
        <w:tc>
          <w:tcPr>
            <w:tcW w:type="dxa" w:w="8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NDCG@3</w:t>
            </w:r>
          </w:p>
        </w:tc>
        <w:tc>
          <w:tcPr>
            <w:tcW w:type="dxa" w:w="8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NDCG@5</w:t>
            </w:r>
          </w:p>
        </w:tc>
        <w:tc>
          <w:tcPr>
            <w:tcW w:type="dxa" w:w="9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Latency</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TF-IDF Baseline</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1.0000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0.8667</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0.6000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0.6633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0.7533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1.0000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0.9535</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0.8803</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0.14 ms</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Okapi BM25 Ranking</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1.0000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0.8667</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0.6400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0.6633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0.8033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1.0000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0.9535</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0.8962</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0.11 ms</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Dense SBERT</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1.0000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0.6000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0.6133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0.7433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1.0000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0.9303</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0.8784</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2.39 ms</w:t>
            </w:r>
          </w:p>
        </w:tc>
      </w:tr>
      <w:tr>
        <w:tc>
          <w:tcPr>
            <w:tcW w:type="dxa" w:w="24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SBERT + Skill</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0.8000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0.6800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0.6133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0.8433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0.9000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0.8761</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0.8611</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2.47 ms</w:t>
            </w:r>
          </w:p>
        </w:tc>
      </w:tr>
      <w:tr>
        <w:tc>
          <w:tcPr>
            <w:tcW w:type="dxa" w:w="2426"/>
            <w:tcMar>
              <w:top w:type="dxa" w:w="80"/>
              <w:left w:type="dxa" w:w="100"/>
              <w:bottom w:type="dxa" w:w="80"/>
              <w:right w:type="dxa" w:w="100"/>
            </w:tcMar>
            <w:vAlign w:val="center"/>
          </w:tcPr>
          <w:p>
            <w:pPr>
              <w:jc w:val="left"/>
            </w:pPr>
            <w:r>
              <w:rPr>
                <w:rFonts w:ascii="Calibri" w:cs="Calibri" w:eastAsia="Calibri" w:hAnsi="Calibri"/>
                <w:b/>
                <w:bCs/>
                <w:sz w:val="19"/>
                <w:szCs w:val="19"/>
              </w:rPr>
              <w:t xml:space="preserve">Proposed Hybrid System</w:t>
            </w:r>
          </w:p>
        </w:tc>
        <w:tc>
          <w:tcPr>
            <w:tcW w:type="dxa" w:w="7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1.0000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0.8667</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0.6800</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0.6633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0.8433</w:t>
            </w:r>
          </w:p>
        </w:tc>
        <w:tc>
          <w:tcPr>
            <w:tcW w:type="dxa" w:w="7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1.0000</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0.9582</w:t>
            </w:r>
          </w:p>
        </w:tc>
        <w:tc>
          <w:tcPr>
            <w:tcW w:type="dxa" w:w="8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0.9048</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2.81 ms</w:t>
            </w:r>
          </w:p>
        </w:tc>
      </w:tr>
    </w:tbl>
    <w:p>
      <w:pPr>
        <w:spacing w:after="80" w:before="180"/>
        <w:jc w:val="left"/>
      </w:pPr>
      <w:r>
        <w:rPr>
          <w:rFonts w:ascii="Calibri" w:cs="Calibri" w:eastAsia="Calibri" w:hAnsi="Calibri"/>
          <w:b/>
          <w:bCs/>
          <w:color w:val="000000"/>
          <w:sz w:val="24"/>
          <w:szCs w:val="24"/>
        </w:rPr>
        <w:t xml:space="preserve">5.3 Cross-Discipline Multi-Sector Empirical Evaluation</w:t>
      </w:r>
    </w:p>
    <w:p>
      <w:pPr>
        <w:spacing w:after="80" w:before="40" w:line="276"/>
        <w:jc w:val="both"/>
      </w:pPr>
      <w:r>
        <w:rPr>
          <w:rFonts w:ascii="Calibri" w:cs="Calibri" w:eastAsia="Calibri" w:hAnsi="Calibri"/>
          <w:sz w:val="22"/>
          <w:szCs w:val="22"/>
        </w:rPr>
        <w:t xml:space="preserve">To validate system generalizability beyond computing disciplines, Table 5.2 documents the cross-discipline evaluation across eight representative sectors in the expanded benchmark corpus.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526"/>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Discipline / Target Benchmark Role</w:t>
            </w:r>
          </w:p>
        </w:tc>
        <w:tc>
          <w:tcPr>
            <w:tcW w:type="dxa" w:w="15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Top Ranked Candidate</w:t>
            </w:r>
          </w:p>
        </w:tc>
        <w:tc>
          <w:tcPr>
            <w:tcW w:type="dxa" w:w="25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Candidate Background</w:t>
            </w:r>
          </w:p>
        </w:tc>
        <w:tc>
          <w:tcPr>
            <w:tcW w:type="dxa" w:w="11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Hybrid Score</w:t>
            </w:r>
          </w:p>
        </w:tc>
        <w:tc>
          <w:tcPr>
            <w:tcW w:type="dxa" w:w="14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Ground Truth Fit</w:t>
            </w:r>
          </w:p>
        </w:tc>
      </w:tr>
      <w:tr>
        <w:tc>
          <w:tcPr>
            <w:tcW w:type="dxa" w:w="25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Mechanical: CAD/FEA Design (JD_MECH_01)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Vikram Patel</w:t>
            </w:r>
          </w:p>
        </w:tc>
        <w:tc>
          <w:tcPr>
            <w:tcW w:type="dxa" w:w="25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SolidWorks, ANSYS, FEA, GD&amp;T, Sheet Metal</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79.7%</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3 (Exact Role Fit)</w:t>
            </w:r>
          </w:p>
        </w:tc>
      </w:tr>
      <w:tr>
        <w:tc>
          <w:tcPr>
            <w:tcW w:type="dxa" w:w="25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Civil: Structural Design RCC (JD_CIVIL_01)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Ananya Desai</w:t>
            </w:r>
          </w:p>
        </w:tc>
        <w:tc>
          <w:tcPr>
            <w:tcW w:type="dxa" w:w="25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STAAD.Pro, ETABS, RCC Design, IS Codes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71.2%</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3 (Exact Role Fit)</w:t>
            </w:r>
          </w:p>
        </w:tc>
      </w:tr>
      <w:tr>
        <w:tc>
          <w:tcPr>
            <w:tcW w:type="dxa" w:w="25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Commerce: CA &amp; Senior Auditor (JD_CA_01)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Kavita Shah</w:t>
            </w:r>
          </w:p>
        </w:tc>
        <w:tc>
          <w:tcPr>
            <w:tcW w:type="dxa" w:w="25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Statutory Audit, GST, Income Tax, Tally Prime</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75.8%</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3 (Exact Role Fit)</w:t>
            </w:r>
          </w:p>
        </w:tc>
      </w:tr>
      <w:tr>
        <w:tc>
          <w:tcPr>
            <w:tcW w:type="dxa" w:w="25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Finance: Equity Research Analyst (JD_FIN_01)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Arjun Singhania</w:t>
            </w:r>
          </w:p>
        </w:tc>
        <w:tc>
          <w:tcPr>
            <w:tcW w:type="dxa" w:w="25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Financial Modeling, DCF Valuation, Bloomberg</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75.1%</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3 (Exact Role Fit)</w:t>
            </w:r>
          </w:p>
        </w:tc>
      </w:tr>
      <w:tr>
        <w:tc>
          <w:tcPr>
            <w:tcW w:type="dxa" w:w="25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HR: Talent Acquisition Manager (JD_HR_01)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Sneha Iyer</w:t>
            </w:r>
          </w:p>
        </w:tc>
        <w:tc>
          <w:tcPr>
            <w:tcW w:type="dxa" w:w="25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Recruiting, Employee Relations, Payroll, HRIS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73.4%</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3 (Exact Role Fit)</w:t>
            </w:r>
          </w:p>
        </w:tc>
      </w:tr>
      <w:tr>
        <w:tc>
          <w:tcPr>
            <w:tcW w:type="dxa" w:w="25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Marketing: Digital Growth Strategist (JD_MKT_01)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Aditya Joshi</w:t>
            </w:r>
          </w:p>
        </w:tc>
        <w:tc>
          <w:tcPr>
            <w:tcW w:type="dxa" w:w="25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Performance Marketing, SEO, SEM, Meta Ads</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79.1%</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3 (Exact Role Fit)</w:t>
            </w:r>
          </w:p>
        </w:tc>
      </w:tr>
      <w:tr>
        <w:tc>
          <w:tcPr>
            <w:tcW w:type="dxa" w:w="25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AI &amp; ML: Senior NLP Engineer (JD_NLP_01)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Aarav Sharma</w:t>
            </w:r>
          </w:p>
        </w:tc>
        <w:tc>
          <w:tcPr>
            <w:tcW w:type="dxa" w:w="25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Transformers, SBERT, PyTorch, Spacy, FastAPI</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84.2%</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3 (Exact Role Fit)</w:t>
            </w:r>
          </w:p>
        </w:tc>
      </w:tr>
      <w:tr>
        <w:tc>
          <w:tcPr>
            <w:tcW w:type="dxa" w:w="25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Cloud &amp; Infrastructure: DevOps (JD_DEVOPS_01)</w:t>
            </w:r>
          </w:p>
        </w:tc>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Karan Singhania</w:t>
            </w:r>
          </w:p>
        </w:tc>
        <w:tc>
          <w:tcPr>
            <w:tcW w:type="dxa" w:w="25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AWS, Kubernetes, Terraform, Docker, CI/CD</w:t>
            </w:r>
          </w:p>
        </w:tc>
        <w:tc>
          <w:tcPr>
            <w:tcW w:type="dxa" w:w="11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73.3%</w:t>
            </w:r>
          </w:p>
        </w:tc>
        <w:tc>
          <w:tcPr>
            <w:tcW w:type="dxa" w:w="14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3 (Exact Role Fit)</w:t>
            </w:r>
          </w:p>
        </w:tc>
      </w:tr>
    </w:tbl>
    <w:p>
      <w:pPr>
        <w:spacing w:after="80" w:before="40" w:line="276"/>
        <w:jc w:val="both"/>
      </w:pPr>
      <w:r>
        <w:rPr>
          <w:rFonts w:ascii="Calibri" w:cs="Calibri" w:eastAsia="Calibri" w:hAnsi="Calibri"/>
          <w:sz w:val="22"/>
          <w:szCs w:val="22"/>
        </w:rPr>
        <w:t xml:space="preserve">Table 5.2 demonstrates that our hybrid architecture generalizes robustly across non-software disciplines. Because lexical IDF is computed over a balanced multi-sector corpus and the taxonomy enforces domain-specific multi-word competencies, there is zero cross-domain bleed (e.g., Mechanical FEA terminology never inflates Chartered Accountant audit scores).</w:t>
      </w:r>
    </w:p>
    <w:p>
      <w:pPr>
        <w:spacing w:after="80" w:before="180"/>
        <w:jc w:val="left"/>
      </w:pPr>
      <w:r>
        <w:rPr>
          <w:rFonts w:ascii="Calibri" w:cs="Calibri" w:eastAsia="Calibri" w:hAnsi="Calibri"/>
          <w:b/>
          <w:bCs/>
          <w:color w:val="000000"/>
          <w:sz w:val="24"/>
          <w:szCs w:val="24"/>
        </w:rPr>
        <w:t xml:space="preserve">5.4 Ablation Studies</w:t>
      </w:r>
    </w:p>
    <w:p>
      <w:pPr>
        <w:spacing w:after="80" w:before="40" w:line="276"/>
        <w:jc w:val="both"/>
      </w:pPr>
      <w:r>
        <w:rPr>
          <w:rFonts w:ascii="Calibri" w:cs="Calibri" w:eastAsia="Calibri" w:hAnsi="Calibri"/>
          <w:sz w:val="22"/>
          <w:szCs w:val="22"/>
        </w:rPr>
        <w:t xml:space="preserve">Ablation testing verified that omitting explicit skills (γ = 0) reduced recall at rank 5 by 9.0%, while omitting semantic vectors (α = 0) severely penalized synonym-rich candidates. The balanced tri-partite configuration achieved optimal ranking fidelity.</w:t>
      </w:r>
    </w:p>
    <w:p>
      <w:pPr>
        <w:spacing w:after="80" w:before="180"/>
        <w:jc w:val="left"/>
      </w:pPr>
      <w:r>
        <w:rPr>
          <w:rFonts w:ascii="Calibri" w:cs="Calibri" w:eastAsia="Calibri" w:hAnsi="Calibri"/>
          <w:b/>
          <w:bCs/>
          <w:color w:val="000000"/>
          <w:sz w:val="24"/>
          <w:szCs w:val="24"/>
        </w:rPr>
        <w:t xml:space="preserve">5.5 Case Study: Adversarial Keyword Spammer Demotion</w:t>
      </w:r>
    </w:p>
    <w:p>
      <w:pPr>
        <w:spacing w:after="80" w:before="40" w:line="276"/>
        <w:jc w:val="both"/>
      </w:pPr>
      <w:r>
        <w:rPr>
          <w:rFonts w:ascii="Calibri" w:cs="Calibri" w:eastAsia="Calibri" w:hAnsi="Calibri"/>
          <w:sz w:val="22"/>
          <w:szCs w:val="22"/>
        </w:rPr>
        <w:t xml:space="preserve">Table 5.3 demonstrates how the hybrid architecture neutralizes adversarial keyword manipulation within the 26-candidate benchmark 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5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Candidate ID</w:t>
            </w:r>
          </w:p>
        </w:tc>
        <w:tc>
          <w:tcPr>
            <w:tcW w:type="dxa" w:w="3126"/>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Candidate Profile Description</w:t>
            </w:r>
          </w:p>
        </w:tc>
        <w:tc>
          <w:tcPr>
            <w:tcW w:type="dxa" w:w="15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TF-IDF Score (Rank)</w:t>
            </w:r>
          </w:p>
        </w:tc>
        <w:tc>
          <w:tcPr>
            <w:tcW w:type="dxa" w:w="16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Proposed Hybrid Score (Rank)</w:t>
            </w:r>
          </w:p>
        </w:tc>
        <w:tc>
          <w:tcPr>
            <w:tcW w:type="dxa" w:w="1300"/>
            <w:tcMar>
              <w:top w:type="dxa" w:w="100"/>
              <w:left w:type="dxa" w:w="100"/>
              <w:bottom w:type="dxa" w:w="100"/>
              <w:right w:type="dxa" w:w="100"/>
            </w:tcMar>
            <w:vAlign w:val="center"/>
          </w:tcPr>
          <w:p>
            <w:pPr>
              <w:jc w:val="center"/>
            </w:pPr>
            <w:r>
              <w:rPr>
                <w:rFonts w:ascii="Calibri" w:cs="Calibri" w:eastAsia="Calibri" w:hAnsi="Calibri"/>
                <w:b/>
                <w:bCs/>
                <w:sz w:val="20"/>
                <w:szCs w:val="20"/>
              </w:rPr>
              <w:t xml:space="preserve">Ground Truth</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RES_NLP_01</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Aarav Sharma (Senior NLP Specialist)</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0.3421 (#1)</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0.8420 (#1)</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3 (Exact Fit)</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RES_NLP_02</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Priya Nair (ML/NLP Practitioner)</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0.3394 (#2)</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0.8115 (#2)</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3 (Exact Fit)</w:t>
            </w:r>
          </w:p>
        </w:tc>
      </w:tr>
      <w:tr>
        <w:tc>
          <w:tcPr>
            <w:tcW w:type="dxa" w:w="1500"/>
            <w:tcMar>
              <w:top w:type="dxa" w:w="80"/>
              <w:left w:type="dxa" w:w="100"/>
              <w:bottom w:type="dxa" w:w="80"/>
              <w:right w:type="dxa" w:w="100"/>
            </w:tcMar>
            <w:vAlign w:val="center"/>
          </w:tcPr>
          <w:p>
            <w:pPr>
              <w:jc w:val="left"/>
            </w:pPr>
            <w:r>
              <w:rPr>
                <w:rFonts w:ascii="Calibri" w:cs="Calibri" w:eastAsia="Calibri" w:hAnsi="Calibri"/>
                <w:b/>
                <w:bCs/>
                <w:sz w:val="19"/>
                <w:szCs w:val="19"/>
              </w:rPr>
              <w:t xml:space="preserve">RES_CORRUPT_01</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Adversarial Keyword Spammer</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0.2931 (#3)</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0.1120 (#26)</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 (Fraudulent)</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RES_NLP_03</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Rohan Deshmukh (Junior NLP Engineer)</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0.1809 (#4)</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0.5824 (#3)</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2 (Strong Fit)</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RES_SYNONYM_01</w:t>
            </w:r>
          </w:p>
        </w:tc>
        <w:tc>
          <w:tcPr>
            <w:tcW w:type="dxa" w:w="3126"/>
            <w:tcMar>
              <w:top w:type="dxa" w:w="80"/>
              <w:left w:type="dxa" w:w="100"/>
              <w:bottom w:type="dxa" w:w="80"/>
              <w:right w:type="dxa" w:w="100"/>
            </w:tcMar>
            <w:vAlign w:val="center"/>
          </w:tcPr>
          <w:p>
            <w:pPr>
              <w:jc w:val="left"/>
            </w:pPr>
            <w:r>
              <w:rPr>
                <w:rFonts w:ascii="Calibri" w:cs="Calibri" w:eastAsia="Calibri" w:hAnsi="Calibri"/>
                <w:b w:val="false"/>
                <w:bCs w:val="false"/>
                <w:sz w:val="19"/>
                <w:szCs w:val="19"/>
              </w:rPr>
              <w:t xml:space="preserve">Dr. Sameer Sen (Computational Linguist)</w:t>
            </w:r>
          </w:p>
        </w:tc>
        <w:tc>
          <w:tcPr>
            <w:tcW w:type="dxa" w:w="15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0.0914 (#5)</w:t>
            </w:r>
          </w:p>
        </w:tc>
        <w:tc>
          <w:tcPr>
            <w:tcW w:type="dxa" w:w="16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0.6240 (#4)</w:t>
            </w:r>
          </w:p>
        </w:tc>
        <w:tc>
          <w:tcPr>
            <w:tcW w:type="dxa" w:w="1300"/>
            <w:tcMar>
              <w:top w:type="dxa" w:w="80"/>
              <w:left w:type="dxa" w:w="100"/>
              <w:bottom w:type="dxa" w:w="80"/>
              <w:right w:type="dxa" w:w="100"/>
            </w:tcMar>
            <w:vAlign w:val="center"/>
          </w:tcPr>
          <w:p>
            <w:pPr>
              <w:jc w:val="center"/>
            </w:pPr>
            <w:r>
              <w:rPr>
                <w:rFonts w:ascii="Calibri" w:cs="Calibri" w:eastAsia="Calibri" w:hAnsi="Calibri"/>
                <w:b w:val="false"/>
                <w:bCs w:val="false"/>
                <w:sz w:val="19"/>
                <w:szCs w:val="19"/>
              </w:rPr>
              <w:t xml:space="preserve">2 (Strong Fit)</w:t>
            </w:r>
          </w:p>
        </w:tc>
      </w:tr>
    </w:tbl>
    <w:p>
      <w:pPr>
        <w:spacing w:after="80" w:before="40" w:line="276"/>
        <w:jc w:val="both"/>
      </w:pPr>
      <w:r>
        <w:rPr>
          <w:rFonts w:ascii="Calibri" w:cs="Calibri" w:eastAsia="Calibri" w:hAnsi="Calibri"/>
          <w:sz w:val="22"/>
          <w:szCs w:val="22"/>
        </w:rPr>
        <w:t xml:space="preserve">Candidate RES_CORRUPT_01 concatenated 50+ keywords without genuine experience. Classical TF-IDF ranked the spammer at #3 (score 0.2931), displacing legitimate practitioners. Our Proposed Hybrid System demoted the spammer to #26 (score 0.1120) because the dense contextual bi-encoder detected the lack of coherent narratives in the experience section.</w:t>
      </w:r>
    </w:p>
    <w:p>
      <w:pPr>
        <w:spacing w:after="80" w:before="180"/>
        <w:jc w:val="left"/>
      </w:pPr>
      <w:r>
        <w:rPr>
          <w:rFonts w:ascii="Calibri" w:cs="Calibri" w:eastAsia="Calibri" w:hAnsi="Calibri"/>
          <w:b/>
          <w:bCs/>
          <w:color w:val="000000"/>
          <w:sz w:val="24"/>
          <w:szCs w:val="24"/>
        </w:rPr>
        <w:t xml:space="preserve">5.6 Case Study: Synonym &amp; Academic Divergence</w:t>
      </w:r>
    </w:p>
    <w:p>
      <w:pPr>
        <w:spacing w:after="80" w:before="40" w:line="276"/>
        <w:jc w:val="both"/>
      </w:pPr>
      <w:r>
        <w:rPr>
          <w:rFonts w:ascii="Calibri" w:cs="Calibri" w:eastAsia="Calibri" w:hAnsi="Calibri"/>
          <w:sz w:val="22"/>
          <w:szCs w:val="22"/>
        </w:rPr>
        <w:t xml:space="preserve">Candidate RES_SYNONYM_01 described experience using academic terminology ('computational linguistics', 'vector representations', 'sequence-to-sequence neural architectures'). TF-IDF assigned an abysmal score of 0.0914, whereas our SBERT semantic bi-encoder mapped these to the target domain, elevating the candidate to rank #4 (score 0.6240).</w:t>
      </w:r>
    </w:p>
    <w:p>
      <w:pPr>
        <w:spacing w:after="80" w:before="180"/>
        <w:jc w:val="left"/>
      </w:pPr>
      <w:r>
        <w:rPr>
          <w:rFonts w:ascii="Calibri" w:cs="Calibri" w:eastAsia="Calibri" w:hAnsi="Calibri"/>
          <w:b/>
          <w:bCs/>
          <w:color w:val="000000"/>
          <w:sz w:val="24"/>
          <w:szCs w:val="24"/>
        </w:rPr>
        <w:t xml:space="preserve">5.7 Latency &amp; Computational Viability</w:t>
      </w:r>
    </w:p>
    <w:p>
      <w:pPr>
        <w:spacing w:after="80" w:before="40" w:line="276"/>
        <w:jc w:val="both"/>
      </w:pPr>
      <w:r>
        <w:rPr>
          <w:rFonts w:ascii="Calibri" w:cs="Calibri" w:eastAsia="Calibri" w:hAnsi="Calibri"/>
          <w:sz w:val="22"/>
          <w:szCs w:val="22"/>
        </w:rPr>
        <w:t xml:space="preserve">With an average CPU inference latency of 2.81 ms per resume, our system can evaluate over 355 resumes per second on commodity hardware, making it highly viable for production ATS deployment.</w:t>
      </w:r>
    </w:p>
    <w:p>
      <w:r>
        <w:br w:type="page"/>
      </w:r>
    </w:p>
    <w:p>
      <w:pPr>
        <w:spacing w:after="140" w:before="240"/>
        <w:jc w:val="center"/>
      </w:pPr>
      <w:r>
        <w:rPr>
          <w:rFonts w:ascii="Calibri" w:cs="Calibri" w:eastAsia="Calibri" w:hAnsi="Calibri"/>
          <w:b/>
          <w:bCs/>
          <w:color w:val="000000"/>
          <w:sz w:val="28"/>
          <w:szCs w:val="28"/>
        </w:rPr>
        <w:t xml:space="preserve">CHAPTER 6: CONCLUSION &amp; FUTURE SCOPE</w:t>
      </w:r>
    </w:p>
    <w:p>
      <w:pPr>
        <w:spacing w:after="80" w:before="180"/>
        <w:jc w:val="left"/>
      </w:pPr>
      <w:r>
        <w:rPr>
          <w:rFonts w:ascii="Calibri" w:cs="Calibri" w:eastAsia="Calibri" w:hAnsi="Calibri"/>
          <w:b/>
          <w:bCs/>
          <w:color w:val="000000"/>
          <w:sz w:val="24"/>
          <w:szCs w:val="24"/>
        </w:rPr>
        <w:t xml:space="preserve">6.1 Summary of Contributions</w:t>
      </w:r>
    </w:p>
    <w:p>
      <w:pPr>
        <w:spacing w:after="80" w:before="40" w:line="276"/>
        <w:jc w:val="both"/>
      </w:pPr>
      <w:r>
        <w:rPr>
          <w:rFonts w:ascii="Calibri" w:cs="Calibri" w:eastAsia="Calibri" w:hAnsi="Calibri"/>
          <w:sz w:val="22"/>
          <w:szCs w:val="22"/>
        </w:rPr>
        <w:t xml:space="preserve">This project developed a robust, domain-aware hybrid candidate matching system evaluated across 44 benchmark positions in 10 diverse disciplines. By unifying Sentence-BERT embeddings, Okapi BM25 / TF-IDF lexical models, explicit skill verification, interactive keystroke discovery search, and client-side ATS health diagnostics, the system resolves both the vocabulary mismatch dilemma and vulnerability to keyword stuffing.</w:t>
      </w:r>
    </w:p>
    <w:p>
      <w:pPr>
        <w:spacing w:after="80" w:before="180"/>
        <w:jc w:val="left"/>
      </w:pPr>
      <w:r>
        <w:rPr>
          <w:rFonts w:ascii="Calibri" w:cs="Calibri" w:eastAsia="Calibri" w:hAnsi="Calibri"/>
          <w:b/>
          <w:bCs/>
          <w:color w:val="000000"/>
          <w:sz w:val="24"/>
          <w:szCs w:val="24"/>
        </w:rPr>
        <w:t xml:space="preserve">6.2 Limitations</w:t>
      </w:r>
    </w:p>
    <w:p>
      <w:pPr>
        <w:spacing w:after="80" w:before="40" w:line="276"/>
        <w:jc w:val="both"/>
      </w:pPr>
      <w:r>
        <w:rPr>
          <w:rFonts w:ascii="Calibri" w:cs="Calibri" w:eastAsia="Calibri" w:hAnsi="Calibri"/>
          <w:sz w:val="22"/>
          <w:szCs w:val="22"/>
        </w:rPr>
        <w:t xml:space="preserve">Current limitations include reliance on static bi-encoder pooling (which lacks token-level cross-attention) and a fixed skill taxonomy that requires periodic manual updates for emerging frameworks.</w:t>
      </w:r>
    </w:p>
    <w:p>
      <w:pPr>
        <w:spacing w:after="80" w:before="180"/>
        <w:jc w:val="left"/>
      </w:pPr>
      <w:r>
        <w:rPr>
          <w:rFonts w:ascii="Calibri" w:cs="Calibri" w:eastAsia="Calibri" w:hAnsi="Calibri"/>
          <w:b/>
          <w:bCs/>
          <w:color w:val="000000"/>
          <w:sz w:val="24"/>
          <w:szCs w:val="24"/>
        </w:rPr>
        <w:t xml:space="preserve">6.3 Future Work</w:t>
      </w:r>
    </w:p>
    <w:p>
      <w:pPr>
        <w:spacing w:after="80" w:before="40" w:line="276"/>
        <w:jc w:val="both"/>
      </w:pPr>
      <w:r>
        <w:rPr>
          <w:rFonts w:ascii="Calibri" w:cs="Calibri" w:eastAsia="Calibri" w:hAnsi="Calibri"/>
          <w:sz w:val="22"/>
          <w:szCs w:val="22"/>
        </w:rPr>
        <w:t xml:space="preserve">Future research includes: (1) Cross-encoder re-ranking on the top-20 retrieved candidates; (2) Graph Neural Networks (GNNs) to model prerequisite skill hierarchies; and (3) LLM-assisted generation of tailored interview questions based on candidate skill gaps.</w:t>
      </w:r>
    </w:p>
    <w:p>
      <w:pPr>
        <w:spacing w:after="80" w:before="180"/>
        <w:jc w:val="left"/>
      </w:pPr>
      <w:r>
        <w:rPr>
          <w:rFonts w:ascii="Calibri" w:cs="Calibri" w:eastAsia="Calibri" w:hAnsi="Calibri"/>
          <w:b/>
          <w:bCs/>
          <w:color w:val="000000"/>
          <w:sz w:val="24"/>
          <w:szCs w:val="24"/>
        </w:rPr>
        <w:t xml:space="preserve">References</w:t>
      </w:r>
    </w:p>
    <w:p>
      <w:pPr>
        <w:spacing w:after="80" w:before="40" w:line="276"/>
        <w:jc w:val="both"/>
      </w:pPr>
      <w:r>
        <w:rPr>
          <w:rFonts w:ascii="Calibri" w:cs="Calibri" w:eastAsia="Calibri" w:hAnsi="Calibri"/>
          <w:sz w:val="22"/>
          <w:szCs w:val="22"/>
        </w:rPr>
        <w:t xml:space="preserve">[1] J. Faliagka et al., 'Application of machine learning algorithms to an online recruitment system,' in Proc. WEBIST, 2012.
[2] S. Deerwester et al., 'Indexing by latent semantic analysis,' J. Amer. Soc. Inf. Sci., 1990.
[3] D. Roy et al., 'Adversarial vulnerability in automated resume screening,' in Proc. ACM SIGKDD, 2020.
[4] N. Reimers &amp; I. Gurevych, 'Sentence-BERT: Sentence embeddings using Siamese BERT-networks,' in Proc. EMNLP, 2019.
[5] G. Salton et al., 'A vector space model for automatic indexing,' Commun. ACM, 1975.
[6] K. Spärck Jones, 'A statistical interpretation of term specificity in retrieval,' J. Doc., 1972.
[7] S. Robertson &amp; H. Zaragoza, 'The probabilistic relevance framework: BM25 and beyond,' 2009.
[8] T. Mikolov et al., 'Efficient estimation of word representations in vector space,' in Proc. ICLR, 2013.
[9] J. Devlin et al., 'BERT: Pre-training of deep bidirectional transformers for language understanding,' in Proc. NAACL, 2019.
[10] A. Vaswani et al., 'Attention is all you need,' in NeurIPS, 2017.</w:t>
      </w:r>
    </w:p>
    <w:p>
      <w:pPr>
        <w:spacing w:after="80" w:before="180"/>
        <w:jc w:val="left"/>
      </w:pPr>
      <w:r>
        <w:rPr>
          <w:rFonts w:ascii="Calibri" w:cs="Calibri" w:eastAsia="Calibri" w:hAnsi="Calibri"/>
          <w:b/>
          <w:bCs/>
          <w:color w:val="000000"/>
          <w:sz w:val="24"/>
          <w:szCs w:val="24"/>
        </w:rPr>
        <w:t xml:space="preserve">Appendix: Core Python Source Code Listings</w:t>
      </w:r>
    </w:p>
    <w:p>
      <w:pPr>
        <w:spacing w:after="80" w:before="40" w:line="276"/>
        <w:jc w:val="both"/>
      </w:pPr>
      <w:r>
        <w:rPr>
          <w:rFonts w:ascii="Calibri" w:cs="Calibri" w:eastAsia="Calibri" w:hAnsi="Calibri"/>
          <w:sz w:val="22"/>
          <w:szCs w:val="22"/>
        </w:rPr>
        <w:t xml:space="preserve">The modular source code files are organized under nlp_resume_matcher/src/:</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data_loader.py: </w:t>
      </w:r>
      <w:r>
        <w:rPr>
          <w:rFonts w:ascii="Calibri" w:cs="Calibri" w:eastAsia="Calibri" w:hAnsi="Calibri"/>
          <w:sz w:val="22"/>
          <w:szCs w:val="22"/>
        </w:rPr>
        <w:t xml:space="preserve">Corpus ingestion and structured flattening across 44 benchmark positions.</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preprocessor.py: </w:t>
      </w:r>
      <w:r>
        <w:rPr>
          <w:rFonts w:ascii="Calibri" w:cs="Calibri" w:eastAsia="Calibri" w:hAnsi="Calibri"/>
          <w:sz w:val="22"/>
          <w:szCs w:val="22"/>
        </w:rPr>
        <w:t xml:space="preserve">PII redaction and section-aware parsing.</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skill_extractor.py: </w:t>
      </w:r>
      <w:r>
        <w:rPr>
          <w:rFonts w:ascii="Calibri" w:cs="Calibri" w:eastAsia="Calibri" w:hAnsi="Calibri"/>
          <w:sz w:val="22"/>
          <w:szCs w:val="22"/>
        </w:rPr>
        <w:t xml:space="preserve">N-gram taxonomic matching and gap diagnostics over 314+ competencies.</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baseline_matcher.py: </w:t>
      </w:r>
      <w:r>
        <w:rPr>
          <w:rFonts w:ascii="Calibri" w:cs="Calibri" w:eastAsia="Calibri" w:hAnsi="Calibri"/>
          <w:sz w:val="22"/>
          <w:szCs w:val="22"/>
        </w:rPr>
        <w:t xml:space="preserve">TF-IDF and Okapi BM25 implementation.</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semantic_matcher.py: </w:t>
      </w:r>
      <w:r>
        <w:rPr>
          <w:rFonts w:ascii="Calibri" w:cs="Calibri" w:eastAsia="Calibri" w:hAnsi="Calibri"/>
          <w:sz w:val="22"/>
          <w:szCs w:val="22"/>
        </w:rPr>
        <w:t xml:space="preserve">Sentence-BERT dense representation with section weighting.</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hybrid_engine.py: </w:t>
      </w:r>
      <w:r>
        <w:rPr>
          <w:rFonts w:ascii="Calibri" w:cs="Calibri" w:eastAsia="Calibri" w:hAnsi="Calibri"/>
          <w:sz w:val="22"/>
          <w:szCs w:val="22"/>
        </w:rPr>
        <w:t xml:space="preserve">Tri-partite hybrid fusion and candidate ranking.</w:t>
      </w:r>
    </w:p>
    <w:p>
      <w:pPr>
        <w:spacing w:after="40" w:before="30" w:line="260"/>
        <w:ind w:left="400"/>
        <w:jc w:val="both"/>
      </w:pPr>
      <w:r>
        <w:rPr>
          <w:rFonts w:ascii="Calibri" w:cs="Calibri" w:eastAsia="Calibri" w:hAnsi="Calibri"/>
          <w:b/>
          <w:bCs/>
          <w:sz w:val="22"/>
          <w:szCs w:val="22"/>
        </w:rPr>
        <w:t xml:space="preserve">•  </w:t>
      </w:r>
      <w:r>
        <w:rPr>
          <w:rFonts w:ascii="Calibri" w:cs="Calibri" w:eastAsia="Calibri" w:hAnsi="Calibri"/>
          <w:b/>
          <w:bCs/>
          <w:sz w:val="22"/>
          <w:szCs w:val="22"/>
        </w:rPr>
        <w:t xml:space="preserve">evaluate.py: </w:t>
      </w:r>
      <w:r>
        <w:rPr>
          <w:rFonts w:ascii="Calibri" w:cs="Calibri" w:eastAsia="Calibri" w:hAnsi="Calibri"/>
          <w:sz w:val="22"/>
          <w:szCs w:val="22"/>
        </w:rPr>
        <w:t xml:space="preserve">P@K, R@K, MRR, NDCG@K, and cross-discipline latency benchmarking.</w:t>
      </w:r>
    </w:p>
    <w:sectPr>
      <w:headerReference w:type="default" r:id="rId7"/>
      <w:footerReference w:type="default" r:id="rId8"/>
      <w:pgSz w:w="11906" w:h="16838" w:orient="portrait"/>
      <w:pgMar w:top="1440" w:right="1440" w:bottom="1440" w:left="1440" w:header="708" w:footer="708" w:gutter="0"/>
      <w:pgBorders w:offsetFrom="page">
        <w:top w:val="single" w:color="000000" w:sz="8" w:space="24"/>
        <w:left w:val="single" w:color="000000" w:sz="8" w:space="24"/>
        <w:bottom w:val="single" w:color="000000" w:sz="8" w:space="24"/>
        <w:right w:val="single" w:color="000000" w:sz="8"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20"/>
        <w:szCs w:val="20"/>
      </w:rPr>
      <w:t xml:space="preserve">Natural Language Processing (202047809)</w:t>
    </w:r>
    <w:r>
      <w:rPr>
        <w:rFonts w:ascii="Calibri" w:cs="Calibri" w:eastAsia="Calibri" w:hAnsi="Calibri"/>
        <w:sz w:val="20"/>
        <w:szCs w:val="20"/>
      </w:rPr>
      <w:t xml:space="preserve">	</w:t>
    </w:r>
    <w:r>
      <w:rPr>
        <w:rFonts w:ascii="Calibri" w:cs="Calibri" w:eastAsia="Calibri" w:hAnsi="Calibri"/>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sz w:val="21"/>
        <w:szCs w:val="21"/>
      </w:rPr>
      <w:t xml:space="preserve">B.Tech | Sem 7 | CP</w:t>
    </w:r>
    <w:r>
      <w:rPr>
        <w:rFonts w:ascii="Calibri" w:cs="Calibri" w:eastAsia="Calibri" w:hAnsi="Calibri"/>
        <w:sz w:val="21"/>
        <w:szCs w:val="21"/>
      </w:rPr>
      <w:t xml:space="preserve">	12302040601004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2026-10-03T07:51:04.038Z</dcterms:created>
  <dcterms:modified xsi:type="dcterms:W3CDTF">2026-10-03T07:51:04.039Z</dcterms:modified>
</cp:coreProperties>
</file>

<file path=docProps/custom.xml><?xml version="1.0" encoding="utf-8"?>
<Properties xmlns="http://schemas.openxmlformats.org/officeDocument/2006/custom-properties" xmlns:vt="http://schemas.openxmlformats.org/officeDocument/2006/docPropsVTypes"/>
</file>