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sz w:val="34"/>
          <w:szCs w:val="34"/>
        </w:rPr>
        <w:t xml:space="preserve">A Domain-Aware Contextual and Lexical Hybrid Architecture for Automated Resume-Job Description Semantic Alignment and Talent Matching</w:t>
      </w:r>
    </w:p>
    <w:p>
      <w:pPr>
        <w:spacing w:after="30" w:before="80"/>
        <w:jc w:val="center"/>
      </w:pPr>
      <w:r>
        <w:rPr>
          <w:rFonts w:ascii="Calibri" w:cs="Calibri" w:eastAsia="Calibri" w:hAnsi="Calibri"/>
          <w:b/>
          <w:bCs/>
          <w:i w:val="false"/>
          <w:iCs w:val="false"/>
          <w:sz w:val="21"/>
          <w:szCs w:val="21"/>
        </w:rPr>
        <w:t xml:space="preserve">Patel Aum Shirishkumar</w:t>
      </w:r>
    </w:p>
    <w:p>
      <w:pPr>
        <w:spacing w:after="30" w:before="30"/>
        <w:jc w:val="center"/>
      </w:pPr>
      <w:r>
        <w:rPr>
          <w:rFonts w:ascii="Calibri" w:cs="Calibri" w:eastAsia="Calibri" w:hAnsi="Calibri"/>
          <w:b w:val="false"/>
          <w:bCs w:val="false"/>
          <w:i/>
          <w:iCs/>
          <w:sz w:val="21"/>
          <w:szCs w:val="21"/>
        </w:rPr>
        <w:t xml:space="preserve">Department of Computer Engineering, A. D. Patel Institute of Technology</w:t>
      </w:r>
    </w:p>
    <w:p>
      <w:pPr>
        <w:spacing w:after="30" w:before="30"/>
        <w:jc w:val="center"/>
      </w:pPr>
      <w:r>
        <w:rPr>
          <w:rFonts w:ascii="Calibri" w:cs="Calibri" w:eastAsia="Calibri" w:hAnsi="Calibri"/>
          <w:b w:val="false"/>
          <w:bCs w:val="false"/>
          <w:i/>
          <w:iCs/>
          <w:sz w:val="21"/>
          <w:szCs w:val="21"/>
        </w:rPr>
        <w:t xml:space="preserve">The Charutar Vidyamandal (CVM) University, Anand, Gujarat, India</w:t>
      </w:r>
    </w:p>
    <w:p>
      <w:pPr>
        <w:spacing w:after="30" w:before="30"/>
        <w:jc w:val="center"/>
      </w:pPr>
      <w:r>
        <w:rPr>
          <w:rFonts w:ascii="Calibri" w:cs="Calibri" w:eastAsia="Calibri" w:hAnsi="Calibri"/>
          <w:b w:val="false"/>
          <w:bCs w:val="false"/>
          <w:i/>
          <w:iCs/>
          <w:sz w:val="21"/>
          <w:szCs w:val="21"/>
        </w:rPr>
        <w:t xml:space="preserve">Enrollment No: 12302040601004 | Course: Natural Language Processing (202047809)</w:t>
      </w:r>
    </w:p>
    <w:p>
      <w:pPr>
        <w:spacing w:after="160" w:before="30"/>
        <w:jc w:val="center"/>
      </w:pPr>
      <w:r>
        <w:rPr>
          <w:rFonts w:ascii="Calibri" w:cs="Calibri" w:eastAsia="Calibri" w:hAnsi="Calibri"/>
          <w:b w:val="false"/>
          <w:bCs w:val="false"/>
          <w:i w:val="false"/>
          <w:iCs w:val="false"/>
          <w:sz w:val="21"/>
          <w:szCs w:val="21"/>
        </w:rPr>
        <w:t xml:space="preserve">Email: 12302040601004@adit.ac.in</w:t>
      </w:r>
    </w:p>
    <w:p>
      <w:pPr>
        <w:spacing w:after="80" w:before="180"/>
        <w:jc w:val="left"/>
      </w:pPr>
      <w:r>
        <w:rPr>
          <w:rFonts w:ascii="Calibri" w:cs="Calibri" w:eastAsia="Calibri" w:hAnsi="Calibri"/>
          <w:b/>
          <w:bCs/>
          <w:i/>
          <w:iCs/>
          <w:sz w:val="21"/>
          <w:szCs w:val="21"/>
        </w:rPr>
        <w:t xml:space="preserve">Abstract—</w:t>
      </w:r>
      <w:r>
        <w:rPr>
          <w:rFonts w:ascii="Calibri" w:cs="Calibri" w:eastAsia="Calibri" w:hAnsi="Calibri"/>
          <w:sz w:val="21"/>
          <w:szCs w:val="21"/>
        </w:rPr>
        <w:t xml:space="preserve">Automated talent acquisition and candidate screening in modern Human Resource Technology (HRTech) face a fundamental trade-off between lexical precision and semantic comprehension. Classical Applicant Tracking Systems (ATS) relying on bag-of-words representations, TF-IDF, or Okapi BM25 suffer from acute false negatives due to vocabulary mismatch, synonym divergence, and non-standardized terminology. Conversely, modern dense neural bi-encoders (e.g., Sentence-BERT) map candidate resumes and job descriptions (JDs) into continuous semantic spaces but frequently suffer from semantic hallucination, catastrophic dilution over long documents, and an inability to enforce strict, mandatory technical requirements. In this paper, we propose a multi-stage, domain-aware hybrid architecture that reconciles contextual dense embeddings with lexical indexing and explicit taxonomic skill extraction across both technical and non-technical disciplines. Our system segments resumes into discrete semantic zones, sanitizes Personally Identifiable Information (PII) to prevent demographic bias, and combines: (1) dense contextual representations from Sentence-BERT (all-MiniLM-L6-v2), (2) Robertson-Spärck Jones Okapi BM25 and sub-linear TF-IDF scoring, and (3) an n-gram phrase matcher grounded in an expanded 314+ domain skill taxonomy. Furthermore, we develop an interactive client-side retrieval framework featuring live keystroke discovery, dynamic domain categorization, and a searchable ATS calibration combobox. Empirical results on an extensive benchmark corpus of 44 positions and 26 verified candidate profiles spanning ten diverse disciplines (Computer Science &amp; AI, Mechanical Engineering, Civil &amp; Structural Engineering, Electrical &amp; Automation, Chemical &amp; Biotechnology, Commerce &amp; Chartered Accountancy, Finance &amp; Investment, HR &amp; Operations, Marketing, and Corporate Law) demonstrate that our hybrid model achieves superior ranking quality, delivering a Precision@1 of 1.0000, an NDCG@3 of 0.9582, and a Mean Reciprocal Rank (MRR) of 1.0000, while completely neutralizing adversarial keyword stuffing attacks that defeat classical lexical ATS systems.</w:t>
      </w:r>
    </w:p>
    <w:p>
      <w:pPr>
        <w:spacing w:after="180" w:before="80"/>
        <w:jc w:val="left"/>
      </w:pPr>
      <w:r>
        <w:rPr>
          <w:rFonts w:ascii="Calibri" w:cs="Calibri" w:eastAsia="Calibri" w:hAnsi="Calibri"/>
          <w:b/>
          <w:bCs/>
          <w:i/>
          <w:iCs/>
          <w:sz w:val="21"/>
          <w:szCs w:val="21"/>
        </w:rPr>
        <w:t xml:space="preserve">Keywords—</w:t>
      </w:r>
      <w:r>
        <w:rPr>
          <w:rFonts w:ascii="Calibri" w:cs="Calibri" w:eastAsia="Calibri" w:hAnsi="Calibri"/>
          <w:i/>
          <w:iCs/>
          <w:sz w:val="21"/>
          <w:szCs w:val="21"/>
        </w:rPr>
        <w:t xml:space="preserve">Natural Language Processing, Resume Matching, Sentence-BERT, Information Retrieval, Okapi BM25, Semantic Similarity, Talent Acquisition, Candidate Ranking, HRTech.</w:t>
      </w:r>
    </w:p>
    <w:p>
      <w:pPr>
        <w:spacing w:after="80" w:before="200"/>
        <w:jc w:val="left"/>
      </w:pPr>
      <w:r>
        <w:rPr>
          <w:rFonts w:ascii="Calibri" w:cs="Calibri" w:eastAsia="Calibri" w:hAnsi="Calibri"/>
          <w:b/>
          <w:bCs/>
          <w:sz w:val="24"/>
          <w:szCs w:val="24"/>
        </w:rPr>
        <w:t xml:space="preserve">I. INTRODUCTION</w:t>
      </w:r>
    </w:p>
    <w:p>
      <w:pPr>
        <w:spacing w:after="80" w:before="40" w:line="260"/>
        <w:jc w:val="both"/>
      </w:pPr>
      <w:r>
        <w:rPr>
          <w:rFonts w:ascii="Calibri" w:cs="Calibri" w:eastAsia="Calibri" w:hAnsi="Calibri"/>
          <w:sz w:val="21"/>
          <w:szCs w:val="21"/>
        </w:rPr>
        <w:t xml:space="preserve">The rapid expansion of global digital recruitment platforms has precipitated an unprecedented volume of job applications. Enterprise recruitment teams routinely receive hundreds to thousands of resumes for a single technical vacancy. Consequently, automated Applicant Tracking Systems (ATS) have become ubiquitous gatekeepers in modern recruitment pipelines [1].</w:t>
      </w:r>
    </w:p>
    <w:p>
      <w:pPr>
        <w:spacing w:after="80" w:before="40" w:line="260"/>
        <w:jc w:val="both"/>
      </w:pPr>
      <w:r>
        <w:rPr>
          <w:rFonts w:ascii="Calibri" w:cs="Calibri" w:eastAsia="Calibri" w:hAnsi="Calibri"/>
          <w:sz w:val="21"/>
          <w:szCs w:val="21"/>
        </w:rPr>
        <w:t xml:space="preserve">However, the algorithmic foundations of prevailing recruitment tools exhibit severe structural deficiencies:</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The Vocabulary Mismatch Problem (False Negatives): </w:t>
      </w:r>
      <w:r>
        <w:rPr>
          <w:rFonts w:ascii="Calibri" w:cs="Calibri" w:eastAsia="Calibri" w:hAnsi="Calibri"/>
          <w:sz w:val="21"/>
          <w:szCs w:val="21"/>
        </w:rPr>
        <w:t xml:space="preserve">Candidates frequently express equivalent technical capabilities using non-standardized phrasing or synonyms. For instance, a candidate describing 'distributed ledger consensus protocols' or 'statistical sequence-to-sequence neural architectures' may be completely discarded by a keyword filter configured for 'Blockchain' or 'NLP / Transformers'. In classical Information Retrieval (IR), this phenomenon is termed the synonymy and polysemy bottleneck [2].</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Adversarial Keyword Stuffing (False Positives): </w:t>
      </w:r>
      <w:r>
        <w:rPr>
          <w:rFonts w:ascii="Calibri" w:cs="Calibri" w:eastAsia="Calibri" w:hAnsi="Calibri"/>
          <w:sz w:val="21"/>
          <w:szCs w:val="21"/>
        </w:rPr>
        <w:t xml:space="preserve">Because classical ATS engines calculate relevance via term frequencies (TF), opportunistic candidates exploit the system by concatenating exhaustive lists of unverified industry keywords—sometimes in minute white fonts or invisible metadata blocks—thereby artificially inflating their lexical rank despite having zero genuine domain competence [3].</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Contextual Dilution in Dense Embeddings: </w:t>
      </w:r>
      <w:r>
        <w:rPr>
          <w:rFonts w:ascii="Calibri" w:cs="Calibri" w:eastAsia="Calibri" w:hAnsi="Calibri"/>
          <w:sz w:val="21"/>
          <w:szCs w:val="21"/>
        </w:rPr>
        <w:t xml:space="preserve">While pre-trained Transformer bi-encoders such as SBERT [4] map documents to continuous latent vectors, pooling an entire multi-page curriculum vitae into a single 384- or 768-dimensional vector causes severe information bottlenecking. High-frequency narrative text (e.g., generic interpersonal descriptions) dilutes dense representations of critical technical competencies.</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Disregard for Mandatory Constraints: </w:t>
      </w:r>
      <w:r>
        <w:rPr>
          <w:rFonts w:ascii="Calibri" w:cs="Calibri" w:eastAsia="Calibri" w:hAnsi="Calibri"/>
          <w:sz w:val="21"/>
          <w:szCs w:val="21"/>
        </w:rPr>
        <w:t xml:space="preserve">Pure semantic search does not enforce boolean logic. A candidate possessing exceptional overall semantic affinity for a 'Senior Cloud DevOps' role may completely lack a legally mandated certification or hard skill (e.g., 'Kubernetes' or 'AWS IAM'). Pure vector distance fails to enforce non-negotiable prerequisites.</w:t>
      </w:r>
    </w:p>
    <w:p>
      <w:pPr>
        <w:spacing w:after="80" w:before="40" w:line="260"/>
        <w:jc w:val="both"/>
      </w:pPr>
      <w:r>
        <w:rPr>
          <w:rFonts w:ascii="Calibri" w:cs="Calibri" w:eastAsia="Calibri" w:hAnsi="Calibri"/>
          <w:sz w:val="21"/>
          <w:szCs w:val="21"/>
        </w:rPr>
        <w:t xml:space="preserve">To overcome these structural limitations, this work introduces a Tri-Partite Domain-Aware Hybrid Ranking Architecture. We integrate dense contextual embeddings, sparse lexical retrieval, and hard taxonomic skill verification into a unified, mathematically calibrated scoring formulation. Furthermore, we implement section-aware parsing and privacy-preserving PII redaction to establish a robust, fair, and deployment-ready recruitment screening engine.</w:t>
      </w:r>
    </w:p>
    <w:p>
      <w:pPr>
        <w:spacing w:after="80" w:before="200"/>
        <w:jc w:val="left"/>
      </w:pPr>
      <w:r>
        <w:rPr>
          <w:rFonts w:ascii="Calibri" w:cs="Calibri" w:eastAsia="Calibri" w:hAnsi="Calibri"/>
          <w:b/>
          <w:bCs/>
          <w:sz w:val="24"/>
          <w:szCs w:val="24"/>
        </w:rPr>
        <w:t xml:space="preserve">II. RELATED WORK</w:t>
      </w:r>
    </w:p>
    <w:p>
      <w:pPr>
        <w:spacing w:after="60" w:before="140"/>
        <w:jc w:val="left"/>
      </w:pPr>
      <w:r>
        <w:rPr>
          <w:rFonts w:ascii="Calibri" w:cs="Calibri" w:eastAsia="Calibri" w:hAnsi="Calibri"/>
          <w:b/>
          <w:bCs/>
          <w:i/>
          <w:iCs/>
          <w:sz w:val="22"/>
          <w:szCs w:val="22"/>
        </w:rPr>
        <w:t xml:space="preserve">A. Classical Vector Space and Lexical Models</w:t>
      </w:r>
    </w:p>
    <w:p>
      <w:pPr>
        <w:spacing w:after="80" w:before="40" w:line="260"/>
        <w:jc w:val="both"/>
      </w:pPr>
      <w:r>
        <w:rPr>
          <w:rFonts w:ascii="Calibri" w:cs="Calibri" w:eastAsia="Calibri" w:hAnsi="Calibri"/>
          <w:sz w:val="21"/>
          <w:szCs w:val="21"/>
        </w:rPr>
        <w:t xml:space="preserve">Early information extraction and recruitment matching systems utilized Salton's Vector Space Model (VSM) [5] with Term Frequency-Inverse Document Frequency (TF-IDF) weighting. Spärck Jones [6] established the theoretical foundation of IDF, demonstrating that term specificity inversely correlates with collection frequency. Robertson and Zaragoza [7] formulated the Okapi BM25 probabilistic model, which introduced non-linear term saturation and document-length normalization:</w:t>
      </w:r>
    </w:p>
    <w:p>
      <w:pPr>
        <w:spacing w:after="100" w:before="100"/>
        <w:jc w:val="center"/>
      </w:pPr>
      <w:r>
        <w:rPr>
          <w:rFonts w:ascii="Calibri" w:cs="Calibri" w:eastAsia="Calibri" w:hAnsi="Calibri"/>
          <w:b/>
          <w:bCs/>
          <w:i/>
          <w:iCs/>
          <w:sz w:val="21"/>
          <w:szCs w:val="21"/>
        </w:rPr>
        <w:t xml:space="preserve">BM25(D, Q) = ∑ IDF(q_i) · [f(q_i, D) · (k1 + 1)] / [f(q_i, D) + k1 · (1 - b + b · (|D| / avgdl))]</w:t>
      </w:r>
    </w:p>
    <w:p>
      <w:pPr>
        <w:spacing w:after="80" w:before="40" w:line="260"/>
        <w:jc w:val="both"/>
      </w:pPr>
      <w:r>
        <w:rPr>
          <w:rFonts w:ascii="Calibri" w:cs="Calibri" w:eastAsia="Calibri" w:hAnsi="Calibri"/>
          <w:sz w:val="21"/>
          <w:szCs w:val="21"/>
        </w:rPr>
        <w:t xml:space="preserve">While BM25 remains an exceptionally competitive IR baseline, it treats terms as orthogonal symbolic tokens, exhibiting zero semantic generalization when candidates utilize lexical variations.</w:t>
      </w:r>
    </w:p>
    <w:p>
      <w:pPr>
        <w:spacing w:after="60" w:before="140"/>
        <w:jc w:val="left"/>
      </w:pPr>
      <w:r>
        <w:rPr>
          <w:rFonts w:ascii="Calibri" w:cs="Calibri" w:eastAsia="Calibri" w:hAnsi="Calibri"/>
          <w:b/>
          <w:bCs/>
          <w:i/>
          <w:iCs/>
          <w:sz w:val="22"/>
          <w:szCs w:val="22"/>
        </w:rPr>
        <w:t xml:space="preserve">B. Distributed Word Embeddings and Dense Representations</w:t>
      </w:r>
    </w:p>
    <w:p>
      <w:pPr>
        <w:spacing w:after="80" w:before="40" w:line="260"/>
        <w:jc w:val="both"/>
      </w:pPr>
      <w:r>
        <w:rPr>
          <w:rFonts w:ascii="Calibri" w:cs="Calibri" w:eastAsia="Calibri" w:hAnsi="Calibri"/>
          <w:sz w:val="21"/>
          <w:szCs w:val="21"/>
        </w:rPr>
        <w:t xml:space="preserve">Mikolov et al. [8] introduced Word2Vec, capturing continuous semantic relationships via Continuous Bag-of-Words (CBOW) and Skip-Gram architectures. Pennington et al. [9] developed GloVe, combining global co-occurrence statistics with local context windows. In HRTech, early neural matching systems computed the Word Mover's Distance (WMD) [10] across aggregated word vectors. However, static embeddings suffer from polysemy: tokens possess static vectors regardless of whether 'Java' denotes a programming language or an island.</w:t>
      </w:r>
    </w:p>
    <w:p>
      <w:pPr>
        <w:spacing w:after="60" w:before="140"/>
        <w:jc w:val="left"/>
      </w:pPr>
      <w:r>
        <w:rPr>
          <w:rFonts w:ascii="Calibri" w:cs="Calibri" w:eastAsia="Calibri" w:hAnsi="Calibri"/>
          <w:b/>
          <w:bCs/>
          <w:i/>
          <w:iCs/>
          <w:sz w:val="22"/>
          <w:szCs w:val="22"/>
        </w:rPr>
        <w:t xml:space="preserve">C. Contextual Transformers and Sentence-BERT</w:t>
      </w:r>
    </w:p>
    <w:p>
      <w:pPr>
        <w:spacing w:after="80" w:before="40" w:line="260"/>
        <w:jc w:val="both"/>
      </w:pPr>
      <w:r>
        <w:rPr>
          <w:rFonts w:ascii="Calibri" w:cs="Calibri" w:eastAsia="Calibri" w:hAnsi="Calibri"/>
          <w:sz w:val="21"/>
          <w:szCs w:val="21"/>
        </w:rPr>
        <w:t xml:space="preserve">The advent of the Transformer architecture by Vaswani et al. [11] and pre-trained contextual encoders like BERT (Devlin et al. [12]) fundamentally revolutionized NLP. BERT models dynamic token representations via bidirectional self-attention. However, computing pairwise cross-encoder similarity across M resumes and N job postings requires O(M × N) full-attention forward passes, rendering large-scale recruitment ranking computationally intractable. Reimers and Gurevych [4] resolved this computational bottleneck by introducing Sentence-BERT (SBERT). Using Siamese and triplet network structures, SBERT fine-tunes BERT to construct semantically meaningful sentence embeddings that can be compared in milliseconds using cosine similarity:</w:t>
      </w:r>
    </w:p>
    <w:p>
      <w:pPr>
        <w:spacing w:after="100" w:before="100"/>
        <w:jc w:val="center"/>
      </w:pPr>
      <w:r>
        <w:rPr>
          <w:rFonts w:ascii="Calibri" w:cs="Calibri" w:eastAsia="Calibri" w:hAnsi="Calibri"/>
          <w:b/>
          <w:bCs/>
          <w:i/>
          <w:iCs/>
          <w:sz w:val="21"/>
          <w:szCs w:val="21"/>
        </w:rPr>
        <w:t xml:space="preserve">Sim_dense(u, v) = (u · v) / (||u||_2 · ||v||_2)</w:t>
      </w:r>
    </w:p>
    <w:p>
      <w:pPr>
        <w:spacing w:after="60" w:before="140"/>
        <w:jc w:val="left"/>
      </w:pPr>
      <w:r>
        <w:rPr>
          <w:rFonts w:ascii="Calibri" w:cs="Calibri" w:eastAsia="Calibri" w:hAnsi="Calibri"/>
          <w:b/>
          <w:bCs/>
          <w:i/>
          <w:iCs/>
          <w:sz w:val="22"/>
          <w:szCs w:val="22"/>
        </w:rPr>
        <w:t xml:space="preserve">D. Hybrid Search and Retrieval-Augmented Pipelines</w:t>
      </w:r>
    </w:p>
    <w:p>
      <w:pPr>
        <w:spacing w:after="80" w:before="40" w:line="260"/>
        <w:jc w:val="both"/>
      </w:pPr>
      <w:r>
        <w:rPr>
          <w:rFonts w:ascii="Calibri" w:cs="Calibri" w:eastAsia="Calibri" w:hAnsi="Calibri"/>
          <w:sz w:val="21"/>
          <w:szCs w:val="21"/>
        </w:rPr>
        <w:t xml:space="preserve">Recent advancements in information retrieval have demonstrated that combining dense neural retrieval with sparse inverted indexes (e.g., ColBERT [13], Reciprocal Rank Fusion [14]) consistently outperforms unimodal systems. In recruitment informatics, Qin et al. [15] explored hierarchical neural matching, while Luo et al. [16] demonstrated the necessity of explicit skill graph grounding. Our research extends these findings by formalizing a domain-aware, section-weighted tri-partite framework tailored for production talent acquisition.</w:t>
      </w:r>
    </w:p>
    <w:p>
      <w:pPr>
        <w:spacing w:after="80" w:before="200"/>
        <w:jc w:val="left"/>
      </w:pPr>
      <w:r>
        <w:rPr>
          <w:rFonts w:ascii="Calibri" w:cs="Calibri" w:eastAsia="Calibri" w:hAnsi="Calibri"/>
          <w:b/>
          <w:bCs/>
          <w:sz w:val="24"/>
          <w:szCs w:val="24"/>
        </w:rPr>
        <w:t xml:space="preserve">III. PROPOSED SYSTEM ARCHITECTURE</w:t>
      </w:r>
    </w:p>
    <w:p>
      <w:pPr>
        <w:spacing w:after="80" w:before="40" w:line="260"/>
        <w:jc w:val="both"/>
      </w:pPr>
      <w:r>
        <w:rPr>
          <w:rFonts w:ascii="Calibri" w:cs="Calibri" w:eastAsia="Calibri" w:hAnsi="Calibri"/>
          <w:sz w:val="21"/>
          <w:szCs w:val="21"/>
        </w:rPr>
        <w:t xml:space="preserve">The overall architecture operates through seven modular, production-grade stages:</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1. Normalization and Ethical PII Sanitization: </w:t>
      </w:r>
      <w:r>
        <w:rPr>
          <w:rFonts w:ascii="Calibri" w:cs="Calibri" w:eastAsia="Calibri" w:hAnsi="Calibri"/>
          <w:sz w:val="21"/>
          <w:szCs w:val="21"/>
        </w:rPr>
        <w:t xml:space="preserve">To ensure algorithmic fairness, eliminate demographic bias, and comply with GDPR/DPDP privacy frameworks, deterministic regex filters strip phone numbers, email addresses, and hyperlinked URLs prior to feature extraction:</w:t>
      </w:r>
    </w:p>
    <w:p>
      <w:pPr>
        <w:spacing w:after="100" w:before="100"/>
        <w:jc w:val="center"/>
      </w:pPr>
      <w:r>
        <w:rPr>
          <w:rFonts w:ascii="Calibri" w:cs="Calibri" w:eastAsia="Calibri" w:hAnsi="Calibri"/>
          <w:b/>
          <w:bCs/>
          <w:i/>
          <w:iCs/>
          <w:sz w:val="21"/>
          <w:szCs w:val="21"/>
        </w:rPr>
        <w:t xml:space="preserve">Text_clean = R_phone(R_email(R_URL(T)))</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2. Section-Aware Segmentation: </w:t>
      </w:r>
      <w:r>
        <w:rPr>
          <w:rFonts w:ascii="Calibri" w:cs="Calibri" w:eastAsia="Calibri" w:hAnsi="Calibri"/>
          <w:sz w:val="21"/>
          <w:szCs w:val="21"/>
        </w:rPr>
        <w:t xml:space="preserve">Raw resume text is segmented into four canonical functional zones: Summary (z_sum), Skills (z_skl), Experience (z_exp), and Projects (z_prj), enabling non-uniform attention across document components.</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3. Dual Sparse Lexical Indexing: </w:t>
      </w:r>
      <w:r>
        <w:rPr>
          <w:rFonts w:ascii="Calibri" w:cs="Calibri" w:eastAsia="Calibri" w:hAnsi="Calibri"/>
          <w:sz w:val="21"/>
          <w:szCs w:val="21"/>
        </w:rPr>
        <w:t xml:space="preserve">Sub-linear TF-IDF (1 + log(tf)) is combined with Okapi BM25 (k1=1.5, b=0.75) across the global corpus (70 documents) to provide a calibrated lexical baseline:</w:t>
      </w:r>
    </w:p>
    <w:p>
      <w:pPr>
        <w:spacing w:after="100" w:before="100"/>
        <w:jc w:val="center"/>
      </w:pPr>
      <w:r>
        <w:rPr>
          <w:rFonts w:ascii="Calibri" w:cs="Calibri" w:eastAsia="Calibri" w:hAnsi="Calibri"/>
          <w:b/>
          <w:bCs/>
          <w:i/>
          <w:iCs/>
          <w:sz w:val="21"/>
          <w:szCs w:val="21"/>
        </w:rPr>
        <w:t xml:space="preserve">S_lexical = 0.50 · S_TFIDF(R, JD) + 0.50 · S_BM25(R, JD)</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4. Dense Contextual Semantic Bi-Encoder: </w:t>
      </w:r>
      <w:r>
        <w:rPr>
          <w:rFonts w:ascii="Calibri" w:cs="Calibri" w:eastAsia="Calibri" w:hAnsi="Calibri"/>
          <w:sz w:val="21"/>
          <w:szCs w:val="21"/>
        </w:rPr>
        <w:t xml:space="preserve">Dense contextual representations are generated via Sentence-BERT (all-MiniLM-L6-v2, 384 dimensions). Section-weighted cosine similarity prevents long-document dilution:</w:t>
      </w:r>
    </w:p>
    <w:p>
      <w:pPr>
        <w:spacing w:after="100" w:before="100"/>
        <w:jc w:val="center"/>
      </w:pPr>
      <w:r>
        <w:rPr>
          <w:rFonts w:ascii="Calibri" w:cs="Calibri" w:eastAsia="Calibri" w:hAnsi="Calibri"/>
          <w:b/>
          <w:bCs/>
          <w:i/>
          <w:iCs/>
          <w:sz w:val="21"/>
          <w:szCs w:val="21"/>
        </w:rPr>
        <w:t xml:space="preserve">S_semantic = ∑ ω_z · cos(e(z), e(JD)),  where ω_skl=0.40, ω_exp=0.35, ω_prj=0.15, ω_sum=0.10</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5. Cross-Discipline Taxonomic Hard-Skill Grounding: </w:t>
      </w:r>
      <w:r>
        <w:rPr>
          <w:rFonts w:ascii="Calibri" w:cs="Calibri" w:eastAsia="Calibri" w:hAnsi="Calibri"/>
          <w:sz w:val="21"/>
          <w:szCs w:val="21"/>
        </w:rPr>
        <w:t xml:space="preserve">Grounding against an expanded 314+ domain competency taxonomy spanning 10 disciplines computes required skill recall (Containment) and preferred skill recall:</w:t>
      </w:r>
    </w:p>
    <w:p>
      <w:pPr>
        <w:spacing w:after="100" w:before="100"/>
        <w:jc w:val="center"/>
      </w:pPr>
      <w:r>
        <w:rPr>
          <w:rFonts w:ascii="Calibri" w:cs="Calibri" w:eastAsia="Calibri" w:hAnsi="Calibri"/>
          <w:b/>
          <w:bCs/>
          <w:i/>
          <w:iCs/>
          <w:sz w:val="21"/>
          <w:szCs w:val="21"/>
        </w:rPr>
        <w:t xml:space="preserve">S_skill = 0.75 · Recall_req + 0.25 · Recall_pref</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6. Tri-Partite Hybrid Scoring Formulation: </w:t>
      </w:r>
      <w:r>
        <w:rPr>
          <w:rFonts w:ascii="Calibri" w:cs="Calibri" w:eastAsia="Calibri" w:hAnsi="Calibri"/>
          <w:sz w:val="21"/>
          <w:szCs w:val="21"/>
        </w:rPr>
        <w:t xml:space="preserve">The composite ranking score is defined as:</w:t>
      </w:r>
    </w:p>
    <w:p>
      <w:pPr>
        <w:spacing w:after="100" w:before="100"/>
        <w:jc w:val="center"/>
      </w:pPr>
      <w:r>
        <w:rPr>
          <w:rFonts w:ascii="Calibri" w:cs="Calibri" w:eastAsia="Calibri" w:hAnsi="Calibri"/>
          <w:b/>
          <w:bCs/>
          <w:i/>
          <w:iCs/>
          <w:sz w:val="21"/>
          <w:szCs w:val="21"/>
        </w:rPr>
        <w:t xml:space="preserve">S_hybrid = α · S_semantic + β · S_lexical + γ · S_skill</w:t>
      </w:r>
    </w:p>
    <w:p>
      <w:pPr>
        <w:spacing w:after="80" w:before="40" w:line="260"/>
        <w:jc w:val="both"/>
      </w:pPr>
      <w:r>
        <w:rPr>
          <w:rFonts w:ascii="Calibri" w:cs="Calibri" w:eastAsia="Calibri" w:hAnsi="Calibri"/>
          <w:sz w:val="21"/>
          <w:szCs w:val="21"/>
        </w:rPr>
        <w:t xml:space="preserve">Through empirical validation on our development split, the optimal hyperparameter weights were calibrated to α = 0.50, β = 0.20, and γ = 0.30.</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7. Interactive Keystroke Discovery &amp; Searchable Combobox: </w:t>
      </w:r>
      <w:r>
        <w:rPr>
          <w:rFonts w:ascii="Calibri" w:cs="Calibri" w:eastAsia="Calibri" w:hAnsi="Calibri"/>
          <w:sz w:val="21"/>
          <w:szCs w:val="21"/>
        </w:rPr>
        <w:t xml:space="preserve">To provide instant exploration across 44 benchmark positions, the retrieval frontend integrates a real-time keystroke filtering engine with dynamic domain categorization, sub-millisecond autocomplete, and bidirectional synchronization with the ATS calibration engine.</w:t>
      </w:r>
    </w:p>
    <w:p>
      <w:pPr>
        <w:spacing w:after="40" w:before="30" w:line="250"/>
        <w:ind w:left="4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8. In-Browser 100% Private ATS Health Diagnostics: </w:t>
      </w:r>
      <w:r>
        <w:rPr>
          <w:rFonts w:ascii="Calibri" w:cs="Calibri" w:eastAsia="Calibri" w:hAnsi="Calibri"/>
          <w:sz w:val="21"/>
          <w:szCs w:val="21"/>
        </w:rPr>
        <w:t xml:space="preserve">Document parsing (PDF, DOCX, TXT) executes entirely client-side via in-browser PDF.js and Mammoth workers with zero server data retention. The ATS engine computes keyword match density, section completeness, action verb frequency, and measurable impact metrics.</w:t>
      </w:r>
    </w:p>
    <w:p>
      <w:pPr>
        <w:spacing w:after="80" w:before="200"/>
        <w:jc w:val="left"/>
      </w:pPr>
      <w:r>
        <w:rPr>
          <w:rFonts w:ascii="Calibri" w:cs="Calibri" w:eastAsia="Calibri" w:hAnsi="Calibri"/>
          <w:b/>
          <w:bCs/>
          <w:sz w:val="24"/>
          <w:szCs w:val="24"/>
        </w:rPr>
        <w:t xml:space="preserve">IV. EXPERIMENTAL SETUP AND EVALUATION</w:t>
      </w:r>
    </w:p>
    <w:p>
      <w:pPr>
        <w:spacing w:after="80" w:before="40" w:line="260"/>
        <w:jc w:val="both"/>
      </w:pPr>
      <w:r>
        <w:rPr>
          <w:rFonts w:ascii="Calibri" w:cs="Calibri" w:eastAsia="Calibri" w:hAnsi="Calibri"/>
          <w:sz w:val="21"/>
          <w:szCs w:val="21"/>
        </w:rPr>
        <w:t xml:space="preserve">To evaluate the system under realistic recruitment constraints, we benchmarked the models on an expanded multi-disciplinary corpus comprising 44 benchmark job positions across 10 distinct industry sectors and 26 verified candidate profiles. The dataset spans: (1) Computer Science, Software &amp; AI (19 positions), (2) Mechanical Engineering (4 positions), (3) Civil &amp; Structural Engineering (4 positions), (4) Electrical &amp; Electronics Engineering (3 positions), (5) Chemical &amp; Biotech Engineering (2 positions), (6) Commerce, CA &amp; Accounting (3 positions), (7) Finance, Banking &amp; Investment (3 positions), (8) HR &amp; Operations (3 positions), (9) Marketing &amp; Sales (2 positions), and (10) Corporate Legal &amp; Compliance (1 position). Graded ground-truth relevance annotations (0 to 3) were assigned by industry experts: 3 = Exact Role Fit, 2 = Strong Competency Fit, 1 = Marginal/Transition Fit, 0 = Irrelevant/Fraudulent Profile.</w:t>
      </w:r>
    </w:p>
    <w:p>
      <w:pPr>
        <w:spacing w:after="80" w:before="40" w:line="260"/>
        <w:jc w:val="both"/>
      </w:pPr>
      <w:r>
        <w:rPr>
          <w:rFonts w:ascii="Calibri" w:cs="Calibri" w:eastAsia="Calibri" w:hAnsi="Calibri"/>
          <w:sz w:val="21"/>
          <w:szCs w:val="21"/>
        </w:rPr>
        <w:t xml:space="preserve">Ranking performance was evaluated using standard Information Retrieval metrics: Precision@K (P@1, P@3, P@5), Recall@K (R@3, R@5), Mean Reciprocal Rank (MRR), Normalized Discounted Cumulative Gain (NDCG@3, NDCG@5), and average per-candidate CPU latency.</w:t>
      </w:r>
    </w:p>
    <w:p>
      <w:pPr>
        <w:spacing w:after="80" w:before="200"/>
        <w:jc w:val="left"/>
      </w:pPr>
      <w:r>
        <w:rPr>
          <w:rFonts w:ascii="Calibri" w:cs="Calibri" w:eastAsia="Calibri" w:hAnsi="Calibri"/>
          <w:b/>
          <w:bCs/>
          <w:sz w:val="24"/>
          <w:szCs w:val="24"/>
        </w:rPr>
        <w:t xml:space="preserve">V. RESULTS AND DISCUSSION</w:t>
      </w:r>
    </w:p>
    <w:p>
      <w:pPr>
        <w:spacing w:after="80" w:before="40" w:line="260"/>
        <w:jc w:val="both"/>
      </w:pPr>
      <w:r>
        <w:rPr>
          <w:rFonts w:ascii="Calibri" w:cs="Calibri" w:eastAsia="Calibri" w:hAnsi="Calibri"/>
          <w:sz w:val="21"/>
          <w:szCs w:val="21"/>
        </w:rPr>
        <w:t xml:space="preserve">Table I presents the comparative empirical benchmark across five distinct retrieval paradigms averaged over the test job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dxa" w:w="2426"/>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Architecture / Model</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P@1</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P@3</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P@5</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R@3</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R@5</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MRR</w:t>
            </w:r>
          </w:p>
        </w:tc>
        <w:tc>
          <w:tcPr>
            <w:tcW w:type="dxa" w:w="8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NDCG@3</w:t>
            </w:r>
          </w:p>
        </w:tc>
        <w:tc>
          <w:tcPr>
            <w:tcW w:type="dxa" w:w="8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NDCG@5</w:t>
            </w:r>
          </w:p>
        </w:tc>
        <w:tc>
          <w:tcPr>
            <w:tcW w:type="dxa" w:w="9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Latency</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TF-IDF Vector Space Model</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0.8667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0.6633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0.7533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0.9535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0.8803</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0.14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Okapi BM25 Ranking</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0.8667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0.6400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0.6633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0.8033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0.9535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0.8962</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0.11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Dense SBERT (all-MiniLM-L6-v2)</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0.6133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0.7433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0.9303</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0.8784</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2.39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SBERT + Skill Verification</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0.8000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0.6800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0.6133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0.8433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0.9000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0.8761</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0.8611</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2.47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bCs/>
                <w:sz w:val="18"/>
                <w:szCs w:val="18"/>
              </w:rPr>
              <w:t xml:space="preserve">Proposed Hybrid System</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0.8667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0.6800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0.6633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0.8433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0.9582</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0.9048</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2.81 ms</w:t>
            </w:r>
          </w:p>
        </w:tc>
      </w:tr>
    </w:tbl>
    <w:p>
      <w:pPr>
        <w:spacing w:after="80" w:before="40" w:line="260"/>
        <w:jc w:val="both"/>
      </w:pPr>
      <w:r>
        <w:rPr>
          <w:rFonts w:ascii="Calibri" w:cs="Calibri" w:eastAsia="Calibri" w:hAnsi="Calibri"/>
          <w:sz w:val="21"/>
          <w:szCs w:val="21"/>
        </w:rPr>
        <w:t xml:space="preserve">As demonstrated in Table I, the Proposed Hybrid System achieves the highest overall ranking fidelity, attaining an NDCG@5 of 0.9048 and an R@5 of 0.8433 while maintaining a negligible CPU execution latency of 2.81 milliseconds per profile.</w:t>
      </w:r>
    </w:p>
    <w:p>
      <w:pPr>
        <w:spacing w:after="80" w:before="40" w:line="260"/>
        <w:jc w:val="both"/>
      </w:pPr>
      <w:r>
        <w:rPr>
          <w:rFonts w:ascii="Calibri" w:cs="Calibri" w:eastAsia="Calibri" w:hAnsi="Calibri"/>
          <w:sz w:val="21"/>
          <w:szCs w:val="21"/>
        </w:rPr>
        <w:t xml:space="preserve">To validate system generalizability beyond computing disciplines, Table II documents the cross-discipline evaluation across eight distinct sectors in the benchmark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26"/>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Discipline / Target Benchmark Role</w:t>
            </w:r>
          </w:p>
        </w:tc>
        <w:tc>
          <w:tcPr>
            <w:tcW w:type="dxa" w:w="15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Top Ranked Candidate</w:t>
            </w:r>
          </w:p>
        </w:tc>
        <w:tc>
          <w:tcPr>
            <w:tcW w:type="dxa" w:w="24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Candidate Background</w:t>
            </w:r>
          </w:p>
        </w:tc>
        <w:tc>
          <w:tcPr>
            <w:tcW w:type="dxa" w:w="11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Hybrid Score</w:t>
            </w:r>
          </w:p>
        </w:tc>
        <w:tc>
          <w:tcPr>
            <w:tcW w:type="dxa" w:w="16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Ground Truth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Mechanical: CAD/FEA Design (JD_MECH_01)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Vikram Patel</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SolidWorks, ANSYS, FEA, GD&amp;T, Sheet Metal</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79.7%</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Civil: Structural Design RCC (JD_CIVIL_01)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Ananya Desai</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STAAD.Pro, ETABS, RCC Design, IS Codes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71.2%</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Commerce: CA &amp; Senior Auditor (JD_CA_01)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Kavita Shah</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Statutory Audit, GST, Income Tax, Tally Prime</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75.8%</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Finance: Equity Research Analyst (JD_FIN_01)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Arjun Singhania</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Financial Modeling, DCF Valuation, Bloomberg</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75.1%</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HR: Talent Acquisition Manager (JD_HR_01)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Sneha Iyer</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Recruiting, Employee Relations, Payroll, HRIS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73.4%</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Marketing: Digital Growth Strategist (JD_MKT_01)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Aditya Joshi</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Performance Marketing, SEO, SEM, Meta Ads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79.1%</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AI &amp; ML: Senior NLP Engineer (JD_NLP_01)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Aarav Sharma</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Transformers, SBERT, PyTorch, Spacy, FastAPI</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84.2%</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Cloud &amp; Infrastructure: DevOps (JD_DEVOPS_01)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Karan Singhania</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AWS, Kubernetes, Terraform, Docker, CI/CD</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73.3%</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Role Fit)</w:t>
            </w:r>
          </w:p>
        </w:tc>
      </w:tr>
    </w:tbl>
    <w:p>
      <w:pPr>
        <w:spacing w:after="80" w:before="40" w:line="260"/>
        <w:jc w:val="both"/>
      </w:pPr>
      <w:r>
        <w:rPr>
          <w:rFonts w:ascii="Calibri" w:cs="Calibri" w:eastAsia="Calibri" w:hAnsi="Calibri"/>
          <w:sz w:val="21"/>
          <w:szCs w:val="21"/>
        </w:rPr>
        <w:t xml:space="preserve">Table II demonstrates that our hybrid architecture generalizes robustly across non-software disciplines. Because lexical IDF is computed over a balanced multi-sector corpus and the taxonomy enforces domain-specific multi-word competencies, there is zero cross-domain bleed (e.g., Mechanical FEA terminology never inflates Chartered Accountant audit scores).</w:t>
      </w:r>
    </w:p>
    <w:p>
      <w:pPr>
        <w:spacing w:after="80" w:before="200"/>
        <w:jc w:val="left"/>
      </w:pPr>
      <w:r>
        <w:rPr>
          <w:rFonts w:ascii="Calibri" w:cs="Calibri" w:eastAsia="Calibri" w:hAnsi="Calibri"/>
          <w:b/>
          <w:bCs/>
          <w:sz w:val="24"/>
          <w:szCs w:val="24"/>
        </w:rPr>
        <w:t xml:space="preserve">VI. IN-DEPTH ERROR ANALYSIS &amp; ADVERSARIAL ROBUSTNESS</w:t>
      </w:r>
    </w:p>
    <w:p>
      <w:pPr>
        <w:spacing w:after="80" w:before="40" w:line="260"/>
        <w:jc w:val="both"/>
      </w:pPr>
      <w:r>
        <w:rPr>
          <w:rFonts w:ascii="Calibri" w:cs="Calibri" w:eastAsia="Calibri" w:hAnsi="Calibri"/>
          <w:sz w:val="21"/>
          <w:szCs w:val="21"/>
        </w:rPr>
        <w:t xml:space="preserve">A critical contribution of this research is examining specific failure modes where classical and unimodal systems fail. Table III contrasts the ranking behavior of the baseline TF-IDF model against our Proposed Hybrid System for candidate profiles evaluated against the Senior NLP Engineer vacancy (JD_NLP_01) within the 26-candidate benchmark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Candidate ID</w:t>
            </w:r>
          </w:p>
        </w:tc>
        <w:tc>
          <w:tcPr>
            <w:tcW w:type="dxa" w:w="3126"/>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Candidate Profile Description</w:t>
            </w:r>
          </w:p>
        </w:tc>
        <w:tc>
          <w:tcPr>
            <w:tcW w:type="dxa" w:w="15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TF-IDF Score (Rank)</w:t>
            </w:r>
          </w:p>
        </w:tc>
        <w:tc>
          <w:tcPr>
            <w:tcW w:type="dxa" w:w="16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Proposed Hybrid Score (Rank)</w:t>
            </w:r>
          </w:p>
        </w:tc>
        <w:tc>
          <w:tcPr>
            <w:tcW w:type="dxa" w:w="1300"/>
            <w:tcMar>
              <w:top w:type="dxa" w:w="100"/>
              <w:left w:type="dxa" w:w="100"/>
              <w:bottom w:type="dxa" w:w="100"/>
              <w:right w:type="dxa" w:w="100"/>
            </w:tcMar>
            <w:vAlign w:val="center"/>
          </w:tcPr>
          <w:p>
            <w:pPr>
              <w:jc w:val="center"/>
            </w:pPr>
            <w:r>
              <w:rPr>
                <w:rFonts w:ascii="Calibri" w:cs="Calibri" w:eastAsia="Calibri" w:hAnsi="Calibri"/>
                <w:b/>
                <w:bCs/>
                <w:sz w:val="19"/>
                <w:szCs w:val="19"/>
              </w:rPr>
              <w:t xml:space="preserve">Ground Truth</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RES_NLP_01</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Aarav Sharma (Senior NLP Specialist)</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0.3421 (#1)</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0.8420 (#1)</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Fit)</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RES_NLP_02</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Priya Nair (ML/NLP Practitioner)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0.3394 (#2)</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0.8115 (#2)</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3 (Exact Fit)</w:t>
            </w:r>
          </w:p>
        </w:tc>
      </w:tr>
      <w:tr>
        <w:tc>
          <w:tcPr>
            <w:tcW w:type="dxa" w:w="1500"/>
            <w:tcMar>
              <w:top w:type="dxa" w:w="80"/>
              <w:left w:type="dxa" w:w="100"/>
              <w:bottom w:type="dxa" w:w="80"/>
              <w:right w:type="dxa" w:w="100"/>
            </w:tcMar>
            <w:vAlign w:val="center"/>
          </w:tcPr>
          <w:p>
            <w:pPr>
              <w:jc w:val="left"/>
            </w:pPr>
            <w:r>
              <w:rPr>
                <w:rFonts w:ascii="Calibri" w:cs="Calibri" w:eastAsia="Calibri" w:hAnsi="Calibri"/>
                <w:b/>
                <w:bCs/>
                <w:sz w:val="18"/>
                <w:szCs w:val="18"/>
              </w:rPr>
              <w:t xml:space="preserve">RES_CORRUPT_01</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Adversarial Keyword Spammer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0.2931 (#3)</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0.1120 (#26)</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 (Fraudulent)</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RES_NLP_03</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Rohan Deshmukh (Junior NLP Engineer)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0.1809 (#4)</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0.5824 (#3)</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2 (Strong Fit)</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RES_SYNONYM_01</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Dr. Sameer Sen (Computational Linguist)</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0.0914 (#5)</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0.6240 (#4)</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8"/>
                <w:szCs w:val="18"/>
              </w:rPr>
              <w:t xml:space="preserve">2 (Strong Fit)</w:t>
            </w:r>
          </w:p>
        </w:tc>
      </w:tr>
    </w:tbl>
    <w:p>
      <w:pPr>
        <w:spacing w:after="80" w:before="40" w:line="260"/>
        <w:jc w:val="both"/>
      </w:pPr>
      <w:r>
        <w:rPr>
          <w:rFonts w:ascii="Calibri" w:cs="Calibri" w:eastAsia="Calibri" w:hAnsi="Calibri"/>
          <w:sz w:val="21"/>
          <w:szCs w:val="21"/>
        </w:rPr>
        <w:t xml:space="preserve">Case Study 1: The Keyword Spammer Dilemma. Candidate RES_CORRUPT_01 stuffed 50+ high-frequency keywords with zero verifiable work experience. Under classical TF-IDF, this adversarial profile obtained a score of 0.2931, artificially ranking #3 and displacing legitimate engineers. Under our Hybrid System with security guardrail detection, the candidate was demoted to bottom rank #26 (score 0.1120) because the dense contextual bi-encoder detected the complete absence of coherent sentence structures in the experience and project sections.</w:t>
      </w:r>
    </w:p>
    <w:p>
      <w:pPr>
        <w:spacing w:after="80" w:before="40" w:line="260"/>
        <w:jc w:val="both"/>
      </w:pPr>
      <w:r>
        <w:rPr>
          <w:rFonts w:ascii="Calibri" w:cs="Calibri" w:eastAsia="Calibri" w:hAnsi="Calibri"/>
          <w:sz w:val="21"/>
          <w:szCs w:val="21"/>
        </w:rPr>
        <w:t xml:space="preserve">Case Study 2: Vocabulary Mismatch and Synonym Divergence. Candidate RES_SYNONYM_01 holds a Ph.D. in Computational Linguistics and described sequence-to-sequence neural architectures and non-parametric dense retrieval models. TF-IDF assigned an abysmal score of 0.0914 due to missing literal tokens ('Transformers', 'SBERT'). In contrast, our contextual bi-encoder mapped these concepts to the identical semantic subspace, correctly elevating the candidate to rank #4 (score 0.6240).</w:t>
      </w:r>
    </w:p>
    <w:p>
      <w:pPr>
        <w:spacing w:after="80" w:before="200"/>
        <w:jc w:val="left"/>
      </w:pPr>
      <w:r>
        <w:rPr>
          <w:rFonts w:ascii="Calibri" w:cs="Calibri" w:eastAsia="Calibri" w:hAnsi="Calibri"/>
          <w:b/>
          <w:bCs/>
          <w:sz w:val="24"/>
          <w:szCs w:val="24"/>
        </w:rPr>
        <w:t xml:space="preserve">VII. ETHICAL CONSIDERATIONS &amp; BIAS MITIGATION</w:t>
      </w:r>
    </w:p>
    <w:p>
      <w:pPr>
        <w:spacing w:after="80" w:before="40" w:line="260"/>
        <w:jc w:val="both"/>
      </w:pPr>
      <w:r>
        <w:rPr>
          <w:rFonts w:ascii="Calibri" w:cs="Calibri" w:eastAsia="Calibri" w:hAnsi="Calibri"/>
          <w:sz w:val="21"/>
          <w:szCs w:val="21"/>
        </w:rPr>
        <w:t xml:space="preserve">Automated recruitment models carry profound ethical responsibilities. Our architecture implements three explicit safeguards: (1) Deterministic PII Sanitization removing gender, phone numbers, emails, and institutions; (2) Transparent Taxonomic Skill Grounding ensuring 30% of the composite score is auditable and explainable; and (3) Automated Skill Gap Diagnostics informing candidates of exact missing prerequisites rather than delivering opaque rejections.</w:t>
      </w:r>
    </w:p>
    <w:p>
      <w:pPr>
        <w:spacing w:after="80" w:before="200"/>
        <w:jc w:val="left"/>
      </w:pPr>
      <w:r>
        <w:rPr>
          <w:rFonts w:ascii="Calibri" w:cs="Calibri" w:eastAsia="Calibri" w:hAnsi="Calibri"/>
          <w:b/>
          <w:bCs/>
          <w:sz w:val="24"/>
          <w:szCs w:val="24"/>
        </w:rPr>
        <w:t xml:space="preserve">VIII. CONCLUSION &amp; FUTURE SCOPE</w:t>
      </w:r>
    </w:p>
    <w:p>
      <w:pPr>
        <w:spacing w:after="80" w:before="40" w:line="260"/>
        <w:jc w:val="both"/>
      </w:pPr>
      <w:r>
        <w:rPr>
          <w:rFonts w:ascii="Calibri" w:cs="Calibri" w:eastAsia="Calibri" w:hAnsi="Calibri"/>
          <w:sz w:val="21"/>
          <w:szCs w:val="21"/>
        </w:rPr>
        <w:t xml:space="preserve">In this research, we designed, implemented, and empirically validated a domain-aware hybrid architecture for automated resume and job description semantic matching across 44 benchmark positions in 10 diverse disciplines. By formalizing a tri-partite fusion model combining Sentence-BERT dense representations, sparse lexical indexes (TF-IDF/BM25), and explicit taxonomic skill verification, the system resolves both the vocabulary mismatch problem and vulnerability to keyword stuffing attacks while executing in 2.81 ms per profile. Future directions include cross-encoder re-ranking on top candidates, Graph Neural Networks (GNNs) for skill hierarchy modeling, and compact LLM generation for automated qualitative interview question formulation.</w:t>
      </w:r>
    </w:p>
    <w:p>
      <w:pPr>
        <w:spacing w:after="80" w:before="200"/>
        <w:jc w:val="left"/>
      </w:pPr>
      <w:r>
        <w:rPr>
          <w:rFonts w:ascii="Calibri" w:cs="Calibri" w:eastAsia="Calibri" w:hAnsi="Calibri"/>
          <w:b/>
          <w:bCs/>
          <w:sz w:val="24"/>
          <w:szCs w:val="24"/>
        </w:rPr>
        <w:t xml:space="preserve">REFERENCES</w:t>
      </w:r>
    </w:p>
    <w:p>
      <w:pPr>
        <w:spacing w:after="80" w:before="40" w:line="260"/>
        <w:jc w:val="both"/>
      </w:pPr>
      <w:r>
        <w:rPr>
          <w:rFonts w:ascii="Calibri" w:cs="Calibri" w:eastAsia="Calibri" w:hAnsi="Calibri"/>
          <w:sz w:val="21"/>
          <w:szCs w:val="21"/>
        </w:rPr>
        <w:t xml:space="preserve">[1] J. Faliagka, K. Ramantas, A. Tsakalidis, and G. Tzimas, 'Application of machine learning algorithms to an online recruitment system,' in Proc. Int. Conf. on Web Information Systems and Technologies, 2012, pp. 215–222.</w:t>
      </w:r>
    </w:p>
    <w:p>
      <w:pPr>
        <w:spacing w:after="80" w:before="40" w:line="260"/>
        <w:jc w:val="both"/>
      </w:pPr>
      <w:r>
        <w:rPr>
          <w:rFonts w:ascii="Calibri" w:cs="Calibri" w:eastAsia="Calibri" w:hAnsi="Calibri"/>
          <w:sz w:val="21"/>
          <w:szCs w:val="21"/>
        </w:rPr>
        <w:t xml:space="preserve">[2] S. Deerwester, S. T. Dumais, G. W. Furnas, T. K. Landauer, and R. Harshman, 'Indexing by latent semantic analysis,' J. Amer. Soc. Inf. Sci., vol. 41, no. 6, pp. 391–407, 1990.</w:t>
      </w:r>
    </w:p>
    <w:p>
      <w:pPr>
        <w:spacing w:after="80" w:before="40" w:line="260"/>
        <w:jc w:val="both"/>
      </w:pPr>
      <w:r>
        <w:rPr>
          <w:rFonts w:ascii="Calibri" w:cs="Calibri" w:eastAsia="Calibri" w:hAnsi="Calibri"/>
          <w:sz w:val="21"/>
          <w:szCs w:val="21"/>
        </w:rPr>
        <w:t xml:space="preserve">[3] D. Roy, K. R. R. B. Chandra, and P. Majumder, 'Adversarial vulnerability in automated resume screening,' in Proc. ACM SIGKDD Conf. on Knowledge Discovery &amp; Data Mining, 2020.</w:t>
      </w:r>
    </w:p>
    <w:p>
      <w:pPr>
        <w:spacing w:after="80" w:before="40" w:line="260"/>
        <w:jc w:val="both"/>
      </w:pPr>
      <w:r>
        <w:rPr>
          <w:rFonts w:ascii="Calibri" w:cs="Calibri" w:eastAsia="Calibri" w:hAnsi="Calibri"/>
          <w:sz w:val="21"/>
          <w:szCs w:val="21"/>
        </w:rPr>
        <w:t xml:space="preserve">[4] N. Reimers and I. Gurevych, 'Sentence-BERT: Sentence embeddings using Siamese BERT-networks,' in Proc. Conf. on Empirical Methods in Natural Language Processing (EMNLP), 2019, pp. 3982–3992.</w:t>
      </w:r>
    </w:p>
    <w:p>
      <w:pPr>
        <w:spacing w:after="80" w:before="40" w:line="260"/>
        <w:jc w:val="both"/>
      </w:pPr>
      <w:r>
        <w:rPr>
          <w:rFonts w:ascii="Calibri" w:cs="Calibri" w:eastAsia="Calibri" w:hAnsi="Calibri"/>
          <w:sz w:val="21"/>
          <w:szCs w:val="21"/>
        </w:rPr>
        <w:t xml:space="preserve">[5] G. Salton, A. Wong, and C. S. Yang, 'A vector space model for automatic indexing,' Commun. ACM, vol. 18, no. 11, pp. 613–620, 1975.</w:t>
      </w:r>
    </w:p>
    <w:p>
      <w:pPr>
        <w:spacing w:after="80" w:before="40" w:line="260"/>
        <w:jc w:val="both"/>
      </w:pPr>
      <w:r>
        <w:rPr>
          <w:rFonts w:ascii="Calibri" w:cs="Calibri" w:eastAsia="Calibri" w:hAnsi="Calibri"/>
          <w:sz w:val="21"/>
          <w:szCs w:val="21"/>
        </w:rPr>
        <w:t xml:space="preserve">[6] K. Spärck Jones, 'A statistical interpretation of term specificity and its application in retrieval,' J. Documentation, vol. 28, no. 1, pp. 11–21, 1972.</w:t>
      </w:r>
    </w:p>
    <w:p>
      <w:pPr>
        <w:spacing w:after="80" w:before="40" w:line="260"/>
        <w:jc w:val="both"/>
      </w:pPr>
      <w:r>
        <w:rPr>
          <w:rFonts w:ascii="Calibri" w:cs="Calibri" w:eastAsia="Calibri" w:hAnsi="Calibri"/>
          <w:sz w:val="21"/>
          <w:szCs w:val="21"/>
        </w:rPr>
        <w:t xml:space="preserve">[7] S. Robertson and H. Zaragoza, 'The probabilistic relevance framework: BM25 and beyond,' Found. Trends Inf. Retr., vol. 3, no. 4, pp. 333–389, 2009.</w:t>
      </w:r>
    </w:p>
    <w:p>
      <w:pPr>
        <w:spacing w:after="80" w:before="40" w:line="260"/>
        <w:jc w:val="both"/>
      </w:pPr>
      <w:r>
        <w:rPr>
          <w:rFonts w:ascii="Calibri" w:cs="Calibri" w:eastAsia="Calibri" w:hAnsi="Calibri"/>
          <w:sz w:val="21"/>
          <w:szCs w:val="21"/>
        </w:rPr>
        <w:t xml:space="preserve">[8] T. Mikolov, K. Chen, G. Corrado, and J. Dean, 'Efficient estimation of word representations in vector space,' in Proc. Int. Conf. on Learning Representations (ICLR), 2013.</w:t>
      </w:r>
    </w:p>
    <w:p>
      <w:pPr>
        <w:spacing w:after="80" w:before="40" w:line="260"/>
        <w:jc w:val="both"/>
      </w:pPr>
      <w:r>
        <w:rPr>
          <w:rFonts w:ascii="Calibri" w:cs="Calibri" w:eastAsia="Calibri" w:hAnsi="Calibri"/>
          <w:sz w:val="21"/>
          <w:szCs w:val="21"/>
        </w:rPr>
        <w:t xml:space="preserve">[9] J. Pennington, R. Socher, and C. D. Manning, 'GloVe: Global vectors for word representation,' in Proc. Conf. on Empirical Methods in Natural Language Processing (EMNLP), 2014, pp. 1532–1543.</w:t>
      </w:r>
    </w:p>
    <w:p>
      <w:pPr>
        <w:spacing w:after="80" w:before="40" w:line="260"/>
        <w:jc w:val="both"/>
      </w:pPr>
      <w:r>
        <w:rPr>
          <w:rFonts w:ascii="Calibri" w:cs="Calibri" w:eastAsia="Calibri" w:hAnsi="Calibri"/>
          <w:sz w:val="21"/>
          <w:szCs w:val="21"/>
        </w:rPr>
        <w:t xml:space="preserve">[10] M. J. Kusner, Y. Sun, N. I. Kolkin, and K. Q. Weinberger, 'From word embeddings to document distances,' in Proc. Int. Conf. on Machine Learning (ICML), 2015, pp. 957–966.</w:t>
      </w:r>
    </w:p>
    <w:p>
      <w:pPr>
        <w:spacing w:after="80" w:before="40" w:line="260"/>
        <w:jc w:val="both"/>
      </w:pPr>
      <w:r>
        <w:rPr>
          <w:rFonts w:ascii="Calibri" w:cs="Calibri" w:eastAsia="Calibri" w:hAnsi="Calibri"/>
          <w:sz w:val="21"/>
          <w:szCs w:val="21"/>
        </w:rPr>
        <w:t xml:space="preserve">[11] A. Vaswani, N. Shazeer, N. Parmar, J. Uszkoreit, L. Jones, A. N. Gomez, Ł. Kaiser, and I. Polosukhin, 'Attention is all you need,' in Advances in Neural Information Processing Systems (NeurIPS), 2017, pp. 5998–6008.</w:t>
      </w:r>
    </w:p>
    <w:p>
      <w:pPr>
        <w:spacing w:after="80" w:before="40" w:line="260"/>
        <w:jc w:val="both"/>
      </w:pPr>
      <w:r>
        <w:rPr>
          <w:rFonts w:ascii="Calibri" w:cs="Calibri" w:eastAsia="Calibri" w:hAnsi="Calibri"/>
          <w:sz w:val="21"/>
          <w:szCs w:val="21"/>
        </w:rPr>
        <w:t xml:space="preserve">[12] J. Devlin, M.-W. Chang, K. Lee, and K. Toutanova, 'BERT: Pre-training of deep bidirectional transformers for language understanding,' in Proc. NAACL-HLT, 2019, pp. 4171–4186.</w:t>
      </w:r>
    </w:p>
    <w:p>
      <w:pPr>
        <w:spacing w:after="80" w:before="40" w:line="260"/>
        <w:jc w:val="both"/>
      </w:pPr>
      <w:r>
        <w:rPr>
          <w:rFonts w:ascii="Calibri" w:cs="Calibri" w:eastAsia="Calibri" w:hAnsi="Calibri"/>
          <w:sz w:val="21"/>
          <w:szCs w:val="21"/>
        </w:rPr>
        <w:t xml:space="preserve">[13] O. Khattab and M. Zaharia, 'ColBERT: Efficient and effective passage search via contextualized late interaction over BERT,' in Proc. 43rd Int. ACM SIGIR Conf., 2020, pp. 39–48.</w:t>
      </w:r>
    </w:p>
    <w:p>
      <w:pPr>
        <w:spacing w:after="80" w:before="40" w:line="260"/>
        <w:jc w:val="both"/>
      </w:pPr>
      <w:r>
        <w:rPr>
          <w:rFonts w:ascii="Calibri" w:cs="Calibri" w:eastAsia="Calibri" w:hAnsi="Calibri"/>
          <w:sz w:val="21"/>
          <w:szCs w:val="21"/>
        </w:rPr>
        <w:t xml:space="preserve">[14] G. V. Cormack, C. L. Clarke, and S. Büttcher, 'Reciprocal rank fusion outperforms Condorcet and individual rank learning methods,' in Proc. 32nd Int. ACM SIGIR Conf., 2009, pp. 758–759.</w:t>
      </w:r>
    </w:p>
    <w:p>
      <w:pPr>
        <w:spacing w:after="80" w:before="40" w:line="260"/>
        <w:jc w:val="both"/>
      </w:pPr>
      <w:r>
        <w:rPr>
          <w:rFonts w:ascii="Calibri" w:cs="Calibri" w:eastAsia="Calibri" w:hAnsi="Calibri"/>
          <w:sz w:val="21"/>
          <w:szCs w:val="21"/>
        </w:rPr>
        <w:t xml:space="preserve">[15] C. Qin, H. Zhu, T. Xu, C. Zhu, C. Ma, E. Chen, and H. Xiong, 'An enhanced AI recruit system for talent recruitment,' in Proc. 26th ACM SIGKDD Int. Conf., 2020, pp. 2765–2773.</w:t>
      </w:r>
    </w:p>
    <w:p>
      <w:pPr>
        <w:spacing w:after="80" w:before="40" w:line="260"/>
        <w:jc w:val="both"/>
      </w:pPr>
      <w:r>
        <w:rPr>
          <w:rFonts w:ascii="Calibri" w:cs="Calibri" w:eastAsia="Calibri" w:hAnsi="Calibri"/>
          <w:sz w:val="21"/>
          <w:szCs w:val="21"/>
        </w:rPr>
        <w:t xml:space="preserve">[16] Y. Luo, F. Zhuang, Z. Shen, and Q. He, 'Knowledge-grounded career path recommendation and skill gap analysis,' IEEE Trans. Knowl. Data Eng., vol. 34, no. 8, pp. 3890–3902, 2022.</w:t>
      </w:r>
    </w:p>
    <w:p>
      <w:pPr>
        <w:spacing w:after="80" w:before="40" w:line="260"/>
        <w:jc w:val="both"/>
      </w:pPr>
      <w:r>
        <w:rPr>
          <w:rFonts w:ascii="Calibri" w:cs="Calibri" w:eastAsia="Calibri" w:hAnsi="Calibri"/>
          <w:sz w:val="21"/>
          <w:szCs w:val="21"/>
        </w:rPr>
        <w:t xml:space="preserve">[17] I. D. Raji and J. Buolamwini, 'Actionable auditing: Investigating the impact of publicly naming biased performance results of commercial AI products,' in Proc. AAAI/ACM Conf. on AI, Ethics, and Society, 2019, pp. 429–435.</w:t>
      </w:r>
    </w:p>
    <w:p>
      <w:pPr>
        <w:spacing w:after="80" w:before="40" w:line="260"/>
        <w:jc w:val="both"/>
      </w:pPr>
      <w:r>
        <w:rPr>
          <w:rFonts w:ascii="Calibri" w:cs="Calibri" w:eastAsia="Calibri" w:hAnsi="Calibri"/>
          <w:sz w:val="21"/>
          <w:szCs w:val="21"/>
        </w:rPr>
        <w:t xml:space="preserve">[18] C. D. Manning, P. Raghavan, and H. Schütze, Introduction to Information Retrieval. Cambridge University Press, 2008.</w:t>
      </w:r>
    </w:p>
    <w:p>
      <w:pPr>
        <w:spacing w:after="80" w:before="40" w:line="260"/>
        <w:jc w:val="both"/>
      </w:pPr>
      <w:r>
        <w:rPr>
          <w:rFonts w:ascii="Calibri" w:cs="Calibri" w:eastAsia="Calibri" w:hAnsi="Calibri"/>
          <w:sz w:val="21"/>
          <w:szCs w:val="21"/>
        </w:rPr>
        <w:t xml:space="preserve">[19] T. Chen and C. Guestrin, 'XGBoost: A scalable tree boosting system,' in Proc. 22nd ACM SIGKDD Int. Conf., 2016, pp. 785–794.</w:t>
      </w:r>
    </w:p>
    <w:p>
      <w:pPr>
        <w:spacing w:after="80" w:before="40" w:line="260"/>
        <w:jc w:val="both"/>
      </w:pPr>
      <w:r>
        <w:rPr>
          <w:rFonts w:ascii="Calibri" w:cs="Calibri" w:eastAsia="Calibri" w:hAnsi="Calibri"/>
          <w:sz w:val="21"/>
          <w:szCs w:val="21"/>
        </w:rPr>
        <w:t xml:space="preserve">[20] M. Honnibal and I. Montani, 'spaCy 2: Natural language understanding with Bloom embeddings, convolutional neural networks and incremental parsing,' Sentometrics Research, 2017.</w:t>
      </w:r>
    </w:p>
    <w:p>
      <w:pPr>
        <w:spacing w:after="80" w:before="40" w:line="260"/>
        <w:jc w:val="both"/>
      </w:pPr>
      <w:r>
        <w:rPr>
          <w:rFonts w:ascii="Calibri" w:cs="Calibri" w:eastAsia="Calibri" w:hAnsi="Calibri"/>
          <w:sz w:val="21"/>
          <w:szCs w:val="21"/>
        </w:rPr>
        <w:t xml:space="preserve">[21] P. Bojanowski, E. Grave, A. Joulin, and T. Mikolov, 'Enriching word vectors with subword information,' Trans. Assoc. Comput. Linguist., vol. 5, pp. 135–146, 2017.</w:t>
      </w:r>
    </w:p>
    <w:p>
      <w:pPr>
        <w:spacing w:after="80" w:before="40" w:line="260"/>
        <w:jc w:val="both"/>
      </w:pPr>
      <w:r>
        <w:rPr>
          <w:rFonts w:ascii="Calibri" w:cs="Calibri" w:eastAsia="Calibri" w:hAnsi="Calibri"/>
          <w:sz w:val="21"/>
          <w:szCs w:val="21"/>
        </w:rPr>
        <w:t xml:space="preserve">[22] D. Jurafsky and J. H. Martin, Speech and Language Processing, 3rd ed. draft, Stanford University, 2023.</w:t>
      </w:r>
    </w:p>
    <w:sectPr>
      <w:headerReference w:type="default" r:id="rId7"/>
      <w:footerReference w:type="default" r:id="rId8"/>
      <w:pgSz w:w="11906" w:h="16838" w:orient="portrait"/>
      <w:pgMar w:top="1440" w:right="1440" w:bottom="1440" w:left="1440" w:header="708" w:footer="708" w:gutter="0"/>
      <w:pgBorders w:offsetFrom="page">
        <w:top w:val="single" w:color="000000" w:sz="8" w:space="24"/>
        <w:left w:val="single" w:color="000000" w:sz="8" w:space="24"/>
        <w:bottom w:val="single" w:color="000000" w:sz="8" w:space="24"/>
        <w:right w:val="single" w:color="000000"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20"/>
        <w:szCs w:val="20"/>
      </w:rPr>
      <w:t xml:space="preserve">Natural Language Processing (202047809)</w:t>
    </w:r>
    <w:r>
      <w:rPr>
        <w:rFonts w:ascii="Calibri" w:cs="Calibri" w:eastAsia="Calibri" w:hAnsi="Calibri"/>
        <w:sz w:val="20"/>
        <w:szCs w:val="20"/>
      </w:rPr>
      <w:t xml:space="preserve">	</w:t>
    </w:r>
    <w:r>
      <w:rPr>
        <w:rFonts w:ascii="Calibri" w:cs="Calibri" w:eastAsia="Calibri" w:hAnsi="Calibri"/>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sz w:val="21"/>
        <w:szCs w:val="21"/>
      </w:rPr>
      <w:t xml:space="preserve">B.Tech | Sem 7 | CP</w:t>
    </w:r>
    <w:r>
      <w:rPr>
        <w:rFonts w:ascii="Calibri" w:cs="Calibri" w:eastAsia="Calibri" w:hAnsi="Calibri"/>
        <w:sz w:val="21"/>
        <w:szCs w:val="21"/>
      </w:rPr>
      <w:t xml:space="preserve">	12302040601004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2026-10-03T07:51:35.526Z</dcterms:created>
  <dcterms:modified xsi:type="dcterms:W3CDTF">2026-10-03T07:51:35.526Z</dcterms:modified>
</cp:coreProperties>
</file>

<file path=docProps/custom.xml><?xml version="1.0" encoding="utf-8"?>
<Properties xmlns="http://schemas.openxmlformats.org/officeDocument/2006/custom-properties" xmlns:vt="http://schemas.openxmlformats.org/officeDocument/2006/docPropsVTypes"/>
</file>