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FFFF" w:sz="2"/>
              <w:left w:val="single" w:color="FFFFFF" w:sz="2"/>
              <w:bottom w:val="single" w:color="FFFFFF" w:sz="2"/>
              <w:right w:val="single" w:color="FFFFFF" w:sz="2"/>
            </w:tcBorders>
            <w:shd w:fill="FFFFFF" w:val="clear"/>
            <w:tcMar>
              <w:top w:type="dxa" w:w="500"/>
              <w:left w:type="dxa" w:w="300"/>
              <w:bottom w:type="dxa" w:w="300"/>
              <w:right w:type="dxa" w:w="300"/>
            </w:tcMar>
          </w:tcPr>
          <w:p>
            <w:pPr>
              <w:spacing w:after="0"/>
              <w:jc w:val="center"/>
            </w:pPr>
            <w:r>
              <w:drawing>
                <wp:inline distT="0" distB="0" distL="0" distR="0">
                  <wp:extent cx="2857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66775"/>
                          </a:xfrm>
                          <a:prstGeom prst="rect">
                            <a:avLst/>
                          </a:prstGeom>
                        </pic:spPr>
                      </pic:pic>
                    </a:graphicData>
                  </a:graphic>
                </wp:inline>
              </w:drawing>
            </w:r>
          </w:p>
        </w:tc>
      </w:tr>
    </w:tbl>
    <w:p>
      <w:pPr>
        <w:spacing w:after="8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2406E" w:sz="2"/>
              <w:left w:val="single" w:color="12406E" w:sz="2"/>
              <w:bottom w:val="single" w:color="12406E" w:sz="2"/>
              <w:right w:val="single" w:color="12406E" w:sz="2"/>
            </w:tcBorders>
            <w:shd w:fill="12406E" w:val="clear"/>
            <w:tcMar>
              <w:top w:type="dxa" w:w="420"/>
              <w:left w:type="dxa" w:w="300"/>
              <w:bottom w:type="dxa" w:w="420"/>
              <w:right w:type="dxa" w:w="300"/>
            </w:tcMar>
          </w:tcPr>
          <w:p>
            <w:pPr>
              <w:spacing w:after="140"/>
              <w:jc w:val="center"/>
            </w:pPr>
            <w:r>
              <w:rPr>
                <w:rFonts w:ascii="Calibri" w:cs="Calibri" w:eastAsia="Calibri" w:hAnsi="Calibri"/>
                <w:b/>
                <w:bCs/>
                <w:color w:val="FFFFFF"/>
                <w:sz w:val="40"/>
                <w:szCs w:val="40"/>
              </w:rPr>
              <w:t xml:space="preserve">CAHIER DES CHARGES COMPLET</w:t>
            </w:r>
          </w:p>
          <w:p>
            <w:pPr>
              <w:spacing w:after="100"/>
              <w:jc w:val="center"/>
            </w:pPr>
            <w:r>
              <w:rPr>
                <w:rFonts w:ascii="Calibri" w:cs="Calibri" w:eastAsia="Calibri" w:hAnsi="Calibri"/>
                <w:i/>
                <w:iCs/>
                <w:color w:val="DCEFEF"/>
                <w:sz w:val="22"/>
                <w:szCs w:val="22"/>
              </w:rPr>
              <w:t xml:space="preserve">Plateforme universitaire intelligente, modulaire et Offline First</w:t>
            </w:r>
          </w:p>
          <w:p>
            <w:pPr>
              <w:spacing w:after="0"/>
              <w:jc w:val="center"/>
            </w:pPr>
            <w:r>
              <w:rPr>
                <w:rFonts w:ascii="Calibri" w:cs="Calibri" w:eastAsia="Calibri" w:hAnsi="Calibri"/>
                <w:b/>
                <w:bCs/>
                <w:color w:val="FFFFFF"/>
                <w:sz w:val="20"/>
                <w:szCs w:val="20"/>
              </w:rPr>
              <w:t xml:space="preserve">Édition enrichie — adaptation au contexte camerounais</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0E7A80" w:sz="2"/>
              <w:left w:val="single" w:color="0E7A80" w:sz="2"/>
              <w:bottom w:val="single" w:color="0E7A80" w:sz="2"/>
              <w:right w:val="single" w:color="0E7A80" w:sz="2"/>
            </w:tcBorders>
            <w:shd w:fill="0E7A80" w:val="clear"/>
            <w:tcMar>
              <w:top w:type="dxa" w:w="30"/>
              <w:left w:type="dxa" w:w="300"/>
              <w:bottom w:type="dxa" w:w="30"/>
              <w:right w:type="dxa" w:w="300"/>
            </w:tcMar>
          </w:tcPr>
          <w:p/>
        </w:tc>
      </w:tr>
    </w:tbl>
    <w:p>
      <w:pPr>
        <w:spacing w:after="260"/>
      </w:pP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200"/>
        <w:gridCol w:w="7006"/>
      </w:tblGrid>
      <w:tr>
        <w:tc>
          <w:tcPr>
            <w:tcW w:type="dxa" w:w="320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Nom du projet</w:t>
            </w:r>
          </w:p>
        </w:tc>
        <w:tc>
          <w:tcPr>
            <w:tcW w:type="dxa" w:w="7006"/>
            <w:shd w:fill="F3F5F8"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UniFlow</w:t>
            </w:r>
          </w:p>
        </w:tc>
      </w:tr>
      <w:tr>
        <w:tc>
          <w:tcPr>
            <w:tcW w:type="dxa" w:w="320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Version du document</w:t>
            </w:r>
          </w:p>
        </w:tc>
        <w:tc>
          <w:tcPr>
            <w:tcW w:type="dxa" w:w="7006"/>
            <w:shd w:fill="F3F5F8"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2.0.0 — Édition consolidée &amp; contextualisée Cameroun</w:t>
            </w:r>
          </w:p>
        </w:tc>
      </w:tr>
      <w:tr>
        <w:tc>
          <w:tcPr>
            <w:tcW w:type="dxa" w:w="320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 de document</w:t>
            </w:r>
          </w:p>
        </w:tc>
        <w:tc>
          <w:tcPr>
            <w:tcW w:type="dxa" w:w="7006"/>
            <w:shd w:fill="F3F5F8"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Cahier des charges (analyse complète)</w:t>
            </w:r>
          </w:p>
        </w:tc>
      </w:tr>
      <w:tr>
        <w:tc>
          <w:tcPr>
            <w:tcW w:type="dxa" w:w="320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Date</w:t>
            </w:r>
          </w:p>
        </w:tc>
        <w:tc>
          <w:tcPr>
            <w:tcW w:type="dxa" w:w="7006"/>
            <w:shd w:fill="F3F5F8"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12 Juillet 2026</w:t>
            </w:r>
          </w:p>
        </w:tc>
      </w:tr>
      <w:tr>
        <w:tc>
          <w:tcPr>
            <w:tcW w:type="dxa" w:w="320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Licence prévue</w:t>
            </w:r>
          </w:p>
        </w:tc>
        <w:tc>
          <w:tcPr>
            <w:tcW w:type="dxa" w:w="7006"/>
            <w:shd w:fill="F3F5F8"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MIT</w:t>
            </w:r>
          </w:p>
        </w:tc>
      </w:tr>
      <w:tr>
        <w:tc>
          <w:tcPr>
            <w:tcW w:type="dxa" w:w="320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Statut</w:t>
            </w:r>
          </w:p>
        </w:tc>
        <w:tc>
          <w:tcPr>
            <w:tcW w:type="dxa" w:w="7006"/>
            <w:shd w:fill="F3F5F8"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Étude terminée — GO recommandé, sous conditions locales</w:t>
            </w:r>
          </w:p>
        </w:tc>
      </w:tr>
      <w:tr>
        <w:tc>
          <w:tcPr>
            <w:tcW w:type="dxa" w:w="320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Porteur de projet</w:t>
            </w:r>
          </w:p>
        </w:tc>
        <w:tc>
          <w:tcPr>
            <w:tcW w:type="dxa" w:w="7006"/>
            <w:shd w:fill="F3F5F8"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KERNEL FORGE — Université de Yaoundé I</w:t>
            </w:r>
          </w:p>
        </w:tc>
      </w:tr>
    </w:tbl>
    <w:p>
      <w:pPr>
        <w:spacing w:before="700"/>
        <w:jc w:val="center"/>
      </w:pPr>
      <w:r>
        <w:rPr>
          <w:rFonts w:ascii="Calibri" w:cs="Calibri" w:eastAsia="Calibri" w:hAnsi="Calibri"/>
          <w:i/>
          <w:iCs/>
          <w:color w:val="5B6472"/>
          <w:sz w:val="18"/>
          <w:szCs w:val="18"/>
        </w:rPr>
        <w:t xml:space="preserve">Document interne — usage académique et institutionnel</w:t>
      </w:r>
    </w:p>
    <w:p>
      <w:pPr>
        <w:pageBreakBefore/>
        <w:spacing w:after="280"/>
      </w:pPr>
      <w:r>
        <w:rPr>
          <w:rFonts w:ascii="Calibri" w:cs="Calibri" w:eastAsia="Calibri" w:hAnsi="Calibri"/>
          <w:b/>
          <w:bCs/>
          <w:color w:val="12406E"/>
          <w:sz w:val="30"/>
          <w:szCs w:val="30"/>
        </w:rPr>
        <w:t xml:space="preserve">Sommaire</w:t>
      </w:r>
    </w:p>
    <w:p>
      <w:pPr>
        <w:pBdr>
          <w:bottom w:val="single" w:color="E2E6EC" w:sz="2" w:space="4"/>
        </w:pBdr>
        <w:spacing w:after="130"/>
      </w:pPr>
      <w:r>
        <w:rPr>
          <w:rFonts w:ascii="Calibri" w:cs="Calibri" w:eastAsia="Calibri" w:hAnsi="Calibri"/>
          <w:b/>
          <w:bCs/>
          <w:color w:val="12406E"/>
          <w:sz w:val="22"/>
          <w:szCs w:val="22"/>
        </w:rPr>
        <w:t xml:space="preserve">1.  </w:t>
      </w:r>
      <w:r>
        <w:rPr>
          <w:rFonts w:ascii="Calibri" w:cs="Calibri" w:eastAsia="Calibri" w:hAnsi="Calibri"/>
          <w:b w:val="false"/>
          <w:bCs w:val="false"/>
          <w:color w:val="222831"/>
          <w:sz w:val="22"/>
          <w:szCs w:val="22"/>
        </w:rPr>
        <w:t xml:space="preserve">Présentation du projet</w:t>
      </w:r>
    </w:p>
    <w:p>
      <w:pPr>
        <w:pBdr>
          <w:bottom w:val="single" w:color="E2E6EC" w:sz="2" w:space="4"/>
        </w:pBdr>
        <w:spacing w:after="130"/>
      </w:pPr>
      <w:r>
        <w:rPr>
          <w:rFonts w:ascii="Calibri" w:cs="Calibri" w:eastAsia="Calibri" w:hAnsi="Calibri"/>
          <w:b/>
          <w:bCs/>
          <w:color w:val="12406E"/>
          <w:sz w:val="22"/>
          <w:szCs w:val="22"/>
        </w:rPr>
        <w:t xml:space="preserve">2.  </w:t>
      </w:r>
      <w:r>
        <w:rPr>
          <w:rFonts w:ascii="Calibri" w:cs="Calibri" w:eastAsia="Calibri" w:hAnsi="Calibri"/>
          <w:b w:val="false"/>
          <w:bCs w:val="false"/>
          <w:color w:val="222831"/>
          <w:sz w:val="22"/>
          <w:szCs w:val="22"/>
        </w:rPr>
        <w:t xml:space="preserve">Objectifs du projet</w:t>
      </w:r>
    </w:p>
    <w:p>
      <w:pPr>
        <w:pBdr>
          <w:bottom w:val="single" w:color="E2E6EC" w:sz="2" w:space="4"/>
        </w:pBdr>
        <w:spacing w:after="130"/>
      </w:pPr>
      <w:r>
        <w:rPr>
          <w:rFonts w:ascii="Calibri" w:cs="Calibri" w:eastAsia="Calibri" w:hAnsi="Calibri"/>
          <w:b/>
          <w:bCs/>
          <w:color w:val="12406E"/>
          <w:sz w:val="22"/>
          <w:szCs w:val="22"/>
        </w:rPr>
        <w:t xml:space="preserve">3.  </w:t>
      </w:r>
      <w:r>
        <w:rPr>
          <w:rFonts w:ascii="Calibri" w:cs="Calibri" w:eastAsia="Calibri" w:hAnsi="Calibri"/>
          <w:b w:val="false"/>
          <w:bCs w:val="false"/>
          <w:color w:val="222831"/>
          <w:sz w:val="22"/>
          <w:szCs w:val="22"/>
        </w:rPr>
        <w:t xml:space="preserve">Étude de faisabilité (synthèse)</w:t>
      </w:r>
    </w:p>
    <w:p>
      <w:pPr>
        <w:pBdr>
          <w:bottom w:val="single" w:color="E2E6EC" w:sz="2" w:space="4"/>
        </w:pBdr>
        <w:spacing w:after="130"/>
      </w:pPr>
      <w:r>
        <w:rPr>
          <w:rFonts w:ascii="Calibri" w:cs="Calibri" w:eastAsia="Calibri" w:hAnsi="Calibri"/>
          <w:b/>
          <w:bCs/>
          <w:color w:val="12406E"/>
          <w:sz w:val="22"/>
          <w:szCs w:val="22"/>
        </w:rPr>
        <w:t xml:space="preserve">4.  </w:t>
      </w:r>
      <w:r>
        <w:rPr>
          <w:rFonts w:ascii="Calibri" w:cs="Calibri" w:eastAsia="Calibri" w:hAnsi="Calibri"/>
          <w:b w:val="false"/>
          <w:bCs w:val="false"/>
          <w:color w:val="222831"/>
          <w:sz w:val="22"/>
          <w:szCs w:val="22"/>
        </w:rPr>
        <w:t xml:space="preserve">Périmètre fonctionnel</w:t>
      </w:r>
    </w:p>
    <w:p>
      <w:pPr>
        <w:pBdr>
          <w:bottom w:val="single" w:color="E2E6EC" w:sz="2" w:space="4"/>
        </w:pBdr>
        <w:spacing w:after="130"/>
      </w:pPr>
      <w:r>
        <w:rPr>
          <w:rFonts w:ascii="Calibri" w:cs="Calibri" w:eastAsia="Calibri" w:hAnsi="Calibri"/>
          <w:b/>
          <w:bCs/>
          <w:color w:val="12406E"/>
          <w:sz w:val="22"/>
          <w:szCs w:val="22"/>
        </w:rPr>
        <w:t xml:space="preserve">5.  </w:t>
      </w:r>
      <w:r>
        <w:rPr>
          <w:rFonts w:ascii="Calibri" w:cs="Calibri" w:eastAsia="Calibri" w:hAnsi="Calibri"/>
          <w:b w:val="false"/>
          <w:bCs w:val="false"/>
          <w:color w:val="222831"/>
          <w:sz w:val="22"/>
          <w:szCs w:val="22"/>
        </w:rPr>
        <w:t xml:space="preserve">Acteurs et rôles</w:t>
      </w:r>
    </w:p>
    <w:p>
      <w:pPr>
        <w:pBdr>
          <w:bottom w:val="single" w:color="E2E6EC" w:sz="2" w:space="4"/>
        </w:pBdr>
        <w:spacing w:after="130"/>
      </w:pPr>
      <w:r>
        <w:rPr>
          <w:rFonts w:ascii="Calibri" w:cs="Calibri" w:eastAsia="Calibri" w:hAnsi="Calibri"/>
          <w:b/>
          <w:bCs/>
          <w:color w:val="12406E"/>
          <w:sz w:val="22"/>
          <w:szCs w:val="22"/>
        </w:rPr>
        <w:t xml:space="preserve">6.  </w:t>
      </w:r>
      <w:r>
        <w:rPr>
          <w:rFonts w:ascii="Calibri" w:cs="Calibri" w:eastAsia="Calibri" w:hAnsi="Calibri"/>
          <w:b w:val="false"/>
          <w:bCs w:val="false"/>
          <w:color w:val="222831"/>
          <w:sz w:val="22"/>
          <w:szCs w:val="22"/>
        </w:rPr>
        <w:t xml:space="preserve">Architecture technique</w:t>
      </w:r>
    </w:p>
    <w:p>
      <w:pPr>
        <w:pBdr>
          <w:bottom w:val="single" w:color="E2E6EC" w:sz="2" w:space="4"/>
        </w:pBdr>
        <w:spacing w:after="130"/>
      </w:pPr>
      <w:r>
        <w:rPr>
          <w:rFonts w:ascii="Calibri" w:cs="Calibri" w:eastAsia="Calibri" w:hAnsi="Calibri"/>
          <w:b/>
          <w:bCs/>
          <w:color w:val="12406E"/>
          <w:sz w:val="22"/>
          <w:szCs w:val="22"/>
        </w:rPr>
        <w:t xml:space="preserve">7.  </w:t>
      </w:r>
      <w:r>
        <w:rPr>
          <w:rFonts w:ascii="Calibri" w:cs="Calibri" w:eastAsia="Calibri" w:hAnsi="Calibri"/>
          <w:b w:val="false"/>
          <w:bCs w:val="false"/>
          <w:color w:val="222831"/>
          <w:sz w:val="22"/>
          <w:szCs w:val="22"/>
        </w:rPr>
        <w:t xml:space="preserve">Exigences techniques et stack technologique</w:t>
      </w:r>
    </w:p>
    <w:p>
      <w:pPr>
        <w:pBdr>
          <w:bottom w:val="single" w:color="E2E6EC" w:sz="2" w:space="4"/>
        </w:pBdr>
        <w:spacing w:after="130"/>
      </w:pPr>
      <w:r>
        <w:rPr>
          <w:rFonts w:ascii="Calibri" w:cs="Calibri" w:eastAsia="Calibri" w:hAnsi="Calibri"/>
          <w:b/>
          <w:bCs/>
          <w:color w:val="12406E"/>
          <w:sz w:val="22"/>
          <w:szCs w:val="22"/>
        </w:rPr>
        <w:t xml:space="preserve">8.  </w:t>
      </w:r>
      <w:r>
        <w:rPr>
          <w:rFonts w:ascii="Calibri" w:cs="Calibri" w:eastAsia="Calibri" w:hAnsi="Calibri"/>
          <w:b w:val="false"/>
          <w:bCs w:val="false"/>
          <w:color w:val="222831"/>
          <w:sz w:val="22"/>
          <w:szCs w:val="22"/>
        </w:rPr>
        <w:t xml:space="preserve">Modèle de données</w:t>
      </w:r>
    </w:p>
    <w:p>
      <w:pPr>
        <w:pBdr>
          <w:bottom w:val="single" w:color="E2E6EC" w:sz="2" w:space="4"/>
        </w:pBdr>
        <w:spacing w:after="130"/>
      </w:pPr>
      <w:r>
        <w:rPr>
          <w:rFonts w:ascii="Calibri" w:cs="Calibri" w:eastAsia="Calibri" w:hAnsi="Calibri"/>
          <w:b/>
          <w:bCs/>
          <w:color w:val="12406E"/>
          <w:sz w:val="22"/>
          <w:szCs w:val="22"/>
        </w:rPr>
        <w:t xml:space="preserve">9.  </w:t>
      </w:r>
      <w:r>
        <w:rPr>
          <w:rFonts w:ascii="Calibri" w:cs="Calibri" w:eastAsia="Calibri" w:hAnsi="Calibri"/>
          <w:b w:val="false"/>
          <w:bCs w:val="false"/>
          <w:color w:val="222831"/>
          <w:sz w:val="22"/>
          <w:szCs w:val="22"/>
        </w:rPr>
        <w:t xml:space="preserve">Exigences de sécurité</w:t>
      </w:r>
    </w:p>
    <w:p>
      <w:pPr>
        <w:pBdr>
          <w:bottom w:val="single" w:color="E2E6EC" w:sz="2" w:space="4"/>
        </w:pBdr>
        <w:spacing w:after="130"/>
      </w:pPr>
      <w:r>
        <w:rPr>
          <w:rFonts w:ascii="Calibri" w:cs="Calibri" w:eastAsia="Calibri" w:hAnsi="Calibri"/>
          <w:b/>
          <w:bCs/>
          <w:color w:val="12406E"/>
          <w:sz w:val="22"/>
          <w:szCs w:val="22"/>
        </w:rPr>
        <w:t xml:space="preserve">10.  </w:t>
      </w:r>
      <w:r>
        <w:rPr>
          <w:rFonts w:ascii="Calibri" w:cs="Calibri" w:eastAsia="Calibri" w:hAnsi="Calibri"/>
          <w:b w:val="false"/>
          <w:bCs w:val="false"/>
          <w:color w:val="222831"/>
          <w:sz w:val="22"/>
          <w:szCs w:val="22"/>
        </w:rPr>
        <w:t xml:space="preserve">Exigences relatives à l'API</w:t>
      </w:r>
    </w:p>
    <w:p>
      <w:pPr>
        <w:pBdr>
          <w:bottom w:val="single" w:color="E2E6EC" w:sz="2" w:space="4"/>
        </w:pBdr>
        <w:spacing w:after="130"/>
      </w:pPr>
      <w:r>
        <w:rPr>
          <w:rFonts w:ascii="Calibri" w:cs="Calibri" w:eastAsia="Calibri" w:hAnsi="Calibri"/>
          <w:b/>
          <w:bCs/>
          <w:color w:val="12406E"/>
          <w:sz w:val="22"/>
          <w:szCs w:val="22"/>
        </w:rPr>
        <w:t xml:space="preserve">11.  </w:t>
      </w:r>
      <w:r>
        <w:rPr>
          <w:rFonts w:ascii="Calibri" w:cs="Calibri" w:eastAsia="Calibri" w:hAnsi="Calibri"/>
          <w:b w:val="false"/>
          <w:bCs w:val="false"/>
          <w:color w:val="222831"/>
          <w:sz w:val="22"/>
          <w:szCs w:val="22"/>
        </w:rPr>
        <w:t xml:space="preserve">Plan de déploiement et DevOps</w:t>
      </w:r>
    </w:p>
    <w:p>
      <w:pPr>
        <w:pBdr>
          <w:bottom w:val="single" w:color="E2E6EC" w:sz="2" w:space="4"/>
        </w:pBdr>
        <w:spacing w:after="130"/>
      </w:pPr>
      <w:r>
        <w:rPr>
          <w:rFonts w:ascii="Calibri" w:cs="Calibri" w:eastAsia="Calibri" w:hAnsi="Calibri"/>
          <w:b/>
          <w:bCs/>
          <w:color w:val="12406E"/>
          <w:sz w:val="22"/>
          <w:szCs w:val="22"/>
        </w:rPr>
        <w:t xml:space="preserve">12.  </w:t>
      </w:r>
      <w:r>
        <w:rPr>
          <w:rFonts w:ascii="Calibri" w:cs="Calibri" w:eastAsia="Calibri" w:hAnsi="Calibri"/>
          <w:b w:val="false"/>
          <w:bCs w:val="false"/>
          <w:color w:val="222831"/>
          <w:sz w:val="22"/>
          <w:szCs w:val="22"/>
        </w:rPr>
        <w:t xml:space="preserve">Exigences non fonctionnelles</w:t>
      </w:r>
    </w:p>
    <w:p>
      <w:pPr>
        <w:pBdr>
          <w:bottom w:val="single" w:color="E2E6EC" w:sz="2" w:space="4"/>
        </w:pBdr>
        <w:spacing w:after="130"/>
      </w:pPr>
      <w:r>
        <w:rPr>
          <w:rFonts w:ascii="Calibri" w:cs="Calibri" w:eastAsia="Calibri" w:hAnsi="Calibri"/>
          <w:b/>
          <w:bCs/>
          <w:color w:val="12406E"/>
          <w:sz w:val="22"/>
          <w:szCs w:val="22"/>
        </w:rPr>
        <w:t xml:space="preserve">13.  </w:t>
      </w:r>
      <w:r>
        <w:rPr>
          <w:rFonts w:ascii="Calibri" w:cs="Calibri" w:eastAsia="Calibri" w:hAnsi="Calibri"/>
          <w:b w:val="false"/>
          <w:bCs w:val="false"/>
          <w:color w:val="222831"/>
          <w:sz w:val="22"/>
          <w:szCs w:val="22"/>
        </w:rPr>
        <w:t xml:space="preserve">Estimation des coûts</w:t>
      </w:r>
    </w:p>
    <w:p>
      <w:pPr>
        <w:pBdr>
          <w:bottom w:val="single" w:color="E2E6EC" w:sz="2" w:space="4"/>
        </w:pBdr>
        <w:spacing w:after="130"/>
      </w:pPr>
      <w:r>
        <w:rPr>
          <w:rFonts w:ascii="Calibri" w:cs="Calibri" w:eastAsia="Calibri" w:hAnsi="Calibri"/>
          <w:b/>
          <w:bCs/>
          <w:color w:val="12406E"/>
          <w:sz w:val="22"/>
          <w:szCs w:val="22"/>
        </w:rPr>
        <w:t xml:space="preserve">14.  </w:t>
      </w:r>
      <w:r>
        <w:rPr>
          <w:rFonts w:ascii="Calibri" w:cs="Calibri" w:eastAsia="Calibri" w:hAnsi="Calibri"/>
          <w:b w:val="false"/>
          <w:bCs w:val="false"/>
          <w:color w:val="222831"/>
          <w:sz w:val="22"/>
          <w:szCs w:val="22"/>
        </w:rPr>
        <w:t xml:space="preserve">Planning prévisionnel et roadmap</w:t>
      </w:r>
    </w:p>
    <w:p>
      <w:pPr>
        <w:pBdr>
          <w:bottom w:val="single" w:color="E2E6EC" w:sz="2" w:space="4"/>
        </w:pBdr>
        <w:spacing w:after="130"/>
      </w:pPr>
      <w:r>
        <w:rPr>
          <w:rFonts w:ascii="Calibri" w:cs="Calibri" w:eastAsia="Calibri" w:hAnsi="Calibri"/>
          <w:b/>
          <w:bCs/>
          <w:color w:val="0E7A80"/>
          <w:sz w:val="22"/>
          <w:szCs w:val="22"/>
        </w:rPr>
        <w:t xml:space="preserve">15.  </w:t>
      </w:r>
      <w:r>
        <w:rPr>
          <w:rFonts w:ascii="Calibri" w:cs="Calibri" w:eastAsia="Calibri" w:hAnsi="Calibri"/>
          <w:b/>
          <w:bCs/>
          <w:color w:val="0E7A80"/>
          <w:sz w:val="22"/>
          <w:szCs w:val="22"/>
        </w:rPr>
        <w:t xml:space="preserve">Adaptation au contexte camerounais — chapitre enrichi</w:t>
      </w:r>
    </w:p>
    <w:p>
      <w:pPr>
        <w:pBdr>
          <w:bottom w:val="single" w:color="E2E6EC" w:sz="2" w:space="4"/>
        </w:pBdr>
        <w:spacing w:after="130"/>
      </w:pPr>
      <w:r>
        <w:rPr>
          <w:rFonts w:ascii="Calibri" w:cs="Calibri" w:eastAsia="Calibri" w:hAnsi="Calibri"/>
          <w:b/>
          <w:bCs/>
          <w:color w:val="12406E"/>
          <w:sz w:val="22"/>
          <w:szCs w:val="22"/>
        </w:rPr>
        <w:t xml:space="preserve">16.  </w:t>
      </w:r>
      <w:r>
        <w:rPr>
          <w:rFonts w:ascii="Calibri" w:cs="Calibri" w:eastAsia="Calibri" w:hAnsi="Calibri"/>
          <w:b w:val="false"/>
          <w:bCs w:val="false"/>
          <w:color w:val="222831"/>
          <w:sz w:val="22"/>
          <w:szCs w:val="22"/>
        </w:rPr>
        <w:t xml:space="preserve">Organisation de l'équipe et gouvernance du projet</w:t>
      </w:r>
    </w:p>
    <w:p>
      <w:pPr>
        <w:pBdr>
          <w:bottom w:val="single" w:color="E2E6EC" w:sz="2" w:space="4"/>
        </w:pBdr>
        <w:spacing w:after="130"/>
      </w:pPr>
      <w:r>
        <w:rPr>
          <w:rFonts w:ascii="Calibri" w:cs="Calibri" w:eastAsia="Calibri" w:hAnsi="Calibri"/>
          <w:b/>
          <w:bCs/>
          <w:color w:val="12406E"/>
          <w:sz w:val="22"/>
          <w:szCs w:val="22"/>
        </w:rPr>
        <w:t xml:space="preserve">17.  </w:t>
      </w:r>
      <w:r>
        <w:rPr>
          <w:rFonts w:ascii="Calibri" w:cs="Calibri" w:eastAsia="Calibri" w:hAnsi="Calibri"/>
          <w:b w:val="false"/>
          <w:bCs w:val="false"/>
          <w:color w:val="222831"/>
          <w:sz w:val="22"/>
          <w:szCs w:val="22"/>
        </w:rPr>
        <w:t xml:space="preserve">Risques et mitigations</w:t>
      </w:r>
    </w:p>
    <w:p>
      <w:pPr>
        <w:pBdr>
          <w:bottom w:val="single" w:color="E2E6EC" w:sz="2" w:space="4"/>
        </w:pBdr>
        <w:spacing w:after="130"/>
      </w:pPr>
      <w:r>
        <w:rPr>
          <w:rFonts w:ascii="Calibri" w:cs="Calibri" w:eastAsia="Calibri" w:hAnsi="Calibri"/>
          <w:b/>
          <w:bCs/>
          <w:color w:val="12406E"/>
          <w:sz w:val="22"/>
          <w:szCs w:val="22"/>
        </w:rPr>
        <w:t xml:space="preserve">18.  </w:t>
      </w:r>
      <w:r>
        <w:rPr>
          <w:rFonts w:ascii="Calibri" w:cs="Calibri" w:eastAsia="Calibri" w:hAnsi="Calibri"/>
          <w:b w:val="false"/>
          <w:bCs w:val="false"/>
          <w:color w:val="222831"/>
          <w:sz w:val="22"/>
          <w:szCs w:val="22"/>
        </w:rPr>
        <w:t xml:space="preserve">Livrables attendus</w:t>
      </w:r>
    </w:p>
    <w:p>
      <w:pPr>
        <w:pBdr>
          <w:bottom w:val="single" w:color="E2E6EC" w:sz="2" w:space="4"/>
        </w:pBdr>
        <w:spacing w:after="130"/>
      </w:pPr>
      <w:r>
        <w:rPr>
          <w:rFonts w:ascii="Calibri" w:cs="Calibri" w:eastAsia="Calibri" w:hAnsi="Calibri"/>
          <w:b/>
          <w:bCs/>
          <w:color w:val="12406E"/>
          <w:sz w:val="22"/>
          <w:szCs w:val="22"/>
        </w:rPr>
        <w:t xml:space="preserve">19.  </w:t>
      </w:r>
      <w:r>
        <w:rPr>
          <w:rFonts w:ascii="Calibri" w:cs="Calibri" w:eastAsia="Calibri" w:hAnsi="Calibri"/>
          <w:b w:val="false"/>
          <w:bCs w:val="false"/>
          <w:color w:val="222831"/>
          <w:sz w:val="22"/>
          <w:szCs w:val="22"/>
        </w:rPr>
        <w:t xml:space="preserve">Système de rémunération par formules — perspective de dernier recours</w:t>
      </w:r>
    </w:p>
    <w:p>
      <w:pPr>
        <w:pBdr>
          <w:bottom w:val="single" w:color="E2E6EC" w:sz="2" w:space="4"/>
        </w:pBdr>
        <w:spacing w:after="130"/>
      </w:pPr>
      <w:r>
        <w:rPr>
          <w:rFonts w:ascii="Calibri" w:cs="Calibri" w:eastAsia="Calibri" w:hAnsi="Calibri"/>
          <w:b/>
          <w:bCs/>
          <w:color w:val="12406E"/>
          <w:sz w:val="22"/>
          <w:szCs w:val="22"/>
        </w:rPr>
        <w:t xml:space="preserve">20.  </w:t>
      </w:r>
      <w:r>
        <w:rPr>
          <w:rFonts w:ascii="Calibri" w:cs="Calibri" w:eastAsia="Calibri" w:hAnsi="Calibri"/>
          <w:b w:val="false"/>
          <w:bCs w:val="false"/>
          <w:color w:val="222831"/>
          <w:sz w:val="22"/>
          <w:szCs w:val="22"/>
        </w:rPr>
        <w:t xml:space="preserve">Annexes</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 Présentation du projet</w:t>
      </w:r>
    </w:p>
    <w:p>
      <w:pPr>
        <w:pStyle w:val="Heading2"/>
        <w:spacing w:after="160" w:before="360"/>
      </w:pPr>
      <w:r>
        <w:rPr>
          <w:rFonts w:ascii="Calibri" w:cs="Calibri" w:eastAsia="Calibri" w:hAnsi="Calibri"/>
          <w:b/>
          <w:bCs/>
          <w:color w:val="12406E"/>
          <w:sz w:val="25"/>
          <w:szCs w:val="25"/>
        </w:rPr>
        <w:t xml:space="preserve">1.1 Identification</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062"/>
        <w:gridCol w:w="7144"/>
      </w:tblGrid>
      <w:tr>
        <w:trPr>
          <w:tblHeader/>
        </w:trPr>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Champ</w:t>
            </w:r>
          </w:p>
        </w:tc>
        <w:tc>
          <w:tcPr>
            <w:tcW w:type="dxa" w:w="714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Nom du projet</w:t>
            </w:r>
          </w:p>
        </w:tc>
        <w:tc>
          <w:tcPr>
            <w:tcW w:type="dxa" w:w="714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UniFlow</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Type</w:t>
            </w:r>
          </w:p>
        </w:tc>
        <w:tc>
          <w:tcPr>
            <w:tcW w:type="dxa" w:w="714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Plateforme universitaire multi-plateforme, Offline First</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Plateformes cibles</w:t>
            </w:r>
          </w:p>
        </w:tc>
        <w:tc>
          <w:tcPr>
            <w:tcW w:type="dxa" w:w="714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Desktop (Windows, Linux, macOS*), Mobile (Android, iOS*), Web (V2)</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Public cible</w:t>
            </w:r>
          </w:p>
        </w:tc>
        <w:tc>
          <w:tcPr>
            <w:tcW w:type="dxa" w:w="714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Universités, écoles supérieures, facultés, départements — publics et privés</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Licence</w:t>
            </w:r>
          </w:p>
        </w:tc>
        <w:tc>
          <w:tcPr>
            <w:tcW w:type="dxa" w:w="714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MIT (open source)</w:t>
            </w:r>
          </w:p>
        </w:tc>
      </w:tr>
    </w:tbl>
    <w:p>
      <w:pPr>
        <w:spacing w:after="160" w:line="300"/>
        <w:jc w:val="both"/>
      </w:pPr>
      <w:r>
        <w:rPr>
          <w:rFonts w:ascii="Calibri" w:cs="Calibri" w:eastAsia="Calibri" w:hAnsi="Calibri"/>
          <w:i/>
          <w:iCs/>
          <w:color w:val="222831"/>
          <w:sz w:val="21"/>
          <w:szCs w:val="21"/>
        </w:rPr>
        <w:t xml:space="preserve">* macOS et iOS sont planifiés en V2 selon la disponibilité de matériel de build Apple.</w:t>
      </w:r>
    </w:p>
    <w:p>
      <w:pPr>
        <w:pStyle w:val="Heading2"/>
        <w:spacing w:after="160" w:before="360"/>
      </w:pPr>
      <w:r>
        <w:rPr>
          <w:rFonts w:ascii="Calibri" w:cs="Calibri" w:eastAsia="Calibri" w:hAnsi="Calibri"/>
          <w:b/>
          <w:bCs/>
          <w:color w:val="12406E"/>
          <w:sz w:val="25"/>
          <w:szCs w:val="25"/>
        </w:rPr>
        <w:t xml:space="preserve">1.2 Contexte et origine du besoin</w:t>
      </w:r>
    </w:p>
    <w:p>
      <w:pPr>
        <w:spacing w:after="160" w:line="300"/>
        <w:jc w:val="both"/>
      </w:pPr>
      <w:r>
        <w:rPr>
          <w:rFonts w:ascii="Calibri" w:cs="Calibri" w:eastAsia="Calibri" w:hAnsi="Calibri"/>
          <w:color w:val="222831"/>
          <w:sz w:val="21"/>
          <w:szCs w:val="21"/>
        </w:rPr>
        <w:t xml:space="preserve">Les établissements d'enseignement supérieur rencontrent des difficultés récurrentes dans la gestion de leurs activités académiques, exprimées initialement par les étudiants, délégués, enseignants et l'administration :</w:t>
      </w:r>
    </w:p>
    <w:p>
      <w:pPr>
        <w:pStyle w:val="ListParagraph"/>
        <w:numPr>
          <w:ilvl w:val="0"/>
          <w:numId w:val="1"/>
        </w:numPr>
        <w:spacing w:after="90" w:line="290"/>
        <w:jc w:val="both"/>
      </w:pPr>
      <w:r>
        <w:rPr>
          <w:rFonts w:ascii="Calibri" w:cs="Calibri" w:eastAsia="Calibri" w:hAnsi="Calibri"/>
          <w:color w:val="222831"/>
          <w:sz w:val="21"/>
          <w:szCs w:val="21"/>
        </w:rPr>
        <w:t xml:space="preserve">Gestion des effectifs à travers des listes d'étudiants réparties par filière, niveau, spécialité et Unité d'Enseignement (UE) — un étudiant pouvant suivre une ou plusieurs UE, chacune devant appartenir à sa filière et à son niveau.</w:t>
      </w:r>
    </w:p>
    <w:p>
      <w:pPr>
        <w:pStyle w:val="ListParagraph"/>
        <w:numPr>
          <w:ilvl w:val="0"/>
          <w:numId w:val="1"/>
        </w:numPr>
        <w:spacing w:after="90" w:line="290"/>
        <w:jc w:val="both"/>
      </w:pPr>
      <w:r>
        <w:rPr>
          <w:rFonts w:ascii="Calibri" w:cs="Calibri" w:eastAsia="Calibri" w:hAnsi="Calibri"/>
          <w:color w:val="222831"/>
          <w:sz w:val="21"/>
          <w:szCs w:val="21"/>
        </w:rPr>
        <w:t xml:space="preserve">Gestion des salles via des emplois du temps dynamiques et auto-ajustés, avec communication directe entre les modules, afin de connaître à tout moment la disponibilité d'une salle ou d'un amphithéâtre.</w:t>
      </w:r>
    </w:p>
    <w:p>
      <w:pPr>
        <w:pStyle w:val="ListParagraph"/>
        <w:numPr>
          <w:ilvl w:val="0"/>
          <w:numId w:val="1"/>
        </w:numPr>
        <w:spacing w:after="90" w:line="290"/>
        <w:jc w:val="both"/>
      </w:pPr>
      <w:r>
        <w:rPr>
          <w:rFonts w:ascii="Calibri" w:cs="Calibri" w:eastAsia="Calibri" w:hAnsi="Calibri"/>
          <w:color w:val="222831"/>
          <w:sz w:val="21"/>
          <w:szCs w:val="21"/>
        </w:rPr>
        <w:t xml:space="preserve">Gestion des listes de présence par les délégués, ces listes variant au sein d'une même filière et d'un même niveau puisque les étudiants ne suivent pas tous les mêmes UE.</w:t>
      </w:r>
    </w:p>
    <w:p>
      <w:pPr>
        <w:pStyle w:val="ListParagraph"/>
        <w:numPr>
          <w:ilvl w:val="0"/>
          <w:numId w:val="1"/>
        </w:numPr>
        <w:spacing w:after="90" w:line="290"/>
        <w:jc w:val="both"/>
      </w:pPr>
      <w:r>
        <w:rPr>
          <w:rFonts w:ascii="Calibri" w:cs="Calibri" w:eastAsia="Calibri" w:hAnsi="Calibri"/>
          <w:color w:val="222831"/>
          <w:sz w:val="21"/>
          <w:szCs w:val="21"/>
        </w:rPr>
        <w:t xml:space="preserve">Dispense de cours en visioconférence, avec un mode hors ligne (réseau local université) et un mode en ligne où l'enseignant héberge lui-même la réunion, dans un souci d'optimisation des coûts de service.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0E7A80"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0E7A80"/>
                <w:sz w:val="20"/>
                <w:szCs w:val="20"/>
              </w:rPr>
              <w:t xml:space="preserve">Réalité de terrain</w:t>
            </w:r>
          </w:p>
          <w:p>
            <w:pPr>
              <w:spacing w:after="0"/>
              <w:jc w:val="both"/>
            </w:pPr>
            <w:r>
              <w:rPr>
                <w:rFonts w:ascii="Calibri" w:cs="Calibri" w:eastAsia="Calibri" w:hAnsi="Calibri"/>
                <w:color w:val="222831"/>
                <w:sz w:val="20"/>
                <w:szCs w:val="20"/>
              </w:rPr>
              <w:t xml:space="preserve">Dans le contexte camerounais, ces besoins sont amplifiés par des campus multi-sites (parfois éloignés de plusieurs kilomètres), des effectifs pléthoriques dans les grandes universités d'État, et une connectivité Internet qui reste coûteuse et inégale. UniFlow doit être pensé dès sa conception comme un outil qui fonctionne d'abord localement, et se synchronise ensuite — pas l'inverse.</w:t>
            </w:r>
          </w:p>
        </w:tc>
      </w:tr>
    </w:tbl>
    <w:p>
      <w:pPr>
        <w:pStyle w:val="Heading2"/>
        <w:spacing w:after="160" w:before="360"/>
      </w:pPr>
      <w:r>
        <w:rPr>
          <w:rFonts w:ascii="Calibri" w:cs="Calibri" w:eastAsia="Calibri" w:hAnsi="Calibri"/>
          <w:b/>
          <w:bCs/>
          <w:color w:val="12406E"/>
          <w:sz w:val="25"/>
          <w:szCs w:val="25"/>
        </w:rPr>
        <w:t xml:space="preserve">1.3 Problématiques identifiées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816"/>
        <w:gridCol w:w="4695"/>
        <w:gridCol w:w="4695"/>
      </w:tblGrid>
      <w:tr>
        <w:trPr>
          <w:tblHeader/>
        </w:trPr>
        <w:tc>
          <w:tcPr>
            <w:tcW w:type="dxa" w:w="816"/>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469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Problème</w:t>
            </w:r>
          </w:p>
        </w:tc>
        <w:tc>
          <w:tcPr>
            <w:tcW w:type="dxa" w:w="469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Impact</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P1</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manuelle des effectifs par filière/niveau/spécialité/UE</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Erreurs, doublons, temps perdu</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P2</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Absence de programme dynamique pour les salles</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Conflits de réservation, salles sous-utilisées</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P3</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Listes de présence gérées manuellement par les délégués</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Données incohérentes, absence de suivi</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P4</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Pas de solution intégrée de visioconférence</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Cours à distance impossibles ou fragmentés</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P5</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Aucune synchronisation hors ligne</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Impossible d'utiliser l'app sans Internet</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P6</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Absence de tableau de bord et de statistiques</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Décisions basées sur des données incomplètes</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P7</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Coût et instabilité de la connectivité Internet</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Adoption freinée, frais de données à charge des usagers</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P8</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Coupures électriques fréquentes sur les campus</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Interruption de service, perte de données non sauvegardées</w:t>
            </w:r>
          </w:p>
        </w:tc>
      </w:tr>
    </w:tbl>
    <w:p>
      <w:pPr>
        <w:spacing w:after="220"/>
      </w:pPr>
      <w:r>
        <w:rPr>
          <w:rFonts w:ascii="Calibri" w:cs="Calibri" w:eastAsia="Calibri" w:hAnsi="Calibri"/>
          <w:i/>
          <w:iCs/>
          <w:color w:val="5B6472"/>
          <w:sz w:val="21"/>
          <w:szCs w:val="21"/>
        </w:rPr>
        <w:t xml:space="preserve">P7 et P8 sont des ajouts de cette édition : ils correspondent aux deux contraintes structurelles les plus citées par les administrations universitaires camerounaises et sont désormais traités comme des exigences de premier ordre (voir chapitre 15).</w:t>
      </w:r>
    </w:p>
    <w:p>
      <w:pPr>
        <w:pStyle w:val="Heading2"/>
        <w:spacing w:after="160" w:before="360"/>
      </w:pPr>
      <w:r>
        <w:rPr>
          <w:rFonts w:ascii="Calibri" w:cs="Calibri" w:eastAsia="Calibri" w:hAnsi="Calibri"/>
          <w:b/>
          <w:bCs/>
          <w:color w:val="12406E"/>
          <w:sz w:val="25"/>
          <w:szCs w:val="25"/>
        </w:rPr>
        <w:t xml:space="preserve">1.4 Applications prévues</w:t>
      </w:r>
    </w:p>
    <w:p>
      <w:pPr>
        <w:spacing w:after="160" w:line="300"/>
        <w:jc w:val="both"/>
      </w:pPr>
      <w:r>
        <w:rPr>
          <w:rFonts w:ascii="Calibri" w:cs="Calibri" w:eastAsia="Calibri" w:hAnsi="Calibri"/>
          <w:color w:val="222831"/>
          <w:sz w:val="21"/>
          <w:szCs w:val="21"/>
        </w:rPr>
        <w:t xml:space="preserve">Le projet doit produire un écosystème applicatif cohérent, décliné en plusieurs clients partageant la même API :</w:t>
      </w:r>
    </w:p>
    <w:p>
      <w:pPr>
        <w:pStyle w:val="ListParagraph"/>
        <w:numPr>
          <w:ilvl w:val="0"/>
          <w:numId w:val="1"/>
        </w:numPr>
        <w:spacing w:after="90" w:line="290"/>
        <w:jc w:val="both"/>
      </w:pPr>
      <w:r>
        <w:rPr>
          <w:rFonts w:ascii="Calibri" w:cs="Calibri" w:eastAsia="Calibri" w:hAnsi="Calibri"/>
          <w:color w:val="222831"/>
          <w:sz w:val="21"/>
          <w:szCs w:val="21"/>
        </w:rPr>
        <w:t xml:space="preserve">Application Desktop (Linux, Windows, macOS si possible) avec un installateur dédié. Frontend en Flutter Desktop ; le backend distant est privilégié pour le MVP.</w:t>
      </w:r>
    </w:p>
    <w:p>
      <w:pPr>
        <w:pStyle w:val="ListParagraph"/>
        <w:numPr>
          <w:ilvl w:val="0"/>
          <w:numId w:val="1"/>
        </w:numPr>
        <w:spacing w:after="90" w:line="290"/>
        <w:jc w:val="both"/>
      </w:pPr>
      <w:r>
        <w:rPr>
          <w:rFonts w:ascii="Calibri" w:cs="Calibri" w:eastAsia="Calibri" w:hAnsi="Calibri"/>
          <w:color w:val="222831"/>
          <w:sz w:val="21"/>
          <w:szCs w:val="21"/>
        </w:rPr>
        <w:t xml:space="preserve">Application mobile (Android, puis iOS si possible), en Flutter, partageant l'essentiel du code avec le Desktop — priorité à Android, très majoritaire au Cameroun.</w:t>
      </w:r>
    </w:p>
    <w:p>
      <w:pPr>
        <w:pStyle w:val="ListParagraph"/>
        <w:numPr>
          <w:ilvl w:val="0"/>
          <w:numId w:val="1"/>
        </w:numPr>
        <w:spacing w:after="90" w:line="290"/>
        <w:jc w:val="both"/>
      </w:pPr>
      <w:r>
        <w:rPr>
          <w:rFonts w:ascii="Calibri" w:cs="Calibri" w:eastAsia="Calibri" w:hAnsi="Calibri"/>
          <w:color w:val="222831"/>
          <w:sz w:val="21"/>
          <w:szCs w:val="21"/>
        </w:rPr>
        <w:t xml:space="preserve">Application Web (V2), via Flutter Web, pour un accès navigateur sans installation, utile dans les cybercafés et salles informatiques partagées.</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2. Objectifs du projet</w:t>
      </w:r>
    </w:p>
    <w:p>
      <w:pPr>
        <w:pStyle w:val="Heading2"/>
        <w:spacing w:after="160" w:before="360"/>
      </w:pPr>
      <w:r>
        <w:rPr>
          <w:rFonts w:ascii="Calibri" w:cs="Calibri" w:eastAsia="Calibri" w:hAnsi="Calibri"/>
          <w:b/>
          <w:bCs/>
          <w:color w:val="12406E"/>
          <w:sz w:val="25"/>
          <w:szCs w:val="25"/>
        </w:rPr>
        <w:t xml:space="preserve">2.1 Objectif général</w:t>
      </w:r>
    </w:p>
    <w:p>
      <w:pPr>
        <w:spacing w:after="160" w:line="300"/>
        <w:jc w:val="both"/>
      </w:pPr>
      <w:r>
        <w:rPr>
          <w:rFonts w:ascii="Calibri" w:cs="Calibri" w:eastAsia="Calibri" w:hAnsi="Calibri"/>
          <w:color w:val="222831"/>
          <w:sz w:val="21"/>
          <w:szCs w:val="21"/>
        </w:rPr>
        <w:t xml:space="preserve">Concevoir et développer UniFlow, une plateforme universitaire intelligente, modulaire et Offline First, capable de centraliser l'ensemble des activités académiques, administratives et pédagogiques d'un établissement, tout en restant pleinement fonctionnelle dans des conditions d'infrastructure limitées.</w:t>
      </w:r>
    </w:p>
    <w:p>
      <w:pPr>
        <w:pStyle w:val="Heading2"/>
        <w:spacing w:after="160" w:before="360"/>
      </w:pPr>
      <w:r>
        <w:rPr>
          <w:rFonts w:ascii="Calibri" w:cs="Calibri" w:eastAsia="Calibri" w:hAnsi="Calibri"/>
          <w:b/>
          <w:bCs/>
          <w:color w:val="12406E"/>
          <w:sz w:val="25"/>
          <w:szCs w:val="25"/>
        </w:rPr>
        <w:t xml:space="preserve">2.2 Objectifs spécifiques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816"/>
        <w:gridCol w:w="4695"/>
        <w:gridCol w:w="4695"/>
      </w:tblGrid>
      <w:tr>
        <w:trPr>
          <w:tblHeader/>
        </w:trPr>
        <w:tc>
          <w:tcPr>
            <w:tcW w:type="dxa" w:w="816"/>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469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Objectif</w:t>
            </w:r>
          </w:p>
        </w:tc>
        <w:tc>
          <w:tcPr>
            <w:tcW w:type="dxa" w:w="469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Mesure de succès</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O1</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Centraliser les données universitaires</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Une seule source de vérité pour tous les acteurs</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O2</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Réduire les tâches administratives répétitives</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Réduction de 60% du temps de gestion manuelle</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O3</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Automatiser les processus métier</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Génération automatique des emplois du temps</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O4</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Améliorer la communication entre acteurs</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temps réel, messagerie intégrée</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O5</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Optimiser la gestion des ressources</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Taux d'occupation des salles &gt; 85%</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O6</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Offrir une expérience fluide hors ligne</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Fonctionnement complet sans Internet, y compris sans électricité continue</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O7</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Faciliter l'intégration avec d'autres systèmes</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API REST documentée et versionnée</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O8</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Fournir une architecture évolutive</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Architecture modulaire, prête pour microservices</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O9</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Réduire le coût de la donnée mobile pour l'utilisateur final</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Consommation de données &lt; 5 Mo/jour en usage normal</w:t>
            </w:r>
          </w:p>
        </w:tc>
      </w:tr>
    </w:tbl>
    <w:p>
      <w:pPr>
        <w:pStyle w:val="Heading2"/>
        <w:spacing w:after="160" w:before="360"/>
      </w:pPr>
      <w:r>
        <w:rPr>
          <w:rFonts w:ascii="Calibri" w:cs="Calibri" w:eastAsia="Calibri" w:hAnsi="Calibri"/>
          <w:b/>
          <w:bCs/>
          <w:color w:val="12406E"/>
          <w:sz w:val="25"/>
          <w:szCs w:val="25"/>
        </w:rPr>
        <w:t xml:space="preserve">2.3 Valeurs directrices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858"/>
        <w:gridCol w:w="7348"/>
      </w:tblGrid>
      <w:tr>
        <w:trPr>
          <w:tblHeader/>
        </w:trPr>
        <w:tc>
          <w:tcPr>
            <w:tcW w:type="dxa" w:w="2858"/>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w:t>
            </w:r>
          </w:p>
        </w:tc>
        <w:tc>
          <w:tcPr>
            <w:tcW w:type="dxa" w:w="7348"/>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85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Offline First</w:t>
            </w:r>
          </w:p>
        </w:tc>
        <w:tc>
          <w:tcPr>
            <w:tcW w:type="dxa" w:w="734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Fonctionne sans Internet, synchronise automatiquement au retour de connexion</w:t>
            </w:r>
          </w:p>
        </w:tc>
      </w:tr>
      <w:tr>
        <w:tc>
          <w:tcPr>
            <w:tcW w:type="dxa" w:w="285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Open Source</w:t>
            </w:r>
          </w:p>
        </w:tc>
        <w:tc>
          <w:tcPr>
            <w:tcW w:type="dxa" w:w="73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Code auditable, personnalisable, communautaire (licence MIT)</w:t>
            </w:r>
          </w:p>
        </w:tc>
      </w:tr>
      <w:tr>
        <w:tc>
          <w:tcPr>
            <w:tcW w:type="dxa" w:w="285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Modulaire</w:t>
            </w:r>
          </w:p>
        </w:tc>
        <w:tc>
          <w:tcPr>
            <w:tcW w:type="dxa" w:w="734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Chaque module métier est indépendant et remplaçable</w:t>
            </w:r>
          </w:p>
        </w:tc>
      </w:tr>
      <w:tr>
        <w:tc>
          <w:tcPr>
            <w:tcW w:type="dxa" w:w="285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Extensible</w:t>
            </w:r>
          </w:p>
        </w:tc>
        <w:tc>
          <w:tcPr>
            <w:tcW w:type="dxa" w:w="73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API documentée pour intégrer d'autres systèmes</w:t>
            </w:r>
          </w:p>
        </w:tc>
      </w:tr>
      <w:tr>
        <w:tc>
          <w:tcPr>
            <w:tcW w:type="dxa" w:w="285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Sécurisée</w:t>
            </w:r>
          </w:p>
        </w:tc>
        <w:tc>
          <w:tcPr>
            <w:tcW w:type="dxa" w:w="734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JWT, RBAC, chiffrement, journal d'audit</w:t>
            </w:r>
          </w:p>
        </w:tc>
      </w:tr>
      <w:tr>
        <w:tc>
          <w:tcPr>
            <w:tcW w:type="dxa" w:w="285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réel</w:t>
            </w:r>
          </w:p>
        </w:tc>
        <w:tc>
          <w:tcPr>
            <w:tcW w:type="dxa" w:w="73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et synchronisation instantanées quand en ligne</w:t>
            </w:r>
          </w:p>
        </w:tc>
      </w:tr>
      <w:tr>
        <w:tc>
          <w:tcPr>
            <w:tcW w:type="dxa" w:w="285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Multi-plateforme</w:t>
            </w:r>
          </w:p>
        </w:tc>
        <w:tc>
          <w:tcPr>
            <w:tcW w:type="dxa" w:w="734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Desktop, Mobile, Web (à venir) avec une base de code partagée</w:t>
            </w:r>
          </w:p>
        </w:tc>
      </w:tr>
      <w:tr>
        <w:tc>
          <w:tcPr>
            <w:tcW w:type="dxa" w:w="285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Économique</w:t>
            </w:r>
          </w:p>
        </w:tc>
        <w:tc>
          <w:tcPr>
            <w:tcW w:type="dxa" w:w="73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Infrastructure gratuite en développement, très peu coûteuse en production</w:t>
            </w:r>
          </w:p>
        </w:tc>
      </w:tr>
      <w:tr>
        <w:tc>
          <w:tcPr>
            <w:tcW w:type="dxa" w:w="285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Sobre en données</w:t>
            </w:r>
          </w:p>
        </w:tc>
        <w:tc>
          <w:tcPr>
            <w:tcW w:type="dxa" w:w="734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Chaque échange réseau est minimisé et compressé, pensé pour la 3G/4G camerounaise</w:t>
            </w:r>
          </w:p>
        </w:tc>
      </w:tr>
      <w:tr>
        <w:tc>
          <w:tcPr>
            <w:tcW w:type="dxa" w:w="285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Résiliente</w:t>
            </w:r>
          </w:p>
        </w:tc>
        <w:tc>
          <w:tcPr>
            <w:tcW w:type="dxa" w:w="73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Continue de fonctionner en cas de coupure électrique ou réseau prolongée</w:t>
            </w:r>
          </w:p>
        </w:tc>
      </w:tr>
    </w:tbl>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3. Étude de faisabilité (synthèse)</w:t>
      </w:r>
    </w:p>
    <w:p>
      <w:pPr>
        <w:spacing w:after="160" w:line="300"/>
        <w:jc w:val="both"/>
      </w:pPr>
      <w:r>
        <w:rPr>
          <w:rFonts w:ascii="Calibri" w:cs="Calibri" w:eastAsia="Calibri" w:hAnsi="Calibri"/>
          <w:color w:val="222831"/>
          <w:sz w:val="21"/>
          <w:szCs w:val="21"/>
        </w:rPr>
        <w:t xml:space="preserve">Une étude de faisabilité a été menée en amont sur les axes technique, économique et organisationnel.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2E6B3E"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2E6B3E"/>
                <w:sz w:val="20"/>
                <w:szCs w:val="20"/>
              </w:rPr>
              <w:t xml:space="preserve">Verdict global</w:t>
            </w:r>
          </w:p>
          <w:p>
            <w:pPr>
              <w:spacing w:after="0"/>
              <w:jc w:val="both"/>
            </w:pPr>
            <w:r>
              <w:rPr>
                <w:rFonts w:ascii="Calibri" w:cs="Calibri" w:eastAsia="Calibri" w:hAnsi="Calibri"/>
                <w:color w:val="222831"/>
                <w:sz w:val="20"/>
                <w:szCs w:val="20"/>
              </w:rPr>
              <w:t xml:space="preserve">GO — Projet FAISABLE sous conditions, à condition d'intégrer dès la conception les contraintes d'infrastructure locales (électricité, connectivité, coût de la donnée) détaillées au chapitre 15.</w:t>
            </w:r>
          </w:p>
        </w:tc>
      </w:tr>
    </w:tbl>
    <w:p>
      <w:pPr>
        <w:pStyle w:val="Heading2"/>
        <w:spacing w:after="160" w:before="360"/>
      </w:pPr>
      <w:r>
        <w:rPr>
          <w:rFonts w:ascii="Calibri" w:cs="Calibri" w:eastAsia="Calibri" w:hAnsi="Calibri"/>
          <w:b/>
          <w:bCs/>
          <w:color w:val="12406E"/>
          <w:sz w:val="25"/>
          <w:szCs w:val="25"/>
        </w:rPr>
        <w:t xml:space="preserve">3.1 Faisabilité technique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062"/>
        <w:gridCol w:w="2449"/>
        <w:gridCol w:w="4695"/>
      </w:tblGrid>
      <w:tr>
        <w:trPr>
          <w:tblHeader/>
        </w:trPr>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Aspect</w:t>
            </w:r>
          </w:p>
        </w:tc>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Verdict</w:t>
            </w:r>
          </w:p>
        </w:tc>
        <w:tc>
          <w:tcPr>
            <w:tcW w:type="dxa" w:w="469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Commentaire</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Stack générale (Flutter + NestJS + PostgreSQL)</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Faisable</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Technologies matures, larges communautés</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Architecture Offline First (sync bidirectionnelle)</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Complexe mais faisable</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Risque technique n°1 du projet ; nécessite un moteur de synchronisation dédié (Outbox + LWW)</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Desktop (Flutter Desktop + backend embarqué)</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Faisable avec compromis</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Electron + Flutter double les moteurs de rendu ; backend distant recommandé pour le MVP</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Visioconférence WebRTC (LiveKit)</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Faisable</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LiveKit auto-hébergé, mode LAN et mode Internet tous deux validés</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Multi-plateforme (Flutter)</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Faisable</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Code unique à 90%+ pour Android/iOS/Windows/Linux/macOS</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Fonctionnement en zones à connectivité faible</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Faisable avec architecture dédiée</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Nécessite mode LAN prioritaire et compression des synchronisations (voir §15.1)</w:t>
            </w:r>
          </w:p>
        </w:tc>
      </w:tr>
    </w:tbl>
    <w:p>
      <w:pPr>
        <w:pStyle w:val="Heading3"/>
        <w:spacing w:after="120" w:before="220"/>
      </w:pPr>
      <w:r>
        <w:rPr>
          <w:rFonts w:ascii="Calibri" w:cs="Calibri" w:eastAsia="Calibri" w:hAnsi="Calibri"/>
          <w:b/>
          <w:bCs/>
          <w:color w:val="0E7A80"/>
          <w:sz w:val="21"/>
          <w:szCs w:val="21"/>
        </w:rPr>
        <w:t xml:space="preserve">Comparatif Electron vs Flutter Desktop seul</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552"/>
        <w:gridCol w:w="2552"/>
        <w:gridCol w:w="2552"/>
        <w:gridCol w:w="2552"/>
      </w:tblGrid>
      <w:tr>
        <w:trPr>
          <w:tblHeader/>
        </w:trPr>
        <w:tc>
          <w:tcPr>
            <w:tcW w:type="dxa" w:w="255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Métrique</w:t>
            </w:r>
          </w:p>
        </w:tc>
        <w:tc>
          <w:tcPr>
            <w:tcW w:type="dxa" w:w="255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Electron + Flutter</w:t>
            </w:r>
          </w:p>
        </w:tc>
        <w:tc>
          <w:tcPr>
            <w:tcW w:type="dxa" w:w="255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Flutter Desktop seul</w:t>
            </w:r>
          </w:p>
        </w:tc>
        <w:tc>
          <w:tcPr>
            <w:tcW w:type="dxa" w:w="255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Tauri 2 + Flutter</w:t>
            </w:r>
          </w:p>
        </w:tc>
      </w:tr>
      <w:tr>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RAM idle</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180-200 Mo</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42 Mo</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50-100 Mo</w:t>
            </w:r>
          </w:p>
        </w:tc>
      </w:tr>
      <w:tr>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Taille installer</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145-300 Mo</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38 Mo</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15-25 Mo</w:t>
            </w:r>
          </w:p>
        </w:tc>
      </w:tr>
      <w:tr>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Démarrage</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1.8 s</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0.4 s</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Recommandation</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Envisageable en V2</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Recommandé MVP (backend distant)</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Alternative V2</w:t>
            </w:r>
          </w:p>
        </w:tc>
      </w:tr>
    </w:tbl>
    <w:p>
      <w:pPr>
        <w:spacing w:after="160" w:line="300"/>
        <w:jc w:val="both"/>
      </w:pPr>
      <w:r>
        <w:rPr>
          <w:rFonts w:ascii="Calibri" w:cs="Calibri" w:eastAsia="Calibri" w:hAnsi="Calibri"/>
          <w:i/>
          <w:iCs/>
          <w:color w:val="222831"/>
          <w:sz w:val="21"/>
          <w:szCs w:val="21"/>
        </w:rPr>
        <w:t xml:space="preserve">Décision retenue : le MVP s'appuie sur un backend distant (VPS/Cloud) pour toutes les applications clientes. L'embarquement d'un backend local (via Tauri 2 ou un service Dart léger) est repoussé en V2. Ce choix est d'autant plus pertinent au Cameroun que la taille réduite de l'installeur (38 Mo) facilite le partage hors-ligne via clé USB dans les zones à connectivité limitée.</w:t>
      </w:r>
    </w:p>
    <w:p>
      <w:pPr>
        <w:pStyle w:val="Heading2"/>
        <w:spacing w:after="160" w:before="360"/>
      </w:pPr>
      <w:r>
        <w:rPr>
          <w:rFonts w:ascii="Calibri" w:cs="Calibri" w:eastAsia="Calibri" w:hAnsi="Calibri"/>
          <w:b/>
          <w:bCs/>
          <w:color w:val="12406E"/>
          <w:sz w:val="25"/>
          <w:szCs w:val="25"/>
        </w:rPr>
        <w:t xml:space="preserve">3.2 Faisabilité économique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082"/>
        <w:gridCol w:w="3062"/>
        <w:gridCol w:w="3062"/>
      </w:tblGrid>
      <w:tr>
        <w:trPr>
          <w:tblHeader/>
        </w:trPr>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Poste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Coût dev (solo)</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Coût mensuel infra</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Architecture + setup</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80 h</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Backend NestJS</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350 h</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Frontend Flutter (Mobile)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400 h</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Frontend Flutter (Desktop)</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200 h</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Moteur de synchronisation offline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175 h</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Visioconférence (LiveKit)</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125 h</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Tests + QA</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175 h</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Déploiement + DevOps</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90 h</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Documentation</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65 h</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Total MVP V1</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 1 660 h</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 à 126 USD/mois</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0E7A80"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0E7A80"/>
                <w:sz w:val="20"/>
                <w:szCs w:val="20"/>
              </w:rPr>
              <w:t xml:space="preserve">Lecture en contexte local</w:t>
            </w:r>
          </w:p>
          <w:p>
            <w:pPr>
              <w:spacing w:after="0"/>
              <w:jc w:val="both"/>
            </w:pPr>
            <w:r>
              <w:rPr>
                <w:rFonts w:ascii="Calibri" w:cs="Calibri" w:eastAsia="Calibri" w:hAnsi="Calibri"/>
                <w:color w:val="222831"/>
                <w:sz w:val="20"/>
                <w:szCs w:val="20"/>
              </w:rPr>
              <w:t xml:space="preserve">Le chiffrage en heures/USD reflète un taux de marché international (≈25 USD/h). Sur le marché camerounais, un développeur qualifié junior à intermédiaire facture plutôt entre 1 500 et 4 000 FCFA/h (≈2,5 à 6,5 USD/h) en freelance, et un peu plus en agence structurée. Une équipe étudiante encadrée (type KERNEL FORGE) peut donc viser un coût de développement réel nettement inférieur, à condition de sécuriser un encadrement technique senior sur les points critiques (synchronisation offline, sécurité). Voir chapitre 13 pour la conversion complète en FCFA.</w:t>
            </w:r>
          </w:p>
        </w:tc>
      </w:tr>
    </w:tbl>
    <w:p>
      <w:pPr>
        <w:pStyle w:val="Heading2"/>
        <w:spacing w:after="160" w:before="360"/>
      </w:pPr>
      <w:r>
        <w:rPr>
          <w:rFonts w:ascii="Calibri" w:cs="Calibri" w:eastAsia="Calibri" w:hAnsi="Calibri"/>
          <w:b/>
          <w:bCs/>
          <w:color w:val="12406E"/>
          <w:sz w:val="25"/>
          <w:szCs w:val="25"/>
        </w:rPr>
        <w:t xml:space="preserve">3.3 Faisabilité organisationnelle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082"/>
        <w:gridCol w:w="3062"/>
        <w:gridCol w:w="3062"/>
      </w:tblGrid>
      <w:tr>
        <w:trPr>
          <w:tblHeader/>
        </w:trPr>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Configuration d'équipe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Durée estimée MVP</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Coût estimé</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développeur full-stack</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5-6 mois</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 41 500 USD (référence intl.)</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 développeurs (1 FE, 1 BE)</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3-4 mois</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 50 000 USD (référence intl.)</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 développeurs (FE mobile, FE desktop, BE)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2-3 mois</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 58 000 USD (référence intl.)</w:t>
            </w:r>
          </w:p>
        </w:tc>
      </w:tr>
    </w:tbl>
    <w:p>
      <w:pPr>
        <w:spacing w:after="160" w:line="300"/>
        <w:jc w:val="both"/>
      </w:pPr>
      <w:r>
        <w:rPr>
          <w:rFonts w:ascii="Calibri" w:cs="Calibri" w:eastAsia="Calibri" w:hAnsi="Calibri"/>
          <w:color w:val="222831"/>
          <w:sz w:val="21"/>
          <w:szCs w:val="21"/>
        </w:rPr>
        <w:t xml:space="preserve">La principale expertise critique à réunir est l'architecture offline-first ; les autres compétences (Flutter, NestJS, PostgreSQL, DevOps) sont largement disponibles sur le marché, y compris localement à Yaoundé et Douala.</w:t>
      </w:r>
    </w:p>
    <w:p>
      <w:pPr>
        <w:pStyle w:val="Heading2"/>
        <w:spacing w:after="160" w:before="360"/>
      </w:pPr>
      <w:r>
        <w:rPr>
          <w:rFonts w:ascii="Calibri" w:cs="Calibri" w:eastAsia="Calibri" w:hAnsi="Calibri"/>
          <w:b/>
          <w:bCs/>
          <w:color w:val="12406E"/>
          <w:sz w:val="25"/>
          <w:szCs w:val="25"/>
        </w:rPr>
        <w:t xml:space="preserve">3.4 Analyse comparative (positionnement)</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041"/>
        <w:gridCol w:w="1837"/>
        <w:gridCol w:w="1429"/>
        <w:gridCol w:w="1429"/>
        <w:gridCol w:w="1837"/>
        <w:gridCol w:w="1633"/>
      </w:tblGrid>
      <w:tr>
        <w:trPr>
          <w:tblHeader/>
        </w:trPr>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Solution</w:t>
            </w:r>
          </w:p>
        </w:tc>
        <w:tc>
          <w:tcPr>
            <w:tcW w:type="dxa" w:w="183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w:t>
            </w:r>
          </w:p>
        </w:tc>
        <w:tc>
          <w:tcPr>
            <w:tcW w:type="dxa" w:w="142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Prix</w:t>
            </w:r>
          </w:p>
        </w:tc>
        <w:tc>
          <w:tcPr>
            <w:tcW w:type="dxa" w:w="142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Offline</w:t>
            </w:r>
          </w:p>
        </w:tc>
        <w:tc>
          <w:tcPr>
            <w:tcW w:type="dxa" w:w="183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Multi-plateforme</w:t>
            </w:r>
          </w:p>
        </w:tc>
        <w:tc>
          <w:tcPr>
            <w:tcW w:type="dxa" w:w="163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Open Source</w:t>
            </w:r>
          </w:p>
        </w:tc>
      </w:tr>
      <w:tr>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Moodle</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LMS Web</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Gratuit</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 (Web)</w:t>
            </w:r>
          </w:p>
        </w:tc>
        <w:tc>
          <w:tcPr>
            <w:tcW w:type="dxa" w:w="163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Oui</w:t>
            </w:r>
          </w:p>
        </w:tc>
      </w:tr>
      <w:tr>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Google Classroom</w:t>
            </w:r>
          </w:p>
        </w:tc>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SaaS</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Gratuit</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c>
          <w:tcPr>
            <w:tcW w:type="dxa" w:w="163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r>
      <w:tr>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Pronote</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Commercial</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Payant</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c>
          <w:tcPr>
            <w:tcW w:type="dxa" w:w="163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r>
      <w:tr>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OpenEducat</w:t>
            </w:r>
          </w:p>
        </w:tc>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ERP</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Open source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w:t>
            </w:r>
          </w:p>
        </w:tc>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 (Web)</w:t>
            </w:r>
          </w:p>
        </w:tc>
        <w:tc>
          <w:tcPr>
            <w:tcW w:type="dxa" w:w="163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Oui</w:t>
            </w:r>
          </w:p>
        </w:tc>
      </w:tr>
      <w:tr>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UniFlow</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Plateforme complète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Gratuit</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Oui</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Oui</w:t>
            </w:r>
          </w:p>
        </w:tc>
        <w:tc>
          <w:tcPr>
            <w:tcW w:type="dxa" w:w="163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Oui</w:t>
            </w:r>
          </w:p>
        </w:tc>
      </w:tr>
    </w:tbl>
    <w:p>
      <w:pPr>
        <w:spacing w:after="160" w:line="300"/>
        <w:jc w:val="both"/>
      </w:pPr>
      <w:r>
        <w:rPr>
          <w:rFonts w:ascii="Calibri" w:cs="Calibri" w:eastAsia="Calibri" w:hAnsi="Calibri"/>
          <w:color w:val="222831"/>
          <w:sz w:val="21"/>
          <w:szCs w:val="21"/>
        </w:rPr>
        <w:t xml:space="preserve">Avantages concurrentiels identifiés : mode Offline First (aucun concurrent direct ne le propose), architecture multi-plateforme native à code unique, visioconférence intégrée sans outil tiers, code source ouvert et auditable, coût d'infrastructure quasi nul — un atout décisif face aux contraintes budgétaires des universités publiques camerounaises.</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4. Périmètre fonctionnel</w:t>
      </w:r>
    </w:p>
    <w:p>
      <w:pPr>
        <w:spacing w:after="220"/>
      </w:pPr>
      <w:r>
        <w:rPr>
          <w:rFonts w:ascii="Calibri" w:cs="Calibri" w:eastAsia="Calibri" w:hAnsi="Calibri"/>
          <w:i/>
          <w:iCs/>
          <w:color w:val="5B6472"/>
          <w:sz w:val="21"/>
          <w:szCs w:val="21"/>
        </w:rPr>
        <w:t xml:space="preserve">P0 = indispensable au MVP (V1), P1 = souhaitable pour V1, P2 = prévu en V2, P3 = V3 ou ultérieur.</w:t>
      </w:r>
    </w:p>
    <w:p>
      <w:pPr>
        <w:pStyle w:val="Heading2"/>
        <w:spacing w:after="160" w:before="360"/>
      </w:pPr>
      <w:r>
        <w:rPr>
          <w:rFonts w:ascii="Calibri" w:cs="Calibri" w:eastAsia="Calibri" w:hAnsi="Calibri"/>
          <w:b/>
          <w:bCs/>
          <w:color w:val="12406E"/>
          <w:sz w:val="25"/>
          <w:szCs w:val="25"/>
        </w:rPr>
        <w:t xml:space="preserve">4.1 Module Gestion Académique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étudiants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complet, inscriptions, affectation filière/niveau/spécialité</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enseignants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affectation aux UE et départements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facultés/départements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Hiérarchie organisationnelle</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filières/niveaux</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Structure académique complète</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UE</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Cours, crédits, prérequis, UE optionnelles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Inscriptions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Processus d'inscription des étudiants aux UE</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semestres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Périodes académiques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bl>
    <w:p>
      <w:pPr>
        <w:pStyle w:val="Heading2"/>
        <w:spacing w:after="160" w:before="360"/>
      </w:pPr>
      <w:r>
        <w:rPr>
          <w:rFonts w:ascii="Calibri" w:cs="Calibri" w:eastAsia="Calibri" w:hAnsi="Calibri"/>
          <w:b/>
          <w:bCs/>
          <w:color w:val="12406E"/>
          <w:sz w:val="25"/>
          <w:szCs w:val="25"/>
        </w:rPr>
        <w:t xml:space="preserve">4.2 Module Gestion Administrative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Authentification</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JWT + Refresh Tokens, inscription, connexion</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rôles (RBAC)</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Étudiant, Enseignant, Admin, Délégué, Direction, etc.</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Permissions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Contrôle d'accès granulaire par rôle</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Journalisation</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Audit trail de toutes les actions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Historique</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Traçabilité des modifications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bl>
    <w:p>
      <w:pPr>
        <w:pStyle w:val="Heading2"/>
        <w:spacing w:after="160" w:before="360"/>
      </w:pPr>
      <w:r>
        <w:rPr>
          <w:rFonts w:ascii="Calibri" w:cs="Calibri" w:eastAsia="Calibri" w:hAnsi="Calibri"/>
          <w:b/>
          <w:bCs/>
          <w:color w:val="12406E"/>
          <w:sz w:val="25"/>
          <w:szCs w:val="25"/>
        </w:rPr>
        <w:t xml:space="preserve">4.3 Module Gestion Pédagogique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Emplois du temps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Génération dynamique et auto-ajustée</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salles/amphithéâtres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Réservation automatique, disponibilité en temps réel</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Cours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Planification, association enseignant/UE/salle</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présences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Listes dynamiques par délégué, variant par filière/niveau</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notes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Saisie, calcul des moyennes, bulletins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bl>
    <w:p>
      <w:pPr>
        <w:pStyle w:val="Heading2"/>
        <w:spacing w:after="160" w:before="360"/>
      </w:pPr>
      <w:r>
        <w:rPr>
          <w:rFonts w:ascii="Calibri" w:cs="Calibri" w:eastAsia="Calibri" w:hAnsi="Calibri"/>
          <w:b/>
          <w:bCs/>
          <w:color w:val="12406E"/>
          <w:sz w:val="25"/>
          <w:szCs w:val="25"/>
        </w:rPr>
        <w:t xml:space="preserve">4.4 Module Communication</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Push, email, in-app, desktop</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 SMS de secours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Relais SMS pour les alertes critiques sans app/data</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Visioconférence</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Mode local (LAN) + mode Internet (API)</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Annonces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Diffusion d'annonces par filière/niveau/global</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Partage de fichiers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Cours, documents, ressources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Messagerie</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Communication directe entre acteurs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bl>
    <w:p>
      <w:pPr>
        <w:spacing w:after="220"/>
      </w:pPr>
      <w:r>
        <w:rPr>
          <w:rFonts w:ascii="Calibri" w:cs="Calibri" w:eastAsia="Calibri" w:hAnsi="Calibri"/>
          <w:i/>
          <w:iCs/>
          <w:color w:val="5B6472"/>
          <w:sz w:val="21"/>
          <w:szCs w:val="21"/>
        </w:rPr>
        <w:t xml:space="preserve">La ligne « Notification SMS de secours » est un ajout de cette édition — voir §15.3.</w:t>
      </w:r>
    </w:p>
    <w:p>
      <w:pPr>
        <w:pStyle w:val="Heading2"/>
        <w:spacing w:after="160" w:before="360"/>
      </w:pPr>
      <w:r>
        <w:rPr>
          <w:rFonts w:ascii="Calibri" w:cs="Calibri" w:eastAsia="Calibri" w:hAnsi="Calibri"/>
          <w:b/>
          <w:bCs/>
          <w:color w:val="12406E"/>
          <w:sz w:val="25"/>
          <w:szCs w:val="25"/>
        </w:rPr>
        <w:t xml:space="preserve">4.5 Module Évaluation (V2)</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Contrôles continus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Planification et notes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Examens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sessions d'examen</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Bulletins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Génération automatique</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Délibérations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Processus de délibération</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5B6472"/>
                <w:sz w:val="19"/>
                <w:szCs w:val="19"/>
              </w:rPr>
              <w:t xml:space="preserve">P3</w:t>
            </w:r>
          </w:p>
        </w:tc>
      </w:tr>
    </w:tbl>
    <w:p>
      <w:pPr>
        <w:pStyle w:val="Heading2"/>
        <w:spacing w:after="160" w:before="360"/>
      </w:pPr>
      <w:r>
        <w:rPr>
          <w:rFonts w:ascii="Calibri" w:cs="Calibri" w:eastAsia="Calibri" w:hAnsi="Calibri"/>
          <w:b/>
          <w:bCs/>
          <w:color w:val="12406E"/>
          <w:sz w:val="25"/>
          <w:szCs w:val="25"/>
        </w:rPr>
        <w:t xml:space="preserve">4.6 Module Statistiques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Tableau de bord interactif</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Vue globale adaptée à chaque rôle</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Effectifs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Statistiques par filière/niveau/spécialité</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Occupation des salles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Tableaux de bord temps réel</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Présences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Taux de présence par cours/filière</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Résultats académiques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Tendances, alertes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bl>
    <w:p>
      <w:pPr>
        <w:pStyle w:val="Heading2"/>
        <w:spacing w:after="160" w:before="360"/>
      </w:pPr>
      <w:r>
        <w:rPr>
          <w:rFonts w:ascii="Calibri" w:cs="Calibri" w:eastAsia="Calibri" w:hAnsi="Calibri"/>
          <w:b/>
          <w:bCs/>
          <w:color w:val="12406E"/>
          <w:sz w:val="25"/>
          <w:szCs w:val="25"/>
        </w:rPr>
        <w:t xml:space="preserve">4.7 Détail des règles métier majeures</w:t>
      </w:r>
    </w:p>
    <w:p>
      <w:pPr>
        <w:pStyle w:val="Heading3"/>
        <w:spacing w:after="120" w:before="220"/>
      </w:pPr>
      <w:r>
        <w:rPr>
          <w:rFonts w:ascii="Calibri" w:cs="Calibri" w:eastAsia="Calibri" w:hAnsi="Calibri"/>
          <w:b/>
          <w:bCs/>
          <w:color w:val="0E7A80"/>
          <w:sz w:val="21"/>
          <w:szCs w:val="21"/>
        </w:rPr>
        <w:t xml:space="preserve">Inscriptions et UE</w:t>
      </w:r>
    </w:p>
    <w:p>
      <w:pPr>
        <w:pStyle w:val="ListParagraph"/>
        <w:numPr>
          <w:ilvl w:val="0"/>
          <w:numId w:val="1"/>
        </w:numPr>
        <w:spacing w:after="90" w:line="290"/>
        <w:jc w:val="both"/>
      </w:pPr>
      <w:r>
        <w:rPr>
          <w:rFonts w:ascii="Calibri" w:cs="Calibri" w:eastAsia="Calibri" w:hAnsi="Calibri"/>
          <w:color w:val="222831"/>
          <w:sz w:val="21"/>
          <w:szCs w:val="21"/>
        </w:rPr>
        <w:t xml:space="preserve">Un étudiant ne peut s'inscrire qu'à des UE de son niveau et de sa filière.</w:t>
      </w:r>
    </w:p>
    <w:p>
      <w:pPr>
        <w:pStyle w:val="ListParagraph"/>
        <w:numPr>
          <w:ilvl w:val="0"/>
          <w:numId w:val="1"/>
        </w:numPr>
        <w:spacing w:after="90" w:line="290"/>
        <w:jc w:val="both"/>
      </w:pPr>
      <w:r>
        <w:rPr>
          <w:rFonts w:ascii="Calibri" w:cs="Calibri" w:eastAsia="Calibri" w:hAnsi="Calibri"/>
          <w:color w:val="222831"/>
          <w:sz w:val="21"/>
          <w:szCs w:val="21"/>
        </w:rPr>
        <w:t xml:space="preserve">Les UE optionnelles nécessitent une validation du secrétariat.</w:t>
      </w:r>
    </w:p>
    <w:p>
      <w:pPr>
        <w:pStyle w:val="ListParagraph"/>
        <w:numPr>
          <w:ilvl w:val="0"/>
          <w:numId w:val="1"/>
        </w:numPr>
        <w:spacing w:after="90" w:line="290"/>
        <w:jc w:val="both"/>
      </w:pPr>
      <w:r>
        <w:rPr>
          <w:rFonts w:ascii="Calibri" w:cs="Calibri" w:eastAsia="Calibri" w:hAnsi="Calibri"/>
          <w:color w:val="222831"/>
          <w:sz w:val="21"/>
          <w:szCs w:val="21"/>
        </w:rPr>
        <w:t xml:space="preserve">Une UE appartient à un niveau et un semestre, et peut être liée à une ou plusieurs spécialités.</w:t>
      </w:r>
    </w:p>
    <w:p>
      <w:pPr>
        <w:pStyle w:val="ListParagraph"/>
        <w:numPr>
          <w:ilvl w:val="0"/>
          <w:numId w:val="1"/>
        </w:numPr>
        <w:spacing w:after="90" w:line="290"/>
        <w:jc w:val="both"/>
      </w:pPr>
      <w:r>
        <w:rPr>
          <w:rFonts w:ascii="Calibri" w:cs="Calibri" w:eastAsia="Calibri" w:hAnsi="Calibri"/>
          <w:color w:val="222831"/>
          <w:sz w:val="21"/>
          <w:szCs w:val="21"/>
        </w:rPr>
        <w:t xml:space="preserve">Les UE obligatoires sont communes à tous les étudiants du niveau ; les optionnelles sont choisies par l'étudiant.</w:t>
      </w:r>
    </w:p>
    <w:p>
      <w:pPr>
        <w:pStyle w:val="ListParagraph"/>
        <w:numPr>
          <w:ilvl w:val="0"/>
          <w:numId w:val="1"/>
        </w:numPr>
        <w:spacing w:after="90" w:line="290"/>
        <w:jc w:val="both"/>
      </w:pPr>
      <w:r>
        <w:rPr>
          <w:rFonts w:ascii="Calibri" w:cs="Calibri" w:eastAsia="Calibri" w:hAnsi="Calibri"/>
          <w:color w:val="222831"/>
          <w:sz w:val="21"/>
          <w:szCs w:val="21"/>
        </w:rPr>
        <w:t xml:space="preserve">Les crédits sont cumulatifs par semestre ; les heures totalisent CM + TD + TP.</w:t>
      </w:r>
    </w:p>
    <w:p>
      <w:pPr>
        <w:pStyle w:val="Heading3"/>
        <w:spacing w:after="120" w:before="220"/>
      </w:pPr>
      <w:r>
        <w:rPr>
          <w:rFonts w:ascii="Calibri" w:cs="Calibri" w:eastAsia="Calibri" w:hAnsi="Calibri"/>
          <w:b/>
          <w:bCs/>
          <w:color w:val="0E7A80"/>
          <w:sz w:val="21"/>
          <w:szCs w:val="21"/>
        </w:rPr>
        <w:t xml:space="preserve">Emplois du temps et salles</w:t>
      </w:r>
    </w:p>
    <w:p>
      <w:pPr>
        <w:pStyle w:val="ListParagraph"/>
        <w:numPr>
          <w:ilvl w:val="0"/>
          <w:numId w:val="1"/>
        </w:numPr>
        <w:spacing w:after="90" w:line="290"/>
        <w:jc w:val="both"/>
      </w:pPr>
      <w:r>
        <w:rPr>
          <w:rFonts w:ascii="Calibri" w:cs="Calibri" w:eastAsia="Calibri" w:hAnsi="Calibri"/>
          <w:color w:val="222831"/>
          <w:sz w:val="21"/>
          <w:szCs w:val="21"/>
        </w:rPr>
        <w:t xml:space="preserve">Génération automatique des créneaux à partir des UE, des salles disponibles (capacité, équipements) et des enseignants.</w:t>
      </w:r>
    </w:p>
    <w:p>
      <w:pPr>
        <w:pStyle w:val="ListParagraph"/>
        <w:numPr>
          <w:ilvl w:val="0"/>
          <w:numId w:val="1"/>
        </w:numPr>
        <w:spacing w:after="90" w:line="290"/>
        <w:jc w:val="both"/>
      </w:pPr>
      <w:r>
        <w:rPr>
          <w:rFonts w:ascii="Calibri" w:cs="Calibri" w:eastAsia="Calibri" w:hAnsi="Calibri"/>
          <w:color w:val="222831"/>
          <w:sz w:val="21"/>
          <w:szCs w:val="21"/>
        </w:rPr>
        <w:t xml:space="preserve">Contraintes strictes : pas de double affectation de salle ou d'enseignant sur un même créneau, capacité de salle ≥ effectif inscrit, adéquation type de salle / type de cours (CM → amphithéâtre, TD → salle, TP → laboratoire).</w:t>
      </w:r>
    </w:p>
    <w:p>
      <w:pPr>
        <w:pStyle w:val="ListParagraph"/>
        <w:numPr>
          <w:ilvl w:val="0"/>
          <w:numId w:val="1"/>
        </w:numPr>
        <w:spacing w:after="90" w:line="290"/>
        <w:jc w:val="both"/>
      </w:pPr>
      <w:r>
        <w:rPr>
          <w:rFonts w:ascii="Calibri" w:cs="Calibri" w:eastAsia="Calibri" w:hAnsi="Calibri"/>
          <w:color w:val="222831"/>
          <w:sz w:val="21"/>
          <w:szCs w:val="21"/>
        </w:rPr>
        <w:t xml:space="preserve">Auto-ajustement en cas de conflit : réassignation de salle équivalente, proposition de créneau alternatif, division de groupe si salle saturée.</w:t>
      </w:r>
    </w:p>
    <w:p>
      <w:pPr>
        <w:pStyle w:val="Heading3"/>
        <w:spacing w:after="120" w:before="220"/>
      </w:pPr>
      <w:r>
        <w:rPr>
          <w:rFonts w:ascii="Calibri" w:cs="Calibri" w:eastAsia="Calibri" w:hAnsi="Calibri"/>
          <w:b/>
          <w:bCs/>
          <w:color w:val="0E7A80"/>
          <w:sz w:val="21"/>
          <w:szCs w:val="21"/>
        </w:rPr>
        <w:t xml:space="preserve">Présences</w:t>
      </w:r>
    </w:p>
    <w:p>
      <w:pPr>
        <w:pStyle w:val="ListParagraph"/>
        <w:numPr>
          <w:ilvl w:val="0"/>
          <w:numId w:val="1"/>
        </w:numPr>
        <w:spacing w:after="90" w:line="290"/>
        <w:jc w:val="both"/>
      </w:pPr>
      <w:r>
        <w:rPr>
          <w:rFonts w:ascii="Calibri" w:cs="Calibri" w:eastAsia="Calibri" w:hAnsi="Calibri"/>
          <w:color w:val="222831"/>
          <w:sz w:val="21"/>
          <w:szCs w:val="21"/>
        </w:rPr>
        <w:t xml:space="preserve">Liste de présence générée automatiquement à partir des étudiants inscrits à l'UE, filtrés par filière, niveau, spécialité et éventuellement groupe TD/TP.</w:t>
      </w:r>
    </w:p>
    <w:p>
      <w:pPr>
        <w:pStyle w:val="ListParagraph"/>
        <w:numPr>
          <w:ilvl w:val="0"/>
          <w:numId w:val="1"/>
        </w:numPr>
        <w:spacing w:after="90" w:line="290"/>
        <w:jc w:val="both"/>
      </w:pPr>
      <w:r>
        <w:rPr>
          <w:rFonts w:ascii="Calibri" w:cs="Calibri" w:eastAsia="Calibri" w:hAnsi="Calibri"/>
          <w:color w:val="222831"/>
          <w:sz w:val="21"/>
          <w:szCs w:val="21"/>
        </w:rPr>
        <w:t xml:space="preserve">Le délégué valide/modifie la liste pendant le cours (présent, absent, retard, excusé).</w:t>
      </w:r>
    </w:p>
    <w:p>
      <w:pPr>
        <w:pStyle w:val="ListParagraph"/>
        <w:numPr>
          <w:ilvl w:val="0"/>
          <w:numId w:val="1"/>
        </w:numPr>
        <w:spacing w:after="90" w:line="290"/>
        <w:jc w:val="both"/>
      </w:pPr>
      <w:r>
        <w:rPr>
          <w:rFonts w:ascii="Calibri" w:cs="Calibri" w:eastAsia="Calibri" w:hAnsi="Calibri"/>
          <w:color w:val="222831"/>
          <w:sz w:val="21"/>
          <w:szCs w:val="21"/>
        </w:rPr>
        <w:t xml:space="preserve">Un QR code unique par session peut être utilisé pour le pointage direct par l'étudiant, avec vérification côté serveur.</w:t>
      </w:r>
    </w:p>
    <w:p>
      <w:pPr>
        <w:pStyle w:val="ListParagraph"/>
        <w:numPr>
          <w:ilvl w:val="0"/>
          <w:numId w:val="1"/>
        </w:numPr>
        <w:spacing w:after="90" w:line="290"/>
        <w:jc w:val="both"/>
      </w:pPr>
      <w:r>
        <w:rPr>
          <w:rFonts w:ascii="Calibri" w:cs="Calibri" w:eastAsia="Calibri" w:hAnsi="Calibri"/>
          <w:color w:val="222831"/>
          <w:sz w:val="21"/>
          <w:szCs w:val="21"/>
        </w:rPr>
        <w:t xml:space="preserve">Fonctionnement garanti hors ligne : marquage en local puis synchronisation différée à la reconnexion — y compris lorsque l'amphithéâtre n'a ni réseau ni électricité stable.</w:t>
      </w:r>
    </w:p>
    <w:p>
      <w:pPr>
        <w:pStyle w:val="Heading3"/>
        <w:spacing w:after="120" w:before="220"/>
      </w:pPr>
      <w:r>
        <w:rPr>
          <w:rFonts w:ascii="Calibri" w:cs="Calibri" w:eastAsia="Calibri" w:hAnsi="Calibri"/>
          <w:b/>
          <w:bCs/>
          <w:color w:val="0E7A80"/>
          <w:sz w:val="21"/>
          <w:szCs w:val="21"/>
        </w:rPr>
        <w:t xml:space="preserve">Visioconférence</w:t>
      </w:r>
    </w:p>
    <w:p>
      <w:pPr>
        <w:pStyle w:val="ListParagraph"/>
        <w:numPr>
          <w:ilvl w:val="0"/>
          <w:numId w:val="1"/>
        </w:numPr>
        <w:spacing w:after="90" w:line="290"/>
        <w:jc w:val="both"/>
      </w:pPr>
      <w:r>
        <w:rPr>
          <w:rFonts w:ascii="Calibri" w:cs="Calibri" w:eastAsia="Calibri" w:hAnsi="Calibri"/>
          <w:color w:val="222831"/>
          <w:sz w:val="21"/>
          <w:szCs w:val="21"/>
        </w:rPr>
        <w:t xml:space="preserve">Mode Local (LAN) : serveur LiveKit déployé sur le réseau de l'établissement, aucune connexion Internet requise, découverte des pairs via mDNS/Bonjour, latence minimale.</w:t>
      </w:r>
    </w:p>
    <w:p>
      <w:pPr>
        <w:pStyle w:val="ListParagraph"/>
        <w:numPr>
          <w:ilvl w:val="0"/>
          <w:numId w:val="1"/>
        </w:numPr>
        <w:spacing w:after="90" w:line="290"/>
        <w:jc w:val="both"/>
      </w:pPr>
      <w:r>
        <w:rPr>
          <w:rFonts w:ascii="Calibri" w:cs="Calibri" w:eastAsia="Calibri" w:hAnsi="Calibri"/>
          <w:color w:val="222831"/>
          <w:sz w:val="21"/>
          <w:szCs w:val="21"/>
        </w:rPr>
        <w:t xml:space="preserve">Mode Internet : l'enseignant crée la réunion depuis l'application ; le backend génère un lien et un token sécurisés, les étudiants rejoignent via ce lien.</w:t>
      </w:r>
    </w:p>
    <w:p>
      <w:pPr>
        <w:pStyle w:val="ListParagraph"/>
        <w:numPr>
          <w:ilvl w:val="0"/>
          <w:numId w:val="1"/>
        </w:numPr>
        <w:spacing w:after="90" w:line="290"/>
        <w:jc w:val="both"/>
      </w:pPr>
      <w:r>
        <w:rPr>
          <w:rFonts w:ascii="Calibri" w:cs="Calibri" w:eastAsia="Calibri" w:hAnsi="Calibri"/>
          <w:color w:val="222831"/>
          <w:sz w:val="21"/>
          <w:szCs w:val="21"/>
        </w:rPr>
        <w:t xml:space="preserve">Fonctionnalités attendues : audio/vidéo (P0), partage d'écran (P0), chat texte (P1), main levée (P1), enregistrement (P2), fond virtuel et sous-titres (P3).</w:t>
      </w:r>
    </w:p>
    <w:p>
      <w:pPr>
        <w:pStyle w:val="ListParagraph"/>
        <w:numPr>
          <w:ilvl w:val="0"/>
          <w:numId w:val="1"/>
        </w:numPr>
        <w:spacing w:after="90" w:line="290"/>
        <w:jc w:val="both"/>
      </w:pPr>
      <w:r>
        <w:rPr>
          <w:rFonts w:ascii="Calibri" w:cs="Calibri" w:eastAsia="Calibri" w:hAnsi="Calibri"/>
          <w:color w:val="222831"/>
          <w:sz w:val="21"/>
          <w:szCs w:val="21"/>
        </w:rPr>
        <w:t xml:space="preserve">Un mode « audio seul / basse résolution » est ajouté en P1 pour les connexions 3G limitées, fréquentes hors des grandes villes.</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5. Acteurs et rôles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1837"/>
        <w:gridCol w:w="3266"/>
        <w:gridCol w:w="5103"/>
      </w:tblGrid>
      <w:tr>
        <w:trPr>
          <w:tblHeader/>
        </w:trPr>
        <w:tc>
          <w:tcPr>
            <w:tcW w:type="dxa" w:w="183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Rôle</w:t>
            </w:r>
          </w:p>
        </w:tc>
        <w:tc>
          <w:tcPr>
            <w:tcW w:type="dxa" w:w="3266"/>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510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Permissions principales</w:t>
            </w:r>
          </w:p>
        </w:tc>
      </w:tr>
      <w:tr>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Super Admin</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Administrateur système</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Tout, y compris configuration système et changement de rôles</w:t>
            </w:r>
          </w:p>
        </w:tc>
      </w:tr>
      <w:tr>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Admin</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Administration universitaire</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utilisateurs, filières, UE, cours, salles</w:t>
            </w:r>
          </w:p>
        </w:tc>
      </w:tr>
      <w:tr>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Direction</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Direction de l'établissement</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Consultation, validation, statistiques globales</w:t>
            </w:r>
          </w:p>
        </w:tc>
      </w:tr>
      <w:tr>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Secrétariat</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administrative</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Inscriptions, emplois du temps, salles</w:t>
            </w:r>
          </w:p>
        </w:tc>
      </w:tr>
      <w:tr>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Enseignant</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Corps enseignant</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Ses cours, présences, notes, visioconférence</w:t>
            </w:r>
          </w:p>
        </w:tc>
      </w:tr>
      <w:tr>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Délégué</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Représentant étudiant</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Listes de présence de sa filière, communication</w:t>
            </w:r>
          </w:p>
        </w:tc>
      </w:tr>
      <w:tr>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Étudiant</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Inscrit</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Consultation, présences, notes, visioconférence (lecture/participation)</w:t>
            </w:r>
          </w:p>
        </w:tc>
      </w:tr>
      <w:tr>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Bibliothécaire</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bibliothèque</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Module futur (V2)</w:t>
            </w:r>
          </w:p>
        </w:tc>
      </w:tr>
    </w:tbl>
    <w:p>
      <w:pPr>
        <w:pStyle w:val="Heading2"/>
        <w:spacing w:after="160" w:before="360"/>
      </w:pPr>
      <w:r>
        <w:rPr>
          <w:rFonts w:ascii="Calibri" w:cs="Calibri" w:eastAsia="Calibri" w:hAnsi="Calibri"/>
          <w:b/>
          <w:bCs/>
          <w:color w:val="12406E"/>
          <w:sz w:val="25"/>
          <w:szCs w:val="25"/>
        </w:rPr>
        <w:t xml:space="preserve">5.1 Matrice de permissions (RBAC synthétique)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1429"/>
        <w:gridCol w:w="1327"/>
        <w:gridCol w:w="1327"/>
        <w:gridCol w:w="1225"/>
        <w:gridCol w:w="1327"/>
        <w:gridCol w:w="1225"/>
        <w:gridCol w:w="1327"/>
        <w:gridCol w:w="1021"/>
      </w:tblGrid>
      <w:tr>
        <w:trPr>
          <w:tblHeader/>
        </w:trPr>
        <w:tc>
          <w:tcPr>
            <w:tcW w:type="dxa" w:w="142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Rôle</w:t>
            </w:r>
          </w:p>
        </w:tc>
        <w:tc>
          <w:tcPr>
            <w:tcW w:type="dxa" w:w="132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Étudiants</w:t>
            </w:r>
          </w:p>
        </w:tc>
        <w:tc>
          <w:tcPr>
            <w:tcW w:type="dxa" w:w="132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Enseignants</w:t>
            </w:r>
          </w:p>
        </w:tc>
        <w:tc>
          <w:tcPr>
            <w:tcW w:type="dxa" w:w="122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UE</w:t>
            </w:r>
          </w:p>
        </w:tc>
        <w:tc>
          <w:tcPr>
            <w:tcW w:type="dxa" w:w="132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Cours</w:t>
            </w:r>
          </w:p>
        </w:tc>
        <w:tc>
          <w:tcPr>
            <w:tcW w:type="dxa" w:w="122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Salles</w:t>
            </w:r>
          </w:p>
        </w:tc>
        <w:tc>
          <w:tcPr>
            <w:tcW w:type="dxa" w:w="132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Présences</w:t>
            </w:r>
          </w:p>
        </w:tc>
        <w:tc>
          <w:tcPr>
            <w:tcW w:type="dxa" w:w="102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Super Admin</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02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r>
      <w:tr>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Admin</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22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22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02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r>
      <w:tr>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Direction</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02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r>
      <w:tr>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Secrétariat</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22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22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02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r>
      <w:tr>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Enseignant</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 (ses UE)</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(ses cours)</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(ses cours)</w:t>
            </w:r>
          </w:p>
        </w:tc>
        <w:tc>
          <w:tcPr>
            <w:tcW w:type="dxa" w:w="102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(ses cours)</w:t>
            </w:r>
          </w:p>
        </w:tc>
      </w:tr>
      <w:tr>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Délégué</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 (filière)</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c>
          <w:tcPr>
            <w:tcW w:type="dxa" w:w="122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 (filière)</w:t>
            </w:r>
          </w:p>
        </w:tc>
        <w:tc>
          <w:tcPr>
            <w:tcW w:type="dxa" w:w="122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(filière)</w:t>
            </w:r>
          </w:p>
        </w:tc>
        <w:tc>
          <w:tcPr>
            <w:tcW w:type="dxa" w:w="102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r>
      <w:tr>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Étudiant</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 (perso)</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22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w:t>
            </w:r>
          </w:p>
        </w:tc>
        <w:tc>
          <w:tcPr>
            <w:tcW w:type="dxa" w:w="132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 (perso)</w:t>
            </w:r>
          </w:p>
        </w:tc>
        <w:tc>
          <w:tcPr>
            <w:tcW w:type="dxa" w:w="102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 (perso)</w:t>
            </w:r>
          </w:p>
        </w:tc>
      </w:tr>
    </w:tbl>
    <w:p>
      <w:pPr>
        <w:spacing w:after="220"/>
      </w:pPr>
      <w:r>
        <w:rPr>
          <w:rFonts w:ascii="Calibri" w:cs="Calibri" w:eastAsia="Calibri" w:hAnsi="Calibri"/>
          <w:i/>
          <w:iCs/>
          <w:color w:val="5B6472"/>
          <w:sz w:val="21"/>
          <w:szCs w:val="21"/>
        </w:rPr>
        <w:t xml:space="preserve">CRUD = Create/Read/Update/Delete complet ; R = lecture seule ; les mentions entre parenthèses restreignent le périmètre au sous-ensemble concerné.</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6. Architecture technique</w:t>
      </w:r>
    </w:p>
    <w:p>
      <w:pPr>
        <w:pStyle w:val="Heading2"/>
        <w:spacing w:after="160" w:before="360"/>
      </w:pPr>
      <w:r>
        <w:rPr>
          <w:rFonts w:ascii="Calibri" w:cs="Calibri" w:eastAsia="Calibri" w:hAnsi="Calibri"/>
          <w:b/>
          <w:bCs/>
          <w:color w:val="12406E"/>
          <w:sz w:val="25"/>
          <w:szCs w:val="25"/>
        </w:rPr>
        <w:t xml:space="preserve">6.1 Vue d'ensemble — architecture 3-tiers Offline First</w:t>
      </w:r>
    </w:p>
    <w:p>
      <w:pPr>
        <w:spacing w:after="160" w:line="300"/>
        <w:jc w:val="both"/>
      </w:pPr>
      <w:r>
        <w:rPr>
          <w:rFonts w:ascii="Calibri" w:cs="Calibri" w:eastAsia="Calibri" w:hAnsi="Calibri"/>
          <w:color w:val="222831"/>
          <w:sz w:val="21"/>
          <w:szCs w:val="21"/>
        </w:rPr>
        <w:t xml:space="preserve">UniFlow repose sur une architecture en trois couches, avec un moteur de synchronisation entre le client (base locale SQLite) et le serveur (PostgreSQL distant) :</w:t>
      </w:r>
    </w:p>
    <w:p>
      <w:pPr>
        <w:pStyle w:val="ListParagraph"/>
        <w:numPr>
          <w:ilvl w:val="0"/>
          <w:numId w:val="1"/>
        </w:numPr>
        <w:spacing w:after="90" w:line="290"/>
        <w:jc w:val="both"/>
      </w:pPr>
      <w:r>
        <w:rPr>
          <w:rFonts w:ascii="Calibri" w:cs="Calibri" w:eastAsia="Calibri" w:hAnsi="Calibri"/>
          <w:color w:val="222831"/>
          <w:sz w:val="21"/>
          <w:szCs w:val="21"/>
        </w:rPr>
        <w:t xml:space="preserve">Couche Présentation : Flutter Mobile, Flutter Desktop, Flutter Web (V2), gérées par Riverpod et GoRouter.</w:t>
      </w:r>
    </w:p>
    <w:p>
      <w:pPr>
        <w:pStyle w:val="ListParagraph"/>
        <w:numPr>
          <w:ilvl w:val="0"/>
          <w:numId w:val="1"/>
        </w:numPr>
        <w:spacing w:after="90" w:line="290"/>
        <w:jc w:val="both"/>
      </w:pPr>
      <w:r>
        <w:rPr>
          <w:rFonts w:ascii="Calibri" w:cs="Calibri" w:eastAsia="Calibri" w:hAnsi="Calibri"/>
          <w:color w:val="222831"/>
          <w:sz w:val="21"/>
          <w:szCs w:val="21"/>
        </w:rPr>
        <w:t xml:space="preserve">Couche Repository : abstrait l'accès aux données, orchestrant entre la base locale (Drift/SQLite) et l'API distante (REST).</w:t>
      </w:r>
    </w:p>
    <w:p>
      <w:pPr>
        <w:pStyle w:val="ListParagraph"/>
        <w:numPr>
          <w:ilvl w:val="0"/>
          <w:numId w:val="1"/>
        </w:numPr>
        <w:spacing w:after="90" w:line="290"/>
        <w:jc w:val="both"/>
      </w:pPr>
      <w:r>
        <w:rPr>
          <w:rFonts w:ascii="Calibri" w:cs="Calibri" w:eastAsia="Calibri" w:hAnsi="Calibri"/>
          <w:color w:val="222831"/>
          <w:sz w:val="21"/>
          <w:szCs w:val="21"/>
        </w:rPr>
        <w:t xml:space="preserve">Moteur de synchronisation (Sync Engine) : pattern Outbox, résolution de conflits (Last-Write-Wins par défaut), backoff exponentiel, synchronisation en tâche de fond (Workmanager).</w:t>
      </w:r>
    </w:p>
    <w:p>
      <w:pPr>
        <w:pStyle w:val="ListParagraph"/>
        <w:numPr>
          <w:ilvl w:val="0"/>
          <w:numId w:val="1"/>
        </w:numPr>
        <w:spacing w:after="90" w:line="290"/>
        <w:jc w:val="both"/>
      </w:pPr>
      <w:r>
        <w:rPr>
          <w:rFonts w:ascii="Calibri" w:cs="Calibri" w:eastAsia="Calibri" w:hAnsi="Calibri"/>
          <w:color w:val="222831"/>
          <w:sz w:val="21"/>
          <w:szCs w:val="21"/>
        </w:rPr>
        <w:t xml:space="preserve">Couche Métier (Backend) : application NestJS modulaire, chaque domaine étant un module indépendant, connecté à PostgreSQL via Prisma ORM.</w:t>
      </w:r>
    </w:p>
    <w:p>
      <w:pPr>
        <w:pStyle w:val="ListParagraph"/>
        <w:numPr>
          <w:ilvl w:val="0"/>
          <w:numId w:val="1"/>
        </w:numPr>
        <w:spacing w:after="90" w:line="290"/>
        <w:jc w:val="both"/>
      </w:pPr>
      <w:r>
        <w:rPr>
          <w:rFonts w:ascii="Calibri" w:cs="Calibri" w:eastAsia="Calibri" w:hAnsi="Calibri"/>
          <w:color w:val="222831"/>
          <w:sz w:val="21"/>
          <w:szCs w:val="21"/>
        </w:rPr>
        <w:t xml:space="preserve">Couche Données : PostgreSQL (hébergé via Supabase), Supabase Storage, Firebase (notifications push et rapports de crash).</w:t>
      </w:r>
    </w:p>
    <w:p>
      <w:pPr>
        <w:pStyle w:val="Heading2"/>
        <w:spacing w:after="160" w:before="360"/>
      </w:pPr>
      <w:r>
        <w:rPr>
          <w:rFonts w:ascii="Calibri" w:cs="Calibri" w:eastAsia="Calibri" w:hAnsi="Calibri"/>
          <w:b/>
          <w:bCs/>
          <w:color w:val="12406E"/>
          <w:sz w:val="25"/>
          <w:szCs w:val="25"/>
        </w:rPr>
        <w:t xml:space="preserve">6.2 Flux de requête backend (NestJS)</w:t>
      </w:r>
    </w:p>
    <w:p>
      <w:pPr>
        <w:spacing w:after="160" w:line="300"/>
        <w:jc w:val="both"/>
      </w:pPr>
      <w:r>
        <w:rPr>
          <w:rFonts w:ascii="Calibri" w:cs="Calibri" w:eastAsia="Calibri" w:hAnsi="Calibri"/>
          <w:color w:val="222831"/>
          <w:sz w:val="21"/>
          <w:szCs w:val="21"/>
        </w:rPr>
        <w:t xml:space="preserve">Chaque requête entrante traverse successivement : Middleware (CORS, rate limiting, Helmet) → Guard (validation JWT, contrôle RBAC) → Interceptor (logging, transformation de la réponse) → Pipe (validation via class-validator) → Controller → Service (logique métier) → Prisma → PostgreSQL.</w:t>
      </w:r>
    </w:p>
    <w:p>
      <w:pPr>
        <w:pStyle w:val="Heading2"/>
        <w:spacing w:after="160" w:before="360"/>
      </w:pPr>
      <w:r>
        <w:rPr>
          <w:rFonts w:ascii="Calibri" w:cs="Calibri" w:eastAsia="Calibri" w:hAnsi="Calibri"/>
          <w:b/>
          <w:bCs/>
          <w:color w:val="12406E"/>
          <w:sz w:val="25"/>
          <w:szCs w:val="25"/>
        </w:rPr>
        <w:t xml:space="preserve">6.3 Stratégie de synchronisation offline (composant critique)</w:t>
      </w:r>
    </w:p>
    <w:p>
      <w:pPr>
        <w:pStyle w:val="Heading3"/>
        <w:spacing w:after="120" w:before="220"/>
      </w:pPr>
      <w:r>
        <w:rPr>
          <w:rFonts w:ascii="Calibri" w:cs="Calibri" w:eastAsia="Calibri" w:hAnsi="Calibri"/>
          <w:b/>
          <w:bCs/>
          <w:color w:val="0E7A80"/>
          <w:sz w:val="21"/>
          <w:szCs w:val="21"/>
        </w:rPr>
        <w:t xml:space="preserve">Lectures</w:t>
      </w:r>
    </w:p>
    <w:p>
      <w:pPr>
        <w:spacing w:after="160" w:line="300"/>
        <w:jc w:val="both"/>
      </w:pPr>
      <w:r>
        <w:rPr>
          <w:rFonts w:ascii="Calibri" w:cs="Calibri" w:eastAsia="Calibri" w:hAnsi="Calibri"/>
          <w:color w:val="222831"/>
          <w:sz w:val="21"/>
          <w:szCs w:val="21"/>
        </w:rPr>
        <w:t xml:space="preserve">Toute lecture passe par le Repository, qui consulte d'abord SQLite local. Si l'appareil est en ligne, les données sont rafraîchies depuis l'API puis écrites en local ; sinon, les données locales sont retournées telles quelles. Les flux réactifs Drift notifient automatiquement l'interface.</w:t>
      </w:r>
    </w:p>
    <w:p>
      <w:pPr>
        <w:pStyle w:val="Heading3"/>
        <w:spacing w:after="120" w:before="220"/>
      </w:pPr>
      <w:r>
        <w:rPr>
          <w:rFonts w:ascii="Calibri" w:cs="Calibri" w:eastAsia="Calibri" w:hAnsi="Calibri"/>
          <w:b/>
          <w:bCs/>
          <w:color w:val="0E7A80"/>
          <w:sz w:val="21"/>
          <w:szCs w:val="21"/>
        </w:rPr>
        <w:t xml:space="preserve">Écritures</w:t>
      </w:r>
    </w:p>
    <w:p>
      <w:pPr>
        <w:spacing w:after="160" w:line="300"/>
        <w:jc w:val="both"/>
      </w:pPr>
      <w:r>
        <w:rPr>
          <w:rFonts w:ascii="Calibri" w:cs="Calibri" w:eastAsia="Calibri" w:hAnsi="Calibri"/>
          <w:color w:val="222831"/>
          <w:sz w:val="21"/>
          <w:szCs w:val="21"/>
        </w:rPr>
        <w:t xml:space="preserve">Toute écriture est d'abord appliquée en local (SQLite), puis ajoutée à une file d'attente de synchronisation (Outbox). L'utilisateur voit le résultat instantanément ; l'envoi au serveur se fait en arrière-plan, avec nouvelle tentative en cas d'échec (backoff exponentiel), y compris après plusieurs heures ou jours hors ligne.</w:t>
      </w:r>
    </w:p>
    <w:p>
      <w:pPr>
        <w:pStyle w:val="Heading3"/>
        <w:spacing w:after="120" w:before="220"/>
      </w:pPr>
      <w:r>
        <w:rPr>
          <w:rFonts w:ascii="Calibri" w:cs="Calibri" w:eastAsia="Calibri" w:hAnsi="Calibri"/>
          <w:b/>
          <w:bCs/>
          <w:color w:val="0E7A80"/>
          <w:sz w:val="21"/>
          <w:szCs w:val="21"/>
        </w:rPr>
        <w:t xml:space="preserve">Résolution de conflits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449"/>
        <w:gridCol w:w="4082"/>
        <w:gridCol w:w="3674"/>
      </w:tblGrid>
      <w:tr>
        <w:trPr>
          <w:tblHeader/>
        </w:trPr>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Stratégie</w:t>
            </w:r>
          </w:p>
        </w:tc>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367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Usage</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Last-Write-Wins (LWW)</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Le dernier horodatage l'emporte</w:t>
            </w:r>
          </w:p>
        </w:tc>
        <w:tc>
          <w:tcPr>
            <w:tcW w:type="dxa" w:w="367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Stratégie par défaut</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ServerWins</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Le serveur a toujours raison</w:t>
            </w:r>
          </w:p>
        </w:tc>
        <w:tc>
          <w:tcPr>
            <w:tcW w:type="dxa" w:w="367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Données critiques</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ClientWins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Le client a toujours raison</w:t>
            </w:r>
          </w:p>
        </w:tc>
        <w:tc>
          <w:tcPr>
            <w:tcW w:type="dxa" w:w="367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Préférences utilisateur</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Merge</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Fusion intelligente champ par champ</w:t>
            </w:r>
          </w:p>
        </w:tc>
        <w:tc>
          <w:tcPr>
            <w:tcW w:type="dxa" w:w="367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Cas spécifiques (ex. notes par matière)</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Manual</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Résolution manuelle par l'utilisateur</w:t>
            </w:r>
          </w:p>
        </w:tc>
        <w:tc>
          <w:tcPr>
            <w:tcW w:type="dxa" w:w="367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Conflits complexes non automatisables</w:t>
            </w:r>
          </w:p>
        </w:tc>
      </w:tr>
    </w:tbl>
    <w:p>
      <w:pPr>
        <w:pStyle w:val="Heading3"/>
        <w:spacing w:after="120" w:before="220"/>
      </w:pPr>
      <w:r>
        <w:rPr>
          <w:rFonts w:ascii="Calibri" w:cs="Calibri" w:eastAsia="Calibri" w:hAnsi="Calibri"/>
          <w:b/>
          <w:bCs/>
          <w:color w:val="0E7A80"/>
          <w:sz w:val="21"/>
          <w:szCs w:val="21"/>
        </w:rPr>
        <w:t xml:space="preserve">Exigences de performance de la synchronisation</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5613"/>
        <w:gridCol w:w="4593"/>
      </w:tblGrid>
      <w:tr>
        <w:trPr>
          <w:tblHeader/>
        </w:trPr>
        <w:tc>
          <w:tcPr>
            <w:tcW w:type="dxa" w:w="561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Métrique</w:t>
            </w:r>
          </w:p>
        </w:tc>
        <w:tc>
          <w:tcPr>
            <w:tcW w:type="dxa" w:w="459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w:t>
            </w:r>
          </w:p>
        </w:tc>
      </w:tr>
      <w:tr>
        <w:tc>
          <w:tcPr>
            <w:tcW w:type="dxa" w:w="561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de lecture local</w:t>
            </w:r>
          </w:p>
        </w:tc>
        <w:tc>
          <w:tcPr>
            <w:tcW w:type="dxa" w:w="459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10 ms</w:t>
            </w:r>
          </w:p>
        </w:tc>
      </w:tr>
      <w:tr>
        <w:tc>
          <w:tcPr>
            <w:tcW w:type="dxa" w:w="561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d'écriture locale</w:t>
            </w:r>
          </w:p>
        </w:tc>
        <w:tc>
          <w:tcPr>
            <w:tcW w:type="dxa" w:w="459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50 ms</w:t>
            </w:r>
          </w:p>
        </w:tc>
      </w:tr>
      <w:tr>
        <w:tc>
          <w:tcPr>
            <w:tcW w:type="dxa" w:w="561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de synchronisation (100 enregistrements)</w:t>
            </w:r>
          </w:p>
        </w:tc>
        <w:tc>
          <w:tcPr>
            <w:tcW w:type="dxa" w:w="459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5 s en 4G ; &lt; 15 s en 3G/Edge</w:t>
            </w:r>
          </w:p>
        </w:tc>
      </w:tr>
      <w:tr>
        <w:tc>
          <w:tcPr>
            <w:tcW w:type="dxa" w:w="561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Taille maximale de la file d'attente</w:t>
            </w:r>
          </w:p>
        </w:tc>
        <w:tc>
          <w:tcPr>
            <w:tcW w:type="dxa" w:w="459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10 000 opérations</w:t>
            </w:r>
          </w:p>
        </w:tc>
      </w:tr>
      <w:tr>
        <w:tc>
          <w:tcPr>
            <w:tcW w:type="dxa" w:w="561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Tentatives maximales avant échec définitif</w:t>
            </w:r>
          </w:p>
        </w:tc>
        <w:tc>
          <w:tcPr>
            <w:tcW w:type="dxa" w:w="459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w:t>
            </w:r>
          </w:p>
        </w:tc>
      </w:tr>
      <w:tr>
        <w:tc>
          <w:tcPr>
            <w:tcW w:type="dxa" w:w="561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Période de synchronisation de fond</w:t>
            </w:r>
          </w:p>
        </w:tc>
        <w:tc>
          <w:tcPr>
            <w:tcW w:type="dxa" w:w="459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 minutes (Wi-Fi) / 30 minutes (données mobiles, configurable)</w:t>
            </w:r>
          </w:p>
        </w:tc>
      </w:tr>
    </w:tbl>
    <w:p>
      <w:pPr>
        <w:spacing w:after="220"/>
      </w:pPr>
      <w:r>
        <w:rPr>
          <w:rFonts w:ascii="Calibri" w:cs="Calibri" w:eastAsia="Calibri" w:hAnsi="Calibri"/>
          <w:i/>
          <w:iCs/>
          <w:color w:val="5B6472"/>
          <w:sz w:val="21"/>
          <w:szCs w:val="21"/>
        </w:rPr>
        <w:t xml:space="preserve">Les cibles 3G/Edge et la synchronisation différenciée Wi-Fi/données mobiles sont des ajustements de cette édition, alignés sur la réalité réseau hors des grands centres urbains.</w:t>
      </w:r>
    </w:p>
    <w:p>
      <w:pPr>
        <w:pStyle w:val="Heading2"/>
        <w:spacing w:after="160" w:before="360"/>
      </w:pPr>
      <w:r>
        <w:rPr>
          <w:rFonts w:ascii="Calibri" w:cs="Calibri" w:eastAsia="Calibri" w:hAnsi="Calibri"/>
          <w:b/>
          <w:bCs/>
          <w:color w:val="12406E"/>
          <w:sz w:val="25"/>
          <w:szCs w:val="25"/>
        </w:rPr>
        <w:t xml:space="preserve">6.4 Architecture de l'application Desktop</w:t>
      </w:r>
    </w:p>
    <w:p>
      <w:pPr>
        <w:spacing w:after="160" w:line="300"/>
        <w:jc w:val="both"/>
      </w:pPr>
      <w:r>
        <w:rPr>
          <w:rFonts w:ascii="Calibri" w:cs="Calibri" w:eastAsia="Calibri" w:hAnsi="Calibri"/>
          <w:color w:val="222831"/>
          <w:sz w:val="21"/>
          <w:szCs w:val="21"/>
        </w:rPr>
        <w:t xml:space="preserve">Décision retenue pour le MVP : les applications Desktop et Mobile consomment un backend NestJS distant (VPS/Cloud), plutôt que d'embarquer le backend localement. L'option d'un backend embarqué (via Tauri 2 ou un service léger écrit en Dart) reste une piste d'optimisation pour la V2.</w:t>
      </w:r>
    </w:p>
    <w:p>
      <w:pPr>
        <w:pStyle w:val="Heading2"/>
        <w:spacing w:after="160" w:before="360"/>
      </w:pPr>
      <w:r>
        <w:rPr>
          <w:rFonts w:ascii="Calibri" w:cs="Calibri" w:eastAsia="Calibri" w:hAnsi="Calibri"/>
          <w:b/>
          <w:bCs/>
          <w:color w:val="12406E"/>
          <w:sz w:val="25"/>
          <w:szCs w:val="25"/>
        </w:rPr>
        <w:t xml:space="preserve">6.5 Visioconférence — architecture WebRTC (LiveKit)</w:t>
      </w:r>
    </w:p>
    <w:p>
      <w:pPr>
        <w:spacing w:after="160" w:line="300"/>
        <w:jc w:val="both"/>
      </w:pPr>
      <w:r>
        <w:rPr>
          <w:rFonts w:ascii="Calibri" w:cs="Calibri" w:eastAsia="Calibri" w:hAnsi="Calibri"/>
          <w:color w:val="222831"/>
          <w:sz w:val="21"/>
          <w:szCs w:val="21"/>
        </w:rPr>
        <w:t xml:space="preserve">Mode local : LiveKit auto-hébergé sur le réseau universitaire, protocole WebRTC (P2P ou SFU local), découverte des pairs via mDNS/Bonjour, aucune connexion Internet requise.</w:t>
      </w:r>
    </w:p>
    <w:p>
      <w:pPr>
        <w:spacing w:after="160" w:line="300"/>
        <w:jc w:val="both"/>
      </w:pPr>
      <w:r>
        <w:rPr>
          <w:rFonts w:ascii="Calibri" w:cs="Calibri" w:eastAsia="Calibri" w:hAnsi="Calibri"/>
          <w:color w:val="222831"/>
          <w:sz w:val="21"/>
          <w:szCs w:val="21"/>
        </w:rPr>
        <w:t xml:space="preserve">Mode Internet : LiveKit auto-hébergé sur VPS (avec coturn pour STUN/TURN) ou service cloud LiveKit ; le backend NestJS génère les rooms et les tokens JWT signés ; chaque réunion dispose d'un lien de connexion unique.</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7. Exigences techniques et stack technologique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245"/>
        <w:gridCol w:w="3878"/>
        <w:gridCol w:w="4082"/>
      </w:tblGrid>
      <w:tr>
        <w:trPr>
          <w:tblHeader/>
        </w:trPr>
        <w:tc>
          <w:tcPr>
            <w:tcW w:type="dxa" w:w="224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Couche</w:t>
            </w:r>
          </w:p>
        </w:tc>
        <w:tc>
          <w:tcPr>
            <w:tcW w:type="dxa" w:w="3878"/>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Technologie retenue</w:t>
            </w:r>
          </w:p>
        </w:tc>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Justification</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Frontend Mobile</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Flutter 3.x + Material 3</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Code unique multi-plateforme (Android, iOS)</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Frontend Desktop</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Flutter Desktop</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Performance native, faible empreinte mémoire</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State management</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Riverpod 2.x</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Réactif, testable, scalable</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Routing</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GoRouter 14.x</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Navigation déclarative, deep linking</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Base locale</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Drift (SQLite) 2.x</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ORM type-safe, réactif, support offline natif</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Backend</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NestJS 10.x + TypeScript</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Architecture modulaire, performante, testable</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ORM Backend</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Prisma 6.x</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Type-safe, migrations automatiques</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Base de données</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PostgreSQL 16 (Supabase)</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Fiable, scalable, gratuit en développement</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réel</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WebSocket + Supabase Realtime</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Synchronisation bidirectionnelle et notifications live</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Stockage cloud</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Supabase Storage + Cloudinary</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Fichiers, documents et transformations d'images</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push</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Firebase Cloud Messaging</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Standard de l'industrie, multi-plateforme</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SMS</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Gateway SMS local (ex. agrégateur MTN/Orange ou Twilio Afrique)</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Repli critique sans data ni app installée</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Visioconférence</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LiveKit (WebRTC SFU) auto-hébergé</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Open source, performant, self-hosted</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DevOps</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Docker + Docker Compose + GitHub Actions</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CI/CD automatisé et reproductible</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Monitoring</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Sentry + Firebase Crashlytics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Suivi des erreurs et de la performance</w:t>
            </w:r>
          </w:p>
        </w:tc>
      </w:tr>
    </w:tbl>
    <w:p>
      <w:pPr>
        <w:pStyle w:val="Heading2"/>
        <w:spacing w:after="160" w:before="360"/>
      </w:pPr>
      <w:r>
        <w:rPr>
          <w:rFonts w:ascii="Calibri" w:cs="Calibri" w:eastAsia="Calibri" w:hAnsi="Calibri"/>
          <w:b/>
          <w:bCs/>
          <w:color w:val="12406E"/>
          <w:sz w:val="25"/>
          <w:szCs w:val="25"/>
        </w:rPr>
        <w:t xml:space="preserve">7.1 Principaux packages Flutter</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572"/>
        <w:gridCol w:w="6634"/>
      </w:tblGrid>
      <w:tr>
        <w:trPr>
          <w:tblHeader/>
        </w:trPr>
        <w:tc>
          <w:tcPr>
            <w:tcW w:type="dxa" w:w="357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Package</w:t>
            </w:r>
          </w:p>
        </w:tc>
        <w:tc>
          <w:tcPr>
            <w:tcW w:type="dxa" w:w="663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Usage</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flutter_riverpod</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d'état</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go_router</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Navigation</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drift</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ORM SQLite (base locale)</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connectivity_plus</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Détection de l'état réseau</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workmanager</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Synchronisation en tâche de fond</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firebase_messaging</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push</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livekit_client</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Client WebRTC (visioconférence)</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dio / web_socket_channel</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Client HTTP / WebSocket</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freezed / json_serializable</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Immutabilité et sérialisation</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flutter_secure_storage</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Stockage sécurisé des tokens</w:t>
            </w:r>
          </w:p>
        </w:tc>
      </w:tr>
    </w:tbl>
    <w:p>
      <w:pPr>
        <w:pStyle w:val="Heading2"/>
        <w:spacing w:after="160" w:before="360"/>
      </w:pPr>
      <w:r>
        <w:rPr>
          <w:rFonts w:ascii="Calibri" w:cs="Calibri" w:eastAsia="Calibri" w:hAnsi="Calibri"/>
          <w:b/>
          <w:bCs/>
          <w:color w:val="12406E"/>
          <w:sz w:val="25"/>
          <w:szCs w:val="25"/>
        </w:rPr>
        <w:t xml:space="preserve">7.2 Principaux packages Backend (NestJS)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572"/>
        <w:gridCol w:w="6634"/>
      </w:tblGrid>
      <w:tr>
        <w:trPr>
          <w:tblHeader/>
        </w:trPr>
        <w:tc>
          <w:tcPr>
            <w:tcW w:type="dxa" w:w="357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Package</w:t>
            </w:r>
          </w:p>
        </w:tc>
        <w:tc>
          <w:tcPr>
            <w:tcW w:type="dxa" w:w="663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Usage</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@nestjs/jwt, @nestjs/passport</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Authentification JWT</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@nestjs/websockets</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Canal temps réel</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@nestjs/swagger</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Documentation API (OpenAPI)</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@prisma/client</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ORM PostgreSQL</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class-validator / class-transformer</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Validation et transformation des DTO</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bcrypt</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Hachage des mots de passe</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helmet, @nestjs/throttler</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Sécurité HTTP et rate limiting</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@supabase/supabase-js</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Intégration Supabase (Auth, Storage, Realtime)</w:t>
            </w:r>
          </w:p>
        </w:tc>
      </w:tr>
    </w:tbl>
    <w:p>
      <w:pPr>
        <w:pStyle w:val="Heading2"/>
        <w:spacing w:after="160" w:before="360"/>
      </w:pPr>
      <w:r>
        <w:rPr>
          <w:rFonts w:ascii="Calibri" w:cs="Calibri" w:eastAsia="Calibri" w:hAnsi="Calibri"/>
          <w:b/>
          <w:bCs/>
          <w:color w:val="12406E"/>
          <w:sz w:val="25"/>
          <w:szCs w:val="25"/>
        </w:rPr>
        <w:t xml:space="preserve">7.3 Architecture logicielle du frontend (Clean Architecture)</w:t>
      </w:r>
    </w:p>
    <w:p>
      <w:pPr>
        <w:spacing w:after="160" w:line="300"/>
        <w:jc w:val="both"/>
      </w:pPr>
      <w:r>
        <w:rPr>
          <w:rFonts w:ascii="Calibri" w:cs="Calibri" w:eastAsia="Calibri" w:hAnsi="Calibri"/>
          <w:color w:val="222831"/>
          <w:sz w:val="21"/>
          <w:szCs w:val="21"/>
        </w:rPr>
        <w:t xml:space="preserve">Chaque fonctionnalité (feature) est structurée en trois couches : data (sources locales/distantes, modèles, repositories), domain (entités, contrats de repository, cas d'usage) et presentation (providers Riverpod, écrans, widgets). Un module transverse sync/ porte le moteur de synchronisation (sync_engine, sync_queue_manager, conflict_resolver, connectivity_service).</w:t>
      </w:r>
    </w:p>
    <w:p>
      <w:pPr>
        <w:pStyle w:val="Heading2"/>
        <w:spacing w:after="160" w:before="360"/>
      </w:pPr>
      <w:r>
        <w:rPr>
          <w:rFonts w:ascii="Calibri" w:cs="Calibri" w:eastAsia="Calibri" w:hAnsi="Calibri"/>
          <w:b/>
          <w:bCs/>
          <w:color w:val="12406E"/>
          <w:sz w:val="25"/>
          <w:szCs w:val="25"/>
        </w:rPr>
        <w:t xml:space="preserve">7.4 Architecture logicielle du backend (structure modulaire NestJS)</w:t>
      </w:r>
    </w:p>
    <w:p>
      <w:pPr>
        <w:spacing w:after="160" w:line="300"/>
        <w:jc w:val="both"/>
      </w:pPr>
      <w:r>
        <w:rPr>
          <w:rFonts w:ascii="Calibri" w:cs="Calibri" w:eastAsia="Calibri" w:hAnsi="Calibri"/>
          <w:color w:val="222831"/>
          <w:sz w:val="21"/>
          <w:szCs w:val="21"/>
        </w:rPr>
        <w:t xml:space="preserve">Le backend est organisé en modules indépendants par domaine métier : auth, users, students, teachers, faculties, departments, programs, levels, specialties, ue, enrollments, semesters, courses, schedules, classrooms, attendance, grades, notifications, videoconference, stats — chacun suivant le schéma controller / service / DTO, avec un dossier commun (guards, interceptors, filters, pipes, decorators) et une couche Prisma centralisée.</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8. Modèle de données</w:t>
      </w:r>
    </w:p>
    <w:p>
      <w:pPr>
        <w:spacing w:after="160" w:line="300"/>
        <w:jc w:val="both"/>
      </w:pPr>
      <w:r>
        <w:rPr>
          <w:rFonts w:ascii="Calibri" w:cs="Calibri" w:eastAsia="Calibri" w:hAnsi="Calibri"/>
          <w:color w:val="222831"/>
          <w:sz w:val="21"/>
          <w:szCs w:val="21"/>
        </w:rPr>
        <w:t xml:space="preserve">Le modèle relationnel (PostgreSQL) couvre onze grands domaines fonctionnels. Le détail exhaustif des tables SQL, contraintes et index figure dans les documents techniques annexes (04-Database.md, ERD.md, UML.md) ; la synthèse ci-dessous présente les entités et relations structurantes.</w:t>
      </w:r>
    </w:p>
    <w:p>
      <w:pPr>
        <w:pStyle w:val="Heading2"/>
        <w:spacing w:after="160" w:before="360"/>
      </w:pPr>
      <w:r>
        <w:rPr>
          <w:rFonts w:ascii="Calibri" w:cs="Calibri" w:eastAsia="Calibri" w:hAnsi="Calibri"/>
          <w:b/>
          <w:bCs/>
          <w:color w:val="12406E"/>
          <w:sz w:val="25"/>
          <w:szCs w:val="25"/>
        </w:rPr>
        <w:t xml:space="preserve">8.1 Domaines de données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572"/>
        <w:gridCol w:w="6634"/>
      </w:tblGrid>
      <w:tr>
        <w:trPr>
          <w:tblHeader/>
        </w:trPr>
        <w:tc>
          <w:tcPr>
            <w:tcW w:type="dxa" w:w="357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Domaine</w:t>
            </w:r>
          </w:p>
        </w:tc>
        <w:tc>
          <w:tcPr>
            <w:tcW w:type="dxa" w:w="663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Entités principales</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Authentification &amp; utilisateurs</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users, students, teachers</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Structure académique</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faculties, departments, programs, levels, specialties</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Unités d'enseignement</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semesters, teaching_units (UE), ue_specialties</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Inscriptions &amp; affectations</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enrollments, teacher_ue_assignments</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Salles &amp; planification</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classrooms, courses, schedules</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Présences</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attendance_sessions, attendance_records</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Notes (V2)</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grades</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Communication</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announcements</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Visioconférence</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video_conferences, conference_participants</w:t>
            </w:r>
          </w:p>
        </w:tc>
      </w:tr>
      <w:tr>
        <w:tc>
          <w:tcPr>
            <w:tcW w:type="dxa" w:w="35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Audit</w:t>
            </w:r>
          </w:p>
        </w:tc>
        <w:tc>
          <w:tcPr>
            <w:tcW w:type="dxa" w:w="663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audit_logs</w:t>
            </w:r>
          </w:p>
        </w:tc>
      </w:tr>
      <w:tr>
        <w:tc>
          <w:tcPr>
            <w:tcW w:type="dxa" w:w="357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Synchronisation (client SQLite)</w:t>
            </w:r>
          </w:p>
        </w:tc>
        <w:tc>
          <w:tcPr>
            <w:tcW w:type="dxa" w:w="663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sync_outbox, sync_cursors + colonnes de sync</w:t>
            </w:r>
          </w:p>
        </w:tc>
      </w:tr>
    </w:tbl>
    <w:p>
      <w:pPr>
        <w:pStyle w:val="Heading2"/>
        <w:spacing w:after="160" w:before="360"/>
      </w:pPr>
      <w:r>
        <w:rPr>
          <w:rFonts w:ascii="Calibri" w:cs="Calibri" w:eastAsia="Calibri" w:hAnsi="Calibri"/>
          <w:b/>
          <w:bCs/>
          <w:color w:val="12406E"/>
          <w:sz w:val="25"/>
          <w:szCs w:val="25"/>
        </w:rPr>
        <w:t xml:space="preserve">8.2 Relations structurantes</w:t>
      </w:r>
    </w:p>
    <w:p>
      <w:pPr>
        <w:pStyle w:val="ListParagraph"/>
        <w:numPr>
          <w:ilvl w:val="0"/>
          <w:numId w:val="1"/>
        </w:numPr>
        <w:spacing w:after="90" w:line="290"/>
        <w:jc w:val="both"/>
      </w:pPr>
      <w:r>
        <w:rPr>
          <w:rFonts w:ascii="Calibri" w:cs="Calibri" w:eastAsia="Calibri" w:hAnsi="Calibri"/>
          <w:color w:val="222831"/>
          <w:sz w:val="21"/>
          <w:szCs w:val="21"/>
        </w:rPr>
        <w:t xml:space="preserve">faculties 1—N departments 1—N programs 1—N levels 1—N specialties</w:t>
      </w:r>
    </w:p>
    <w:p>
      <w:pPr>
        <w:pStyle w:val="ListParagraph"/>
        <w:numPr>
          <w:ilvl w:val="0"/>
          <w:numId w:val="1"/>
        </w:numPr>
        <w:spacing w:after="90" w:line="290"/>
        <w:jc w:val="both"/>
      </w:pPr>
      <w:r>
        <w:rPr>
          <w:rFonts w:ascii="Calibri" w:cs="Calibri" w:eastAsia="Calibri" w:hAnsi="Calibri"/>
          <w:color w:val="222831"/>
          <w:sz w:val="21"/>
          <w:szCs w:val="21"/>
        </w:rPr>
        <w:t xml:space="preserve">levels 1—N teaching_units ; semesters 1—N teaching_units ; teaching_units N—N specialties (via ue_specialties)</w:t>
      </w:r>
    </w:p>
    <w:p>
      <w:pPr>
        <w:pStyle w:val="ListParagraph"/>
        <w:numPr>
          <w:ilvl w:val="0"/>
          <w:numId w:val="1"/>
        </w:numPr>
        <w:spacing w:after="90" w:line="290"/>
        <w:jc w:val="both"/>
      </w:pPr>
      <w:r>
        <w:rPr>
          <w:rFonts w:ascii="Calibri" w:cs="Calibri" w:eastAsia="Calibri" w:hAnsi="Calibri"/>
          <w:color w:val="222831"/>
          <w:sz w:val="21"/>
          <w:szCs w:val="21"/>
        </w:rPr>
        <w:t xml:space="preserve">users 1—1 students ; users 1—1 teachers</w:t>
      </w:r>
    </w:p>
    <w:p>
      <w:pPr>
        <w:pStyle w:val="ListParagraph"/>
        <w:numPr>
          <w:ilvl w:val="0"/>
          <w:numId w:val="1"/>
        </w:numPr>
        <w:spacing w:after="90" w:line="290"/>
        <w:jc w:val="both"/>
      </w:pPr>
      <w:r>
        <w:rPr>
          <w:rFonts w:ascii="Calibri" w:cs="Calibri" w:eastAsia="Calibri" w:hAnsi="Calibri"/>
          <w:color w:val="222831"/>
          <w:sz w:val="21"/>
          <w:szCs w:val="21"/>
        </w:rPr>
        <w:t xml:space="preserve">students N—N teaching_units (via enrollments) ; teachers N—N teaching_units (via teacher_ue_assignments)</w:t>
      </w:r>
    </w:p>
    <w:p>
      <w:pPr>
        <w:pStyle w:val="ListParagraph"/>
        <w:numPr>
          <w:ilvl w:val="0"/>
          <w:numId w:val="1"/>
        </w:numPr>
        <w:spacing w:after="90" w:line="290"/>
        <w:jc w:val="both"/>
      </w:pPr>
      <w:r>
        <w:rPr>
          <w:rFonts w:ascii="Calibri" w:cs="Calibri" w:eastAsia="Calibri" w:hAnsi="Calibri"/>
          <w:color w:val="222831"/>
          <w:sz w:val="21"/>
          <w:szCs w:val="21"/>
        </w:rPr>
        <w:t xml:space="preserve">courses N—1 teaching_units, N—1 teachers, N—1 classrooms ; schedules N—1 courses</w:t>
      </w:r>
    </w:p>
    <w:p>
      <w:pPr>
        <w:pStyle w:val="ListParagraph"/>
        <w:numPr>
          <w:ilvl w:val="0"/>
          <w:numId w:val="1"/>
        </w:numPr>
        <w:spacing w:after="90" w:line="290"/>
        <w:jc w:val="both"/>
      </w:pPr>
      <w:r>
        <w:rPr>
          <w:rFonts w:ascii="Calibri" w:cs="Calibri" w:eastAsia="Calibri" w:hAnsi="Calibri"/>
          <w:color w:val="222831"/>
          <w:sz w:val="21"/>
          <w:szCs w:val="21"/>
        </w:rPr>
        <w:t xml:space="preserve">attendance_sessions N—1 courses, 1—N attendance_records ; attendance_records N—1 students</w:t>
      </w:r>
    </w:p>
    <w:p>
      <w:pPr>
        <w:pStyle w:val="ListParagraph"/>
        <w:numPr>
          <w:ilvl w:val="0"/>
          <w:numId w:val="1"/>
        </w:numPr>
        <w:spacing w:after="90" w:line="290"/>
        <w:jc w:val="both"/>
      </w:pPr>
      <w:r>
        <w:rPr>
          <w:rFonts w:ascii="Calibri" w:cs="Calibri" w:eastAsia="Calibri" w:hAnsi="Calibri"/>
          <w:color w:val="222831"/>
          <w:sz w:val="21"/>
          <w:szCs w:val="21"/>
        </w:rPr>
        <w:t xml:space="preserve">video_conferences N—1 users (hôte), N—N users (via conference_participants)</w:t>
      </w:r>
    </w:p>
    <w:p>
      <w:pPr>
        <w:pStyle w:val="Heading2"/>
        <w:spacing w:after="160" w:before="360"/>
      </w:pPr>
      <w:r>
        <w:rPr>
          <w:rFonts w:ascii="Calibri" w:cs="Calibri" w:eastAsia="Calibri" w:hAnsi="Calibri"/>
          <w:b/>
          <w:bCs/>
          <w:color w:val="12406E"/>
          <w:sz w:val="25"/>
          <w:szCs w:val="25"/>
        </w:rPr>
        <w:t xml:space="preserve">8.3 Champs et conventions communes</w:t>
      </w:r>
    </w:p>
    <w:p>
      <w:pPr>
        <w:pStyle w:val="ListParagraph"/>
        <w:numPr>
          <w:ilvl w:val="0"/>
          <w:numId w:val="1"/>
        </w:numPr>
        <w:spacing w:after="90" w:line="290"/>
        <w:jc w:val="both"/>
      </w:pPr>
      <w:r>
        <w:rPr>
          <w:rFonts w:ascii="Calibri" w:cs="Calibri" w:eastAsia="Calibri" w:hAnsi="Calibri"/>
          <w:color w:val="222831"/>
          <w:sz w:val="21"/>
          <w:szCs w:val="21"/>
        </w:rPr>
        <w:t xml:space="preserve">Identifiants : UUID (uuid_generate_v4) pour toutes les tables métier.</w:t>
      </w:r>
    </w:p>
    <w:p>
      <w:pPr>
        <w:pStyle w:val="ListParagraph"/>
        <w:numPr>
          <w:ilvl w:val="0"/>
          <w:numId w:val="1"/>
        </w:numPr>
        <w:spacing w:after="90" w:line="290"/>
        <w:jc w:val="both"/>
      </w:pPr>
      <w:r>
        <w:rPr>
          <w:rFonts w:ascii="Calibri" w:cs="Calibri" w:eastAsia="Calibri" w:hAnsi="Calibri"/>
          <w:color w:val="222831"/>
          <w:sz w:val="21"/>
          <w:szCs w:val="21"/>
        </w:rPr>
        <w:t xml:space="preserve">Horodatage : created_at, updated_at systématiques ; deleted_at pour la suppression logique (soft delete) sur les entités de référence.</w:t>
      </w:r>
    </w:p>
    <w:p>
      <w:pPr>
        <w:pStyle w:val="ListParagraph"/>
        <w:numPr>
          <w:ilvl w:val="0"/>
          <w:numId w:val="1"/>
        </w:numPr>
        <w:spacing w:after="90" w:line="290"/>
        <w:jc w:val="both"/>
      </w:pPr>
      <w:r>
        <w:rPr>
          <w:rFonts w:ascii="Calibri" w:cs="Calibri" w:eastAsia="Calibri" w:hAnsi="Calibri"/>
          <w:color w:val="222831"/>
          <w:sz w:val="21"/>
          <w:szCs w:val="21"/>
        </w:rPr>
        <w:t xml:space="preserve">Statuts : gérés par des contraintes CHECK (ex. student.status ∈ {active, suspended, graduated, withdrawn, deferred}).</w:t>
      </w:r>
    </w:p>
    <w:p>
      <w:pPr>
        <w:pStyle w:val="ListParagraph"/>
        <w:numPr>
          <w:ilvl w:val="0"/>
          <w:numId w:val="1"/>
        </w:numPr>
        <w:spacing w:after="90" w:line="290"/>
        <w:jc w:val="both"/>
      </w:pPr>
      <w:r>
        <w:rPr>
          <w:rFonts w:ascii="Calibri" w:cs="Calibri" w:eastAsia="Calibri" w:hAnsi="Calibri"/>
          <w:color w:val="222831"/>
          <w:sz w:val="21"/>
          <w:szCs w:val="21"/>
        </w:rPr>
        <w:t xml:space="preserve">Extensions PostgreSQL utilisées : uuid-ossp, pgcrypto, pg_trgm.</w:t>
      </w:r>
    </w:p>
    <w:p>
      <w:pPr>
        <w:pStyle w:val="Heading2"/>
        <w:spacing w:after="160" w:before="360"/>
      </w:pPr>
      <w:r>
        <w:rPr>
          <w:rFonts w:ascii="Calibri" w:cs="Calibri" w:eastAsia="Calibri" w:hAnsi="Calibri"/>
          <w:b/>
          <w:bCs/>
          <w:color w:val="12406E"/>
          <w:sz w:val="25"/>
          <w:szCs w:val="25"/>
        </w:rPr>
        <w:t xml:space="preserve">8.4 Base locale (offline) — Drift/SQLite</w:t>
      </w:r>
    </w:p>
    <w:p>
      <w:pPr>
        <w:spacing w:after="160" w:line="300"/>
        <w:jc w:val="both"/>
      </w:pPr>
      <w:r>
        <w:rPr>
          <w:rFonts w:ascii="Calibri" w:cs="Calibri" w:eastAsia="Calibri" w:hAnsi="Calibri"/>
          <w:color w:val="222831"/>
          <w:sz w:val="21"/>
          <w:szCs w:val="21"/>
        </w:rPr>
        <w:t xml:space="preserve">Chaque table métier répliquée côté client embarque des colonnes de synchronisation (updated_at, deleted_at, is_synced, sync_version). Deux tables techniques supplémentaires pilotent la synchronisation : sync_outbox (file d'attente des opérations en attente d'envoi) et sync_cursors (dernier point de synchronisation connu par table).</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9. Exigences de sécurité</w:t>
      </w:r>
    </w:p>
    <w:p>
      <w:pPr>
        <w:pStyle w:val="Heading2"/>
        <w:spacing w:after="160" w:before="360"/>
      </w:pPr>
      <w:r>
        <w:rPr>
          <w:rFonts w:ascii="Calibri" w:cs="Calibri" w:eastAsia="Calibri" w:hAnsi="Calibri"/>
          <w:b/>
          <w:bCs/>
          <w:color w:val="12406E"/>
          <w:sz w:val="25"/>
          <w:szCs w:val="25"/>
        </w:rPr>
        <w:t xml:space="preserve">9.1 Approche</w:t>
      </w:r>
    </w:p>
    <w:p>
      <w:pPr>
        <w:spacing w:after="160" w:line="300"/>
        <w:jc w:val="both"/>
      </w:pPr>
      <w:r>
        <w:rPr>
          <w:rFonts w:ascii="Calibri" w:cs="Calibri" w:eastAsia="Calibri" w:hAnsi="Calibri"/>
          <w:color w:val="222831"/>
          <w:sz w:val="21"/>
          <w:szCs w:val="21"/>
        </w:rPr>
        <w:t xml:space="preserve">UniFlow adopte une approche security by design, avec une défense en profondeur organisée en sept couches : infrastructure, réseau, transport, API, application, données, audit &amp; monitoring.</w:t>
      </w:r>
    </w:p>
    <w:p>
      <w:pPr>
        <w:pStyle w:val="Heading2"/>
        <w:spacing w:after="160" w:before="360"/>
      </w:pPr>
      <w:r>
        <w:rPr>
          <w:rFonts w:ascii="Calibri" w:cs="Calibri" w:eastAsia="Calibri" w:hAnsi="Calibri"/>
          <w:b/>
          <w:bCs/>
          <w:color w:val="12406E"/>
          <w:sz w:val="25"/>
          <w:szCs w:val="25"/>
        </w:rPr>
        <w:t xml:space="preserve">9.2 Authentification et autorisation</w:t>
      </w:r>
    </w:p>
    <w:p>
      <w:pPr>
        <w:pStyle w:val="ListParagraph"/>
        <w:numPr>
          <w:ilvl w:val="0"/>
          <w:numId w:val="1"/>
        </w:numPr>
        <w:spacing w:after="90" w:line="290"/>
        <w:jc w:val="both"/>
      </w:pPr>
      <w:r>
        <w:rPr>
          <w:rFonts w:ascii="Calibri" w:cs="Calibri" w:eastAsia="Calibri" w:hAnsi="Calibri"/>
          <w:color w:val="222831"/>
          <w:sz w:val="21"/>
          <w:szCs w:val="21"/>
        </w:rPr>
        <w:t xml:space="preserve">Authentification par JWT (access token, durée de vie 1h) et refresh token (durée de vie 7 jours, haché en base, rotation à chaque utilisation).</w:t>
      </w:r>
    </w:p>
    <w:p>
      <w:pPr>
        <w:pStyle w:val="ListParagraph"/>
        <w:numPr>
          <w:ilvl w:val="0"/>
          <w:numId w:val="1"/>
        </w:numPr>
        <w:spacing w:after="90" w:line="290"/>
        <w:jc w:val="both"/>
      </w:pPr>
      <w:r>
        <w:rPr>
          <w:rFonts w:ascii="Calibri" w:cs="Calibri" w:eastAsia="Calibri" w:hAnsi="Calibri"/>
          <w:color w:val="222831"/>
          <w:sz w:val="21"/>
          <w:szCs w:val="21"/>
        </w:rPr>
        <w:t xml:space="preserve">Stockage sécurisé des tokens côté client (Keychain iOS / KeyStore Android via flutter_secure_storage).</w:t>
      </w:r>
    </w:p>
    <w:p>
      <w:pPr>
        <w:pStyle w:val="ListParagraph"/>
        <w:numPr>
          <w:ilvl w:val="0"/>
          <w:numId w:val="1"/>
        </w:numPr>
        <w:spacing w:after="90" w:line="290"/>
        <w:jc w:val="both"/>
      </w:pPr>
      <w:r>
        <w:rPr>
          <w:rFonts w:ascii="Calibri" w:cs="Calibri" w:eastAsia="Calibri" w:hAnsi="Calibri"/>
          <w:color w:val="222831"/>
          <w:sz w:val="21"/>
          <w:szCs w:val="21"/>
        </w:rPr>
        <w:t xml:space="preserve">Autorisation par RBAC implémentée via des Guards NestJS, avec une matrice de permissions par rôle (voir §5.1).</w:t>
      </w:r>
    </w:p>
    <w:p>
      <w:pPr>
        <w:pStyle w:val="ListParagraph"/>
        <w:numPr>
          <w:ilvl w:val="0"/>
          <w:numId w:val="1"/>
        </w:numPr>
        <w:spacing w:after="90" w:line="290"/>
        <w:jc w:val="both"/>
      </w:pPr>
      <w:r>
        <w:rPr>
          <w:rFonts w:ascii="Calibri" w:cs="Calibri" w:eastAsia="Calibri" w:hAnsi="Calibri"/>
          <w:color w:val="222831"/>
          <w:sz w:val="21"/>
          <w:szCs w:val="21"/>
        </w:rPr>
        <w:t xml:space="preserve">Session avec expiration après 30 minutes d'inactivité.</w:t>
      </w:r>
    </w:p>
    <w:p>
      <w:pPr>
        <w:pStyle w:val="Heading2"/>
        <w:spacing w:after="160" w:before="360"/>
      </w:pPr>
      <w:r>
        <w:rPr>
          <w:rFonts w:ascii="Calibri" w:cs="Calibri" w:eastAsia="Calibri" w:hAnsi="Calibri"/>
          <w:b/>
          <w:bCs/>
          <w:color w:val="12406E"/>
          <w:sz w:val="25"/>
          <w:szCs w:val="25"/>
        </w:rPr>
        <w:t xml:space="preserve">9.3 Mesures de sécurité par couche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449"/>
        <w:gridCol w:w="7757"/>
      </w:tblGrid>
      <w:tr>
        <w:trPr>
          <w:tblHeader/>
        </w:trPr>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Couche</w:t>
            </w:r>
          </w:p>
        </w:tc>
        <w:tc>
          <w:tcPr>
            <w:tcW w:type="dxa" w:w="775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Mesures</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Infrastructure</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Mises à jour automatiques, pare-feu (UFW/iptables), SSH par clés uniquement, images Docker minimales (Alpine), secrets en variables d'environnement, sauvegarde quotidienne</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Réseau</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HTTPS (Let's Encrypt), HSTS, protection DDoS (Cloudflare), rate limiting</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Transport</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TLS 1.3 obligatoire en production</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API</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JWT + RBAC, validation des DTO, rate limiting, CORS en liste blanche, Helmet, limite de taille de requête (10 Mo)</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Application</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Double validation (formulaire + DTO), sanitization, biométrie optionnelle, vérification d'intégrité côté client</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Données</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bcrypt (12 rounds), HMAC-SHA256 pour les tokens, AES-256 (pgcrypto) pour les champs sensibles, SQLCipher pour la base locale</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Audit &amp; monitoring</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Journal d'audit complet (audit_logs), Sentry pour les erreurs et la performance</w:t>
            </w:r>
          </w:p>
        </w:tc>
      </w:tr>
    </w:tbl>
    <w:p>
      <w:pPr>
        <w:pStyle w:val="Heading2"/>
        <w:spacing w:after="160" w:before="360"/>
      </w:pPr>
      <w:r>
        <w:rPr>
          <w:rFonts w:ascii="Calibri" w:cs="Calibri" w:eastAsia="Calibri" w:hAnsi="Calibri"/>
          <w:b/>
          <w:bCs/>
          <w:color w:val="12406E"/>
          <w:sz w:val="25"/>
          <w:szCs w:val="25"/>
        </w:rPr>
        <w:t xml:space="preserve">9.4 Couverture OWASP Top 10</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082"/>
        <w:gridCol w:w="6124"/>
      </w:tblGrid>
      <w:tr>
        <w:trPr>
          <w:tblHeader/>
        </w:trPr>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Vulnérabilité</w:t>
            </w:r>
          </w:p>
        </w:tc>
        <w:tc>
          <w:tcPr>
            <w:tcW w:type="dxa" w:w="612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Protection UniFlow</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A01 — Contrôle d'accès défaillant</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RBAC + Guards NestJS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A02 — Défaillances cryptographiques</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bcrypt, AES-256, TLS 1.3</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A03 — Injection</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Prisma ORM (requêtes paramétrées)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A04 — Conception non sécurisée</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Security by design, modélisation des menaces</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A05 — Mauvaise configuration de sécurité</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Helmet, CORS strict, images Docker minimales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A06 — Composants vulnérables</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Dependabot, npm audit</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A07 — Défaillances d'authentification</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Rate limiting, rotation JWT, verrouillage de compte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A08 — Intégrité des données/logiciels</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Tokens signés, journal d'audit</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A09 — Défaillances de journalisation</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Audit logs, Sentry</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A10 — SSRF</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Liste blanche d'URLs autorisées</w:t>
            </w:r>
          </w:p>
        </w:tc>
      </w:tr>
    </w:tbl>
    <w:p>
      <w:pPr>
        <w:pStyle w:val="Heading2"/>
        <w:spacing w:after="160" w:before="360"/>
      </w:pPr>
      <w:r>
        <w:rPr>
          <w:rFonts w:ascii="Calibri" w:cs="Calibri" w:eastAsia="Calibri" w:hAnsi="Calibri"/>
          <w:b/>
          <w:bCs/>
          <w:color w:val="12406E"/>
          <w:sz w:val="25"/>
          <w:szCs w:val="25"/>
        </w:rPr>
        <w:t xml:space="preserve">9.5 Politique de mots de passe</w:t>
      </w:r>
    </w:p>
    <w:p>
      <w:pPr>
        <w:pStyle w:val="ListParagraph"/>
        <w:numPr>
          <w:ilvl w:val="0"/>
          <w:numId w:val="1"/>
        </w:numPr>
        <w:spacing w:after="90" w:line="290"/>
        <w:jc w:val="both"/>
      </w:pPr>
      <w:r>
        <w:rPr>
          <w:rFonts w:ascii="Calibri" w:cs="Calibri" w:eastAsia="Calibri" w:hAnsi="Calibri"/>
          <w:color w:val="222831"/>
          <w:sz w:val="21"/>
          <w:szCs w:val="21"/>
        </w:rPr>
        <w:t xml:space="preserve">8 caractères minimum, avec au moins une majuscule, une minuscule, un chiffre et un caractère spécial.</w:t>
      </w:r>
    </w:p>
    <w:p>
      <w:pPr>
        <w:pStyle w:val="ListParagraph"/>
        <w:numPr>
          <w:ilvl w:val="0"/>
          <w:numId w:val="1"/>
        </w:numPr>
        <w:spacing w:after="90" w:line="290"/>
        <w:jc w:val="both"/>
      </w:pPr>
      <w:r>
        <w:rPr>
          <w:rFonts w:ascii="Calibri" w:cs="Calibri" w:eastAsia="Calibri" w:hAnsi="Calibri"/>
          <w:color w:val="222831"/>
          <w:sz w:val="21"/>
          <w:szCs w:val="21"/>
        </w:rPr>
        <w:t xml:space="preserve">Exclusion des 1000 mots de passe les plus communs.</w:t>
      </w:r>
    </w:p>
    <w:p>
      <w:pPr>
        <w:pStyle w:val="ListParagraph"/>
        <w:numPr>
          <w:ilvl w:val="0"/>
          <w:numId w:val="1"/>
        </w:numPr>
        <w:spacing w:after="90" w:line="290"/>
        <w:jc w:val="both"/>
      </w:pPr>
      <w:r>
        <w:rPr>
          <w:rFonts w:ascii="Calibri" w:cs="Calibri" w:eastAsia="Calibri" w:hAnsi="Calibri"/>
          <w:color w:val="222831"/>
          <w:sz w:val="21"/>
          <w:szCs w:val="21"/>
        </w:rPr>
        <w:t xml:space="preserve">Hachage bcrypt à 12 rounds ; pas d'expiration forcée mais rotation encouragée.</w:t>
      </w:r>
    </w:p>
    <w:p>
      <w:pPr>
        <w:pStyle w:val="Heading2"/>
        <w:spacing w:after="160" w:before="360"/>
      </w:pPr>
      <w:r>
        <w:rPr>
          <w:rFonts w:ascii="Calibri" w:cs="Calibri" w:eastAsia="Calibri" w:hAnsi="Calibri"/>
          <w:b/>
          <w:bCs/>
          <w:color w:val="12406E"/>
          <w:sz w:val="25"/>
          <w:szCs w:val="25"/>
        </w:rPr>
        <w:t xml:space="preserve">9.6 Conformité</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082"/>
        <w:gridCol w:w="6124"/>
      </w:tblGrid>
      <w:tr>
        <w:trPr>
          <w:tblHeader/>
        </w:trPr>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Référentiel</w:t>
            </w:r>
          </w:p>
        </w:tc>
        <w:tc>
          <w:tcPr>
            <w:tcW w:type="dxa" w:w="612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Statut</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RGPD (référence internationale)</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 cours d'intégration (consentement, droit à l'oubli, portabilité des données)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OWASP ASVS</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Partiellement couvert, sécurité API documentée</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SOC 2</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Envisagé pour une phase V3</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Loi camerounaise n°2010/012 relative à la cybersécurité et à la cybercriminalité</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À intégrer dès le MVP : obligations de sécurisation des données personnelles, notification d'incident</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Réglementation ANTIC (Agence Nationale des TIC)</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Vérifier l'hébergement de données sensibles et les obligations de certification applicables aux plateformes publiques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Loi n°2024 sur la protection des données à caractère personnel (Cameroun)</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Encadre la collecte, le traitement et la conservation des données des étudiants et enseignants ; à croiser avec le RGPD pour une conformité double</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0E7A80"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0E7A80"/>
                <w:sz w:val="20"/>
                <w:szCs w:val="20"/>
              </w:rPr>
              <w:t xml:space="preserve">Point négligé corrigé</w:t>
            </w:r>
          </w:p>
          <w:p>
            <w:pPr>
              <w:spacing w:after="0"/>
              <w:jc w:val="both"/>
            </w:pPr>
            <w:r>
              <w:rPr>
                <w:rFonts w:ascii="Calibri" w:cs="Calibri" w:eastAsia="Calibri" w:hAnsi="Calibri"/>
                <w:color w:val="222831"/>
                <w:sz w:val="20"/>
                <w:szCs w:val="20"/>
              </w:rPr>
              <w:t xml:space="preserve">La version initiale ne référençait que le RGPD, cadre européen non contraignant pour une plateforme opérée au Cameroun. Un établissement public camerounais est en priorité soumis au droit national. Cette édition ajoute les textes camerounais applicables et recommande une revue juridique locale avant tout déploiement traitant des données personnelles d'étudiants mineurs.</w:t>
            </w:r>
          </w:p>
        </w:tc>
      </w:tr>
    </w:tbl>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10. Exigences relatives à l'API</w:t>
      </w:r>
    </w:p>
    <w:p>
      <w:pPr>
        <w:pStyle w:val="Heading2"/>
        <w:spacing w:after="160" w:before="360"/>
      </w:pPr>
      <w:r>
        <w:rPr>
          <w:rFonts w:ascii="Calibri" w:cs="Calibri" w:eastAsia="Calibri" w:hAnsi="Calibri"/>
          <w:b/>
          <w:bCs/>
          <w:color w:val="12406E"/>
          <w:sz w:val="25"/>
          <w:szCs w:val="25"/>
        </w:rPr>
        <w:t xml:space="preserve">10.1 Conventions générales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062"/>
        <w:gridCol w:w="7144"/>
      </w:tblGrid>
      <w:tr>
        <w:trPr>
          <w:tblHeader/>
        </w:trPr>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Champ</w:t>
            </w:r>
          </w:p>
        </w:tc>
        <w:tc>
          <w:tcPr>
            <w:tcW w:type="dxa" w:w="714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URL de base (Dev)</w:t>
            </w:r>
          </w:p>
        </w:tc>
        <w:tc>
          <w:tcPr>
            <w:tcW w:type="dxa" w:w="714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http://localhost:3000/api/v1</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URL de base (Prod)</w:t>
            </w:r>
          </w:p>
        </w:tc>
        <w:tc>
          <w:tcPr>
            <w:tcW w:type="dxa" w:w="714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https://api.uniflow.edu/api/v1</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Format</w:t>
            </w:r>
          </w:p>
        </w:tc>
        <w:tc>
          <w:tcPr>
            <w:tcW w:type="dxa" w:w="714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JSON</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Authentification</w:t>
            </w:r>
          </w:p>
        </w:tc>
        <w:tc>
          <w:tcPr>
            <w:tcW w:type="dxa" w:w="714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Bearer JWT (en-tête Authorization)</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Documentation interactive</w:t>
            </w:r>
          </w:p>
        </w:tc>
        <w:tc>
          <w:tcPr>
            <w:tcW w:type="dxa" w:w="714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Swagger UI sur /api/docs</w:t>
            </w:r>
          </w:p>
        </w:tc>
      </w:tr>
    </w:tbl>
    <w:p>
      <w:pPr>
        <w:spacing w:after="160" w:line="300"/>
        <w:jc w:val="both"/>
      </w:pPr>
      <w:r>
        <w:rPr>
          <w:rFonts w:ascii="Calibri" w:cs="Calibri" w:eastAsia="Calibri" w:hAnsi="Calibri"/>
          <w:color w:val="222831"/>
          <w:sz w:val="21"/>
          <w:szCs w:val="21"/>
        </w:rPr>
        <w:t xml:space="preserve">Les réponses suivent un format enveloppe standardisé ({ success, data, meta } pour un succès, { success, error } pour une erreur), avec pagination systématique sur les listes (page, pageSize, total, totalPages) et un jeu de filtres communs (search, status, programId, levelId, semesterId, dateFrom/dateTo). Les réponses sont compressées (gzip/br) par défaut afin de limiter la consommation de données mobiles.</w:t>
      </w:r>
    </w:p>
    <w:p>
      <w:pPr>
        <w:pStyle w:val="Heading2"/>
        <w:spacing w:after="160" w:before="360"/>
      </w:pPr>
      <w:r>
        <w:rPr>
          <w:rFonts w:ascii="Calibri" w:cs="Calibri" w:eastAsia="Calibri" w:hAnsi="Calibri"/>
          <w:b/>
          <w:bCs/>
          <w:color w:val="12406E"/>
          <w:sz w:val="25"/>
          <w:szCs w:val="25"/>
        </w:rPr>
        <w:t xml:space="preserve">10.2 Groupes de endpoints prévus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245"/>
        <w:gridCol w:w="4082"/>
        <w:gridCol w:w="3878"/>
      </w:tblGrid>
      <w:tr>
        <w:trPr>
          <w:tblHeader/>
        </w:trPr>
        <w:tc>
          <w:tcPr>
            <w:tcW w:type="dxa" w:w="224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Domaine</w:t>
            </w:r>
          </w:p>
        </w:tc>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Exemples de routes</w:t>
            </w:r>
          </w:p>
        </w:tc>
        <w:tc>
          <w:tcPr>
            <w:tcW w:type="dxa" w:w="3878"/>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/auth/register, /auth/login, /auth/refresh, /auth/me</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Cycle de vie de l'authentification</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Users</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/users, /users/:id, /users/import, /users/export</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Administration des comptes</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Students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/students, /students/:id/enrollments, /students/stats</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Cycle de vie étudiant et inscriptions</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Teachers</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/teachers, /teachers/:id/assignments, /teachers/:id/schedule</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Gestion des enseignants</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Teaching Units (UE)</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/ue, /ue/by-level/:id, /ue/by-semester/:id</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Unités d'enseignement</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Schedules</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/schedules, /schedules/generate, /schedules/room-availability/:id</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Emplois du temps et génération automatique</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Classrooms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/classrooms, /classrooms/available, /classrooms/stats</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Salles et disponibilité</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Attendance</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/attendance/sessions, /attendance/sessions/:id/records</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Sessions et enregistrements de présence</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Video Conferences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/conferences, /conferences/:id/join, /conferences/:id/token</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Visioconférence</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/notifications/unread-count, /notifications/preferences</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utilisateur</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Announcements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/announcements, /announcements/:id/publish</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Annonces</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Stats/Dashboard</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/stats/dashboard, /stats/attendance, /stats/classrooms</w:t>
            </w:r>
          </w:p>
        </w:tc>
        <w:tc>
          <w:tcPr>
            <w:tcW w:type="dxa" w:w="387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Tableaux de bord et indicateurs</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 (Offline)</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/sync/push, /sync/pull, /sync/batch, /sync/status</w:t>
            </w:r>
          </w:p>
        </w:tc>
        <w:tc>
          <w:tcPr>
            <w:tcW w:type="dxa" w:w="387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Synchronisation client/serveur</w:t>
            </w:r>
          </w:p>
        </w:tc>
      </w:tr>
    </w:tbl>
    <w:p>
      <w:pPr>
        <w:pStyle w:val="Heading2"/>
        <w:spacing w:after="160" w:before="360"/>
      </w:pPr>
      <w:r>
        <w:rPr>
          <w:rFonts w:ascii="Calibri" w:cs="Calibri" w:eastAsia="Calibri" w:hAnsi="Calibri"/>
          <w:b/>
          <w:bCs/>
          <w:color w:val="12406E"/>
          <w:sz w:val="25"/>
          <w:szCs w:val="25"/>
        </w:rPr>
        <w:t xml:space="preserve">10.3 Limitation de débit (rate limiting)</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082"/>
        <w:gridCol w:w="3062"/>
        <w:gridCol w:w="3062"/>
      </w:tblGrid>
      <w:tr>
        <w:trPr>
          <w:tblHeader/>
        </w:trPr>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Endpoint</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Limite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Fenêtre</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/auth/login</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 requêtes</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minute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/auth/register</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 requêtes</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 minutes</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API générale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100 requêtes</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minute</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Upload de fichier</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 requêtes</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minute</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Export</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 requêtes</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 minutes</w:t>
            </w:r>
          </w:p>
        </w:tc>
      </w:tr>
    </w:tbl>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11. Plan de déploiement et DevOps</w:t>
      </w:r>
    </w:p>
    <w:p>
      <w:pPr>
        <w:pStyle w:val="Heading2"/>
        <w:spacing w:after="160" w:before="360"/>
      </w:pPr>
      <w:r>
        <w:rPr>
          <w:rFonts w:ascii="Calibri" w:cs="Calibri" w:eastAsia="Calibri" w:hAnsi="Calibri"/>
          <w:b/>
          <w:bCs/>
          <w:color w:val="12406E"/>
          <w:sz w:val="25"/>
          <w:szCs w:val="25"/>
        </w:rPr>
        <w:t xml:space="preserve">11.1 Environnements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3470"/>
        <w:gridCol w:w="4082"/>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Environnement</w:t>
            </w:r>
          </w:p>
        </w:tc>
        <w:tc>
          <w:tcPr>
            <w:tcW w:type="dxa" w:w="347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Usage</w:t>
            </w:r>
          </w:p>
        </w:tc>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Infrastructure</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Développement</w:t>
            </w:r>
          </w:p>
        </w:tc>
        <w:tc>
          <w:tcPr>
            <w:tcW w:type="dxa" w:w="3470"/>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Développement local</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Docker Compose</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Staging</w:t>
            </w:r>
          </w:p>
        </w:tc>
        <w:tc>
          <w:tcPr>
            <w:tcW w:type="dxa" w:w="347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Tests d'intégration</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VPS (Hetzner/DigitalOcean)</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Production</w:t>
            </w:r>
          </w:p>
        </w:tc>
        <w:tc>
          <w:tcPr>
            <w:tcW w:type="dxa" w:w="3470"/>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Mise en service</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VPS + Supabase Cloud, avec option d'hébergement local (§15.5)</w:t>
            </w:r>
          </w:p>
        </w:tc>
      </w:tr>
    </w:tbl>
    <w:p>
      <w:pPr>
        <w:pStyle w:val="Heading2"/>
        <w:spacing w:after="160" w:before="360"/>
      </w:pPr>
      <w:r>
        <w:rPr>
          <w:rFonts w:ascii="Calibri" w:cs="Calibri" w:eastAsia="Calibri" w:hAnsi="Calibri"/>
          <w:b/>
          <w:bCs/>
          <w:color w:val="12406E"/>
          <w:sz w:val="25"/>
          <w:szCs w:val="25"/>
        </w:rPr>
        <w:t xml:space="preserve">11.2 Infrastructure de production</w:t>
      </w:r>
    </w:p>
    <w:p>
      <w:pPr>
        <w:spacing w:after="160" w:line="300"/>
        <w:jc w:val="both"/>
      </w:pPr>
      <w:r>
        <w:rPr>
          <w:rFonts w:ascii="Calibri" w:cs="Calibri" w:eastAsia="Calibri" w:hAnsi="Calibri"/>
          <w:color w:val="222831"/>
          <w:sz w:val="21"/>
          <w:szCs w:val="21"/>
        </w:rPr>
        <w:t xml:space="preserve">La production repose sur un VPS (ex. Hetzner CX32) hébergeant, via Docker Compose : le reverse-proxy nginx (TLS), l'API NestJS, le serveur LiveKit et coturn (STUN/TURN). PostgreSQL, l'authentification, le stockage et le temps réel sont délégués à Supabase ; les notifications push et le crash reporting mobile à Firebase ; le CDN et la protection anti-DDoS à Cloudflare ; le monitoring applicatif à Sentry.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0E7A80"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0E7A80"/>
                <w:sz w:val="20"/>
                <w:szCs w:val="20"/>
              </w:rPr>
              <w:t xml:space="preserve">Latence et souveraineté des données</w:t>
            </w:r>
          </w:p>
          <w:p>
            <w:pPr>
              <w:spacing w:after="0"/>
              <w:jc w:val="both"/>
            </w:pPr>
            <w:r>
              <w:rPr>
                <w:rFonts w:ascii="Calibri" w:cs="Calibri" w:eastAsia="Calibri" w:hAnsi="Calibri"/>
                <w:color w:val="222831"/>
                <w:sz w:val="20"/>
                <w:szCs w:val="20"/>
              </w:rPr>
              <w:t xml:space="preserve">Les VPS Hetzner/DigitalOcean usuels sont situés en Europe ou aux USA, ce qui ajoute 150-250 ms de latence depuis le Cameroun et pose une question de localisation des données d'étudiants. Cette édition recommande d'évaluer en parallèle des offres VPS africaines (ex. datacenters à Douala/Yaoundé via des opérateurs locaux, ou des régions Cloud proches comme celles proposées en Afrique du Sud/Nigeria par certains fournisseurs) pour la production V1, et de conserver le VPS européen comme option de repli / miroir de sauvegarde.</w:t>
            </w:r>
          </w:p>
        </w:tc>
      </w:tr>
    </w:tbl>
    <w:p>
      <w:pPr>
        <w:pStyle w:val="Heading2"/>
        <w:spacing w:after="160" w:before="360"/>
      </w:pPr>
      <w:r>
        <w:rPr>
          <w:rFonts w:ascii="Calibri" w:cs="Calibri" w:eastAsia="Calibri" w:hAnsi="Calibri"/>
          <w:b/>
          <w:bCs/>
          <w:color w:val="12406E"/>
          <w:sz w:val="25"/>
          <w:szCs w:val="25"/>
        </w:rPr>
        <w:t xml:space="preserve">11.3 Stratégie de déploiement par phase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552"/>
        <w:gridCol w:w="7655"/>
      </w:tblGrid>
      <w:tr>
        <w:trPr>
          <w:tblHeader/>
        </w:trPr>
        <w:tc>
          <w:tcPr>
            <w:tcW w:type="dxa" w:w="255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Phase</w:t>
            </w:r>
          </w:p>
        </w:tc>
        <w:tc>
          <w:tcPr>
            <w:tcW w:type="dxa" w:w="765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Contenu</w:t>
            </w:r>
          </w:p>
        </w:tc>
      </w:tr>
      <w:tr>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Phase 1</w:t>
            </w:r>
          </w:p>
        </w:tc>
        <w:tc>
          <w:tcPr>
            <w:tcW w:type="dxa" w:w="765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Backend NestJS sur VPS, PostgreSQL via Supabase</w:t>
            </w:r>
          </w:p>
        </w:tc>
      </w:tr>
      <w:tr>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Phase 2</w:t>
            </w:r>
          </w:p>
        </w:tc>
        <w:tc>
          <w:tcPr>
            <w:tcW w:type="dxa" w:w="765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Application Desktop (Windows + Linux)</w:t>
            </w:r>
          </w:p>
        </w:tc>
      </w:tr>
      <w:tr>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Phase 3</w:t>
            </w:r>
          </w:p>
        </w:tc>
        <w:tc>
          <w:tcPr>
            <w:tcW w:type="dxa" w:w="765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Application Mobile (Android)</w:t>
            </w:r>
          </w:p>
        </w:tc>
      </w:tr>
      <w:tr>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Phase 4</w:t>
            </w:r>
          </w:p>
        </w:tc>
        <w:tc>
          <w:tcPr>
            <w:tcW w:type="dxa" w:w="765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Application Web (futur)</w:t>
            </w:r>
          </w:p>
        </w:tc>
      </w:tr>
      <w:tr>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Phase 5</w:t>
            </w:r>
          </w:p>
        </w:tc>
        <w:tc>
          <w:tcPr>
            <w:tcW w:type="dxa" w:w="765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macOS + iOS</w:t>
            </w:r>
          </w:p>
        </w:tc>
      </w:tr>
    </w:tbl>
    <w:p>
      <w:pPr>
        <w:pStyle w:val="Heading2"/>
        <w:spacing w:after="160" w:before="360"/>
      </w:pPr>
      <w:r>
        <w:rPr>
          <w:rFonts w:ascii="Calibri" w:cs="Calibri" w:eastAsia="Calibri" w:hAnsi="Calibri"/>
          <w:b/>
          <w:bCs/>
          <w:color w:val="12406E"/>
          <w:sz w:val="25"/>
          <w:szCs w:val="25"/>
        </w:rPr>
        <w:t xml:space="preserve">11.4 CI/CD</w:t>
      </w:r>
    </w:p>
    <w:p>
      <w:pPr>
        <w:spacing w:after="160" w:line="300"/>
        <w:jc w:val="both"/>
      </w:pPr>
      <w:r>
        <w:rPr>
          <w:rFonts w:ascii="Calibri" w:cs="Calibri" w:eastAsia="Calibri" w:hAnsi="Calibri"/>
          <w:color w:val="222831"/>
          <w:sz w:val="21"/>
          <w:szCs w:val="21"/>
        </w:rPr>
        <w:t xml:space="preserve">Le pipeline (GitHub Actions) enchaîne : lint &amp; format (dart format, eslint), tests unitaires (flutter test, jest), tests d'intégration, build (Flutter et NestJS), build &amp; push des images Docker, puis déploiement staging → production.</w:t>
      </w:r>
    </w:p>
    <w:p>
      <w:pPr>
        <w:pStyle w:val="Heading2"/>
        <w:spacing w:after="160" w:before="360"/>
      </w:pPr>
      <w:r>
        <w:rPr>
          <w:rFonts w:ascii="Calibri" w:cs="Calibri" w:eastAsia="Calibri" w:hAnsi="Calibri"/>
          <w:b/>
          <w:bCs/>
          <w:color w:val="12406E"/>
          <w:sz w:val="25"/>
          <w:szCs w:val="25"/>
        </w:rPr>
        <w:t xml:space="preserve">11.5 Formats de distribution des applications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041"/>
        <w:gridCol w:w="3062"/>
        <w:gridCol w:w="5103"/>
      </w:tblGrid>
      <w:tr>
        <w:trPr>
          <w:tblHeader/>
        </w:trPr>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Plateforme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Format</w:t>
            </w:r>
          </w:p>
        </w:tc>
        <w:tc>
          <w:tcPr>
            <w:tcW w:type="dxa" w:w="510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Canal de distribution</w:t>
            </w:r>
          </w:p>
        </w:tc>
      </w:tr>
      <w:tr>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Windows</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.exe (installeur NSIS)</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GitHub Releases + partage hors-ligne (clé USB) pour les campus à faible bande passante</w:t>
            </w:r>
          </w:p>
        </w:tc>
      </w:tr>
      <w:tr>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Linux</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.deb, .AppImage, .rpm</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GitHub Releases + dépôt APT</w:t>
            </w:r>
          </w:p>
        </w:tc>
      </w:tr>
      <w:tr>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macOS (V2)</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.dmg</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GitHub Releases</w:t>
            </w:r>
          </w:p>
        </w:tc>
      </w:tr>
      <w:tr>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Android</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.apk + AAB</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GitHub Releases + Play Store + partage local (Bluetooth/hotspot)</w:t>
            </w:r>
          </w:p>
        </w:tc>
      </w:tr>
      <w:tr>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iOS (V2)</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.ipa</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 Store</w:t>
            </w:r>
          </w:p>
        </w:tc>
      </w:tr>
    </w:tbl>
    <w:p>
      <w:pPr>
        <w:pStyle w:val="Heading2"/>
        <w:spacing w:after="160" w:before="360"/>
      </w:pPr>
      <w:r>
        <w:rPr>
          <w:rFonts w:ascii="Calibri" w:cs="Calibri" w:eastAsia="Calibri" w:hAnsi="Calibri"/>
          <w:b/>
          <w:bCs/>
          <w:color w:val="12406E"/>
          <w:sz w:val="25"/>
          <w:szCs w:val="25"/>
        </w:rPr>
        <w:t xml:space="preserve">11.6 Sauvegarde et supervision</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082"/>
        <w:gridCol w:w="3062"/>
        <w:gridCol w:w="3062"/>
      </w:tblGrid>
      <w:tr>
        <w:trPr>
          <w:tblHeader/>
        </w:trPr>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Donnée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Fréquence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Rétention</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PostgreSQL (Supabase PITR)</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Continu / quotidien</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7 jours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PostgreSQL (dump distant)</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Quotidien</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30 jours</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Fichiers (Supabase Storage)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Quotidien</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30 jours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Configuration serveur</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Hebdomadaire</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90 jours</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Code source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Continu (Git)</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Illimité</w:t>
            </w:r>
          </w:p>
        </w:tc>
      </w:tr>
    </w:tbl>
    <w:p>
      <w:pPr>
        <w:spacing w:after="160" w:line="300"/>
        <w:jc w:val="both"/>
      </w:pPr>
      <w:r>
        <w:rPr>
          <w:rFonts w:ascii="Calibri" w:cs="Calibri" w:eastAsia="Calibri" w:hAnsi="Calibri"/>
          <w:color w:val="222831"/>
          <w:sz w:val="21"/>
          <w:szCs w:val="21"/>
        </w:rPr>
        <w:t xml:space="preserve">Alertes de supervision : CPU &gt; 80% (5 min), RAM &gt; 85%, disque &gt; 80%, temps de réponse API P95 &gt; 500 ms, taux d'erreur &gt; 1%, disponibilité &lt; 99.5%, expiration SSL &lt; 30 jours.</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12. Exigences non fonctionnelles</w:t>
      </w:r>
    </w:p>
    <w:p>
      <w:pPr>
        <w:pStyle w:val="Heading2"/>
        <w:spacing w:after="160" w:before="360"/>
      </w:pPr>
      <w:r>
        <w:rPr>
          <w:rFonts w:ascii="Calibri" w:cs="Calibri" w:eastAsia="Calibri" w:hAnsi="Calibri"/>
          <w:b/>
          <w:bCs/>
          <w:color w:val="12406E"/>
          <w:sz w:val="25"/>
          <w:szCs w:val="25"/>
        </w:rPr>
        <w:t xml:space="preserve">12.1 Performance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5613"/>
        <w:gridCol w:w="4593"/>
      </w:tblGrid>
      <w:tr>
        <w:trPr>
          <w:tblHeader/>
        </w:trPr>
        <w:tc>
          <w:tcPr>
            <w:tcW w:type="dxa" w:w="561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Métrique</w:t>
            </w:r>
          </w:p>
        </w:tc>
        <w:tc>
          <w:tcPr>
            <w:tcW w:type="dxa" w:w="459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w:t>
            </w:r>
          </w:p>
        </w:tc>
      </w:tr>
      <w:tr>
        <w:tc>
          <w:tcPr>
            <w:tcW w:type="dxa" w:w="561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de démarrage (Desktop)</w:t>
            </w:r>
          </w:p>
        </w:tc>
        <w:tc>
          <w:tcPr>
            <w:tcW w:type="dxa" w:w="459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2 s</w:t>
            </w:r>
          </w:p>
        </w:tc>
      </w:tr>
      <w:tr>
        <w:tc>
          <w:tcPr>
            <w:tcW w:type="dxa" w:w="561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de démarrage (Mobile)</w:t>
            </w:r>
          </w:p>
        </w:tc>
        <w:tc>
          <w:tcPr>
            <w:tcW w:type="dxa" w:w="459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3 s</w:t>
            </w:r>
          </w:p>
        </w:tc>
      </w:tr>
      <w:tr>
        <w:tc>
          <w:tcPr>
            <w:tcW w:type="dxa" w:w="561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de réponse API</w:t>
            </w:r>
          </w:p>
        </w:tc>
        <w:tc>
          <w:tcPr>
            <w:tcW w:type="dxa" w:w="459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200 ms (P95)</w:t>
            </w:r>
          </w:p>
        </w:tc>
      </w:tr>
      <w:tr>
        <w:tc>
          <w:tcPr>
            <w:tcW w:type="dxa" w:w="561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Taille de l'installeur Desktop</w:t>
            </w:r>
          </w:p>
        </w:tc>
        <w:tc>
          <w:tcPr>
            <w:tcW w:type="dxa" w:w="459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80 Mo</w:t>
            </w:r>
          </w:p>
        </w:tc>
      </w:tr>
      <w:tr>
        <w:tc>
          <w:tcPr>
            <w:tcW w:type="dxa" w:w="561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Taille de l'APK Android</w:t>
            </w:r>
          </w:p>
        </w:tc>
        <w:tc>
          <w:tcPr>
            <w:tcW w:type="dxa" w:w="459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50 Mo (mode allégé &lt; 25 Mo pour zones à faible débit)</w:t>
            </w:r>
          </w:p>
        </w:tc>
      </w:tr>
      <w:tr>
        <w:tc>
          <w:tcPr>
            <w:tcW w:type="dxa" w:w="561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Utilisation mémoire au repos (Desktop)</w:t>
            </w:r>
          </w:p>
        </w:tc>
        <w:tc>
          <w:tcPr>
            <w:tcW w:type="dxa" w:w="459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200 Mo</w:t>
            </w:r>
          </w:p>
        </w:tc>
      </w:tr>
      <w:tr>
        <w:tc>
          <w:tcPr>
            <w:tcW w:type="dxa" w:w="561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Synchronisation offline (100 enregistrements)</w:t>
            </w:r>
          </w:p>
        </w:tc>
        <w:tc>
          <w:tcPr>
            <w:tcW w:type="dxa" w:w="459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5 s (4G) / &lt; 15 s (3G)</w:t>
            </w:r>
          </w:p>
        </w:tc>
      </w:tr>
      <w:tr>
        <w:tc>
          <w:tcPr>
            <w:tcW w:type="dxa" w:w="561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Support simultané</w:t>
            </w:r>
          </w:p>
        </w:tc>
        <w:tc>
          <w:tcPr>
            <w:tcW w:type="dxa" w:w="459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500+ utilisateurs</w:t>
            </w:r>
          </w:p>
        </w:tc>
      </w:tr>
    </w:tbl>
    <w:p>
      <w:pPr>
        <w:pStyle w:val="Heading2"/>
        <w:spacing w:after="160" w:before="360"/>
      </w:pPr>
      <w:r>
        <w:rPr>
          <w:rFonts w:ascii="Calibri" w:cs="Calibri" w:eastAsia="Calibri" w:hAnsi="Calibri"/>
          <w:b/>
          <w:bCs/>
          <w:color w:val="12406E"/>
          <w:sz w:val="25"/>
          <w:szCs w:val="25"/>
        </w:rPr>
        <w:t xml:space="preserve">12.2 Disponibilité, fiabilité, portabilité</w:t>
      </w:r>
    </w:p>
    <w:p>
      <w:pPr>
        <w:pStyle w:val="ListParagraph"/>
        <w:numPr>
          <w:ilvl w:val="0"/>
          <w:numId w:val="1"/>
        </w:numPr>
        <w:spacing w:after="90" w:line="290"/>
        <w:jc w:val="both"/>
      </w:pPr>
      <w:r>
        <w:rPr>
          <w:rFonts w:ascii="Calibri" w:cs="Calibri" w:eastAsia="Calibri" w:hAnsi="Calibri"/>
          <w:color w:val="222831"/>
          <w:sz w:val="21"/>
          <w:szCs w:val="21"/>
        </w:rPr>
        <w:t xml:space="preserve">Disponibilité cible : 99.5% en production (V1), avec plan d'incident (détection → analyse → confinement → correction → restauration → retour d'expérience).</w:t>
      </w:r>
    </w:p>
    <w:p>
      <w:pPr>
        <w:pStyle w:val="ListParagraph"/>
        <w:numPr>
          <w:ilvl w:val="0"/>
          <w:numId w:val="1"/>
        </w:numPr>
        <w:spacing w:after="90" w:line="290"/>
        <w:jc w:val="both"/>
      </w:pPr>
      <w:r>
        <w:rPr>
          <w:rFonts w:ascii="Calibri" w:cs="Calibri" w:eastAsia="Calibri" w:hAnsi="Calibri"/>
          <w:color w:val="222831"/>
          <w:sz w:val="21"/>
          <w:szCs w:val="21"/>
        </w:rPr>
        <w:t xml:space="preserve">Portabilité : Windows, Linux et macOS pour le Desktop ; Android puis iOS pour le mobile ; Flutter Web en V2.</w:t>
      </w:r>
    </w:p>
    <w:p>
      <w:pPr>
        <w:pStyle w:val="ListParagraph"/>
        <w:numPr>
          <w:ilvl w:val="0"/>
          <w:numId w:val="1"/>
        </w:numPr>
        <w:spacing w:after="90" w:line="290"/>
        <w:jc w:val="both"/>
      </w:pPr>
      <w:r>
        <w:rPr>
          <w:rFonts w:ascii="Calibri" w:cs="Calibri" w:eastAsia="Calibri" w:hAnsi="Calibri"/>
          <w:color w:val="222831"/>
          <w:sz w:val="21"/>
          <w:szCs w:val="21"/>
        </w:rPr>
        <w:t xml:space="preserve">Extensibilité : architecture modulaire back/front, API REST versionnée et documentée, prête pour une décomposition ultérieure en microservices.</w:t>
      </w:r>
    </w:p>
    <w:p>
      <w:pPr>
        <w:pStyle w:val="ListParagraph"/>
        <w:numPr>
          <w:ilvl w:val="0"/>
          <w:numId w:val="1"/>
        </w:numPr>
        <w:spacing w:after="90" w:line="290"/>
        <w:jc w:val="both"/>
      </w:pPr>
      <w:r>
        <w:rPr>
          <w:rFonts w:ascii="Calibri" w:cs="Calibri" w:eastAsia="Calibri" w:hAnsi="Calibri"/>
          <w:color w:val="222831"/>
          <w:sz w:val="21"/>
          <w:szCs w:val="21"/>
        </w:rPr>
        <w:t xml:space="preserve">Résilience énergétique : le mode local (LAN + serveur sur site) doit rester opérationnel au moins 4 heures sur onduleur/batterie en cas de coupure secteur (voir §15.2).</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13. Estimation des coûts</w:t>
      </w:r>
    </w:p>
    <w:p>
      <w:pPr>
        <w:pStyle w:val="Heading2"/>
        <w:spacing w:after="160" w:before="360"/>
      </w:pPr>
      <w:r>
        <w:rPr>
          <w:rFonts w:ascii="Calibri" w:cs="Calibri" w:eastAsia="Calibri" w:hAnsi="Calibri"/>
          <w:b/>
          <w:bCs/>
          <w:color w:val="12406E"/>
          <w:sz w:val="25"/>
          <w:szCs w:val="25"/>
        </w:rPr>
        <w:t xml:space="preserve">13.1 Infrastructure (mensuel)</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470"/>
        <w:gridCol w:w="2245"/>
        <w:gridCol w:w="2041"/>
        <w:gridCol w:w="2449"/>
      </w:tblGrid>
      <w:tr>
        <w:trPr>
          <w:tblHeader/>
        </w:trPr>
        <w:tc>
          <w:tcPr>
            <w:tcW w:type="dxa" w:w="3470"/>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Ressource</w:t>
            </w:r>
          </w:p>
        </w:tc>
        <w:tc>
          <w:tcPr>
            <w:tcW w:type="dxa" w:w="224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Plan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Coût (USD)</w:t>
            </w:r>
          </w:p>
        </w:tc>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Coût (FCFA, ≈610/USD)</w:t>
            </w:r>
          </w:p>
        </w:tc>
      </w:tr>
      <w:tr>
        <w:tc>
          <w:tcPr>
            <w:tcW w:type="dxa" w:w="3470"/>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Supabase (PostgreSQL + Auth + Storage + Realtime)</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Free (dev) / Pro (prod)</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 — 25</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 — 15 300</w:t>
            </w:r>
          </w:p>
        </w:tc>
      </w:tr>
      <w:tr>
        <w:tc>
          <w:tcPr>
            <w:tcW w:type="dxa" w:w="347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Firebase (FCM + Crashlytics)</w:t>
            </w:r>
          </w:p>
        </w:tc>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Spark (gratuit)</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w:t>
            </w:r>
          </w:p>
        </w:tc>
      </w:tr>
      <w:tr>
        <w:tc>
          <w:tcPr>
            <w:tcW w:type="dxa" w:w="3470"/>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VPS (Backend + LiveKit)</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Hetzner CX22/CX32</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 — 12</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3 700 — 7 300</w:t>
            </w:r>
          </w:p>
        </w:tc>
      </w:tr>
      <w:tr>
        <w:tc>
          <w:tcPr>
            <w:tcW w:type="dxa" w:w="347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Domaine / DNS</w:t>
            </w:r>
          </w:p>
        </w:tc>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Cloudflare</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≈10/an</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≈6 100/an</w:t>
            </w:r>
          </w:p>
        </w:tc>
      </w:tr>
      <w:tr>
        <w:tc>
          <w:tcPr>
            <w:tcW w:type="dxa" w:w="3470"/>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Cloudinary (stockage média)</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Free tier</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w:t>
            </w:r>
          </w:p>
        </w:tc>
      </w:tr>
      <w:tr>
        <w:tc>
          <w:tcPr>
            <w:tcW w:type="dxa" w:w="347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Sentry (monitoring)</w:t>
            </w:r>
          </w:p>
        </w:tc>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Free tier (5K événements)</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w:t>
            </w:r>
          </w:p>
        </w:tc>
      </w:tr>
      <w:tr>
        <w:tc>
          <w:tcPr>
            <w:tcW w:type="dxa" w:w="3470"/>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Passerelle SMS (secours notifications)</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Selon volume envoyé</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≈0,01/SMS</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 FCFA/SMS</w:t>
            </w:r>
          </w:p>
        </w:tc>
      </w:tr>
      <w:tr>
        <w:tc>
          <w:tcPr>
            <w:tcW w:type="dxa" w:w="347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Total minimum (dev)</w:t>
            </w:r>
          </w:p>
        </w:tc>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≈6/mois</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≈3 700 FCFA/mois</w:t>
            </w:r>
          </w:p>
        </w:tc>
      </w:tr>
      <w:tr>
        <w:tc>
          <w:tcPr>
            <w:tcW w:type="dxa" w:w="3470"/>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Total production (minimal → complet)</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37 — 126/mois</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≈22 600 — 76 900 FCFA/mois</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A32E28"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A32E28"/>
                <w:sz w:val="20"/>
                <w:szCs w:val="20"/>
              </w:rPr>
              <w:t xml:space="preserve">Un point d'attention majeur</w:t>
            </w:r>
          </w:p>
          <w:p>
            <w:pPr>
              <w:spacing w:after="0"/>
              <w:jc w:val="both"/>
            </w:pPr>
            <w:r>
              <w:rPr>
                <w:rFonts w:ascii="Calibri" w:cs="Calibri" w:eastAsia="Calibri" w:hAnsi="Calibri"/>
                <w:color w:val="222831"/>
                <w:sz w:val="20"/>
                <w:szCs w:val="20"/>
              </w:rPr>
              <w:t xml:space="preserve">Les services Supabase Pro, Cloudinary payant, Cloudflare et la plupart des VPS internationaux exigent une carte bancaire internationale (Visa/Mastercard avec paiement en devises), difficile d'accès pour de nombreuses structures camerounaises. Il est recommandé de prévoir dès le budget une carte virtuelle en devises (ex. via une banque locale proposant ce service, ou une solution comme une carte prépayée internationale) et d'anticiper les frais de change (souvent 2 à 4% supplémentaires).</w:t>
            </w:r>
          </w:p>
        </w:tc>
      </w:tr>
    </w:tbl>
    <w:p>
      <w:pPr>
        <w:pStyle w:val="Heading2"/>
        <w:spacing w:after="160" w:before="360"/>
      </w:pPr>
      <w:r>
        <w:rPr>
          <w:rFonts w:ascii="Calibri" w:cs="Calibri" w:eastAsia="Calibri" w:hAnsi="Calibri"/>
          <w:b/>
          <w:bCs/>
          <w:color w:val="12406E"/>
          <w:sz w:val="25"/>
          <w:szCs w:val="25"/>
        </w:rPr>
        <w:t xml:space="preserve">13.2 Développement (estimation en heures)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6124"/>
        <w:gridCol w:w="4082"/>
      </w:tblGrid>
      <w:tr>
        <w:trPr>
          <w:tblHeader/>
        </w:trPr>
        <w:tc>
          <w:tcPr>
            <w:tcW w:type="dxa" w:w="612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Poste</w:t>
            </w:r>
          </w:p>
        </w:tc>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Estimation</w:t>
            </w:r>
          </w:p>
        </w:tc>
      </w:tr>
      <w:tr>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Frontend Flutter (Mobile + Desktop)</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600-800 h</w:t>
            </w:r>
          </w:p>
        </w:tc>
      </w:tr>
      <w:tr>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Backend NestJS</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300-400 h</w:t>
            </w:r>
          </w:p>
        </w:tc>
      </w:tr>
      <w:tr>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Base de données + moteur de synchronisation</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150-200 h</w:t>
            </w:r>
          </w:p>
        </w:tc>
      </w:tr>
      <w:tr>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Visioconférence (LiveKit)</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100-150 h</w:t>
            </w:r>
          </w:p>
        </w:tc>
      </w:tr>
      <w:tr>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Notifications SMS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40-60 h</w:t>
            </w:r>
          </w:p>
        </w:tc>
      </w:tr>
      <w:tr>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Tests + QA</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150-200 h</w:t>
            </w:r>
          </w:p>
        </w:tc>
      </w:tr>
      <w:tr>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Déploiement + DevOps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80-100 h</w:t>
            </w:r>
          </w:p>
        </w:tc>
      </w:tr>
      <w:tr>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Documentation (bilingue FR/EN)</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70-100 h</w:t>
            </w:r>
          </w:p>
        </w:tc>
      </w:tr>
      <w:tr>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Total estimé</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1 510-2 040 h</w:t>
            </w:r>
          </w:p>
        </w:tc>
      </w:tr>
    </w:tbl>
    <w:p>
      <w:pPr>
        <w:pStyle w:val="Heading2"/>
        <w:spacing w:after="160" w:before="360"/>
      </w:pPr>
      <w:r>
        <w:rPr>
          <w:rFonts w:ascii="Calibri" w:cs="Calibri" w:eastAsia="Calibri" w:hAnsi="Calibri"/>
          <w:b/>
          <w:bCs/>
          <w:color w:val="12406E"/>
          <w:sz w:val="25"/>
          <w:szCs w:val="25"/>
        </w:rPr>
        <w:t xml:space="preserve">13.3 Repères de coût sur le marché camerounais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287"/>
        <w:gridCol w:w="3368"/>
        <w:gridCol w:w="2552"/>
      </w:tblGrid>
      <w:tr>
        <w:trPr>
          <w:tblHeader/>
        </w:trPr>
        <w:tc>
          <w:tcPr>
            <w:tcW w:type="dxa" w:w="428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Profil</w:t>
            </w:r>
          </w:p>
        </w:tc>
        <w:tc>
          <w:tcPr>
            <w:tcW w:type="dxa" w:w="3368"/>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Taux horaire indicatif (FCFA)</w:t>
            </w:r>
          </w:p>
        </w:tc>
        <w:tc>
          <w:tcPr>
            <w:tcW w:type="dxa" w:w="255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Équivalent USD</w:t>
            </w:r>
          </w:p>
        </w:tc>
      </w:tr>
      <w:tr>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Développeur junior / étudiant encadré</w:t>
            </w:r>
          </w:p>
        </w:tc>
        <w:tc>
          <w:tcPr>
            <w:tcW w:type="dxa" w:w="336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1 000 — 2 000</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1,6 — 3,3</w:t>
            </w:r>
          </w:p>
        </w:tc>
      </w:tr>
      <w:tr>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Développeur intermédiaire (freelance local)</w:t>
            </w:r>
          </w:p>
        </w:tc>
        <w:tc>
          <w:tcPr>
            <w:tcW w:type="dxa" w:w="33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2 000 — 4 000</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3,3 — 6,5</w:t>
            </w:r>
          </w:p>
        </w:tc>
      </w:tr>
      <w:tr>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Développeur senior / architecte (agence)</w:t>
            </w:r>
          </w:p>
        </w:tc>
        <w:tc>
          <w:tcPr>
            <w:tcW w:type="dxa" w:w="3368"/>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5 000 — 10 000</w:t>
            </w:r>
          </w:p>
        </w:tc>
        <w:tc>
          <w:tcPr>
            <w:tcW w:type="dxa" w:w="255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8 — 16,5</w:t>
            </w:r>
          </w:p>
        </w:tc>
      </w:tr>
      <w:tr>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Taux de référence international utilisé en §3.2</w:t>
            </w:r>
          </w:p>
        </w:tc>
        <w:tc>
          <w:tcPr>
            <w:tcW w:type="dxa" w:w="33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≈15 000</w:t>
            </w:r>
          </w:p>
        </w:tc>
        <w:tc>
          <w:tcPr>
            <w:tcW w:type="dxa" w:w="255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≈25</w:t>
            </w:r>
          </w:p>
        </w:tc>
      </w:tr>
    </w:tbl>
    <w:p>
      <w:pPr>
        <w:spacing w:after="220"/>
      </w:pPr>
      <w:r>
        <w:rPr>
          <w:rFonts w:ascii="Calibri" w:cs="Calibri" w:eastAsia="Calibri" w:hAnsi="Calibri"/>
          <w:i/>
          <w:iCs/>
          <w:color w:val="5B6472"/>
          <w:sz w:val="21"/>
          <w:szCs w:val="21"/>
        </w:rPr>
        <w:t xml:space="preserve">Ces repères permettent à KERNEL FORGE de présenter, en complément du chiffrage international, un budget réaliste pour un financement local (université, ministère, bailleur régional, ou auto-financement étudiant).</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14. Planning prévisionnel et roadmap</w:t>
      </w:r>
    </w:p>
    <w:p>
      <w:pPr>
        <w:pStyle w:val="Heading2"/>
        <w:spacing w:after="160" w:before="360"/>
      </w:pPr>
      <w:r>
        <w:rPr>
          <w:rFonts w:ascii="Calibri" w:cs="Calibri" w:eastAsia="Calibri" w:hAnsi="Calibri"/>
          <w:b/>
          <w:bCs/>
          <w:color w:val="12406E"/>
          <w:sz w:val="25"/>
          <w:szCs w:val="25"/>
        </w:rPr>
        <w:t xml:space="preserve">14.1 Roadmap V1 — MVP (4 à 6 mois / 6 sprints mensuels)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245"/>
        <w:gridCol w:w="6124"/>
        <w:gridCol w:w="1837"/>
      </w:tblGrid>
      <w:tr>
        <w:trPr>
          <w:tblHeader/>
        </w:trPr>
        <w:tc>
          <w:tcPr>
            <w:tcW w:type="dxa" w:w="224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Sprint (mois)</w:t>
            </w:r>
          </w:p>
        </w:tc>
        <w:tc>
          <w:tcPr>
            <w:tcW w:type="dxa" w:w="612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Contenu</w:t>
            </w:r>
          </w:p>
        </w:tc>
        <w:tc>
          <w:tcPr>
            <w:tcW w:type="dxa" w:w="183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Estimation</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Sprint 1 — Fondations</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Architecture backend, authentification JWT+RBAC, structure frontend, DevOps, BDD PostgreSQL + Drift</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160 h</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Sprint 2 — Gestion académique</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étudiants, enseignants, filières/niveaux/spécialités, UE + inscriptions</w:t>
            </w:r>
          </w:p>
        </w:tc>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160 h</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Sprint 3 — Emploi du temps &amp; salles</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salles, gestion des cours, UI emploi du temps, génération automatique</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160 h</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Sprint 4 — Présences &amp; notifications</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Sessions et marquage de présence, QR code, notifications push/in-app + relais SMS</w:t>
            </w:r>
          </w:p>
        </w:tc>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170 h</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Sprint 5 — Desktop &amp; offline</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Moteur de synchronisation, pattern Outbox, résolution de conflits, build Desktop</w:t>
            </w:r>
          </w:p>
        </w:tc>
        <w:tc>
          <w:tcPr>
            <w:tcW w:type="dxa" w:w="183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160 h</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Sprint 6 — Visio &amp; finalisation</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LiveKit (local + Internet), tableau de bord, tests d'intégration, documentation bilingue</w:t>
            </w:r>
          </w:p>
        </w:tc>
        <w:tc>
          <w:tcPr>
            <w:tcW w:type="dxa" w:w="183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180 h</w:t>
            </w:r>
          </w:p>
        </w:tc>
      </w:tr>
    </w:tbl>
    <w:p>
      <w:pPr>
        <w:pStyle w:val="Heading3"/>
        <w:spacing w:after="120" w:before="220"/>
      </w:pPr>
      <w:r>
        <w:rPr>
          <w:rFonts w:ascii="Calibri" w:cs="Calibri" w:eastAsia="Calibri" w:hAnsi="Calibri"/>
          <w:b/>
          <w:bCs/>
          <w:color w:val="0E7A80"/>
          <w:sz w:val="21"/>
          <w:szCs w:val="21"/>
        </w:rPr>
        <w:t xml:space="preserve">Livrables attendus en fin de V1</w:t>
      </w:r>
    </w:p>
    <w:p>
      <w:pPr>
        <w:pStyle w:val="ListParagraph"/>
        <w:numPr>
          <w:ilvl w:val="0"/>
          <w:numId w:val="1"/>
        </w:numPr>
        <w:spacing w:after="90" w:line="290"/>
        <w:jc w:val="both"/>
      </w:pPr>
      <w:r>
        <w:rPr>
          <w:rFonts w:ascii="Calibri" w:cs="Calibri" w:eastAsia="Calibri" w:hAnsi="Calibri"/>
          <w:color w:val="222831"/>
          <w:sz w:val="21"/>
          <w:szCs w:val="21"/>
        </w:rPr>
        <w:t xml:space="preserve">Application Desktop (Windows + Linux), Application Mobile (Android)</w:t>
      </w:r>
    </w:p>
    <w:p>
      <w:pPr>
        <w:pStyle w:val="ListParagraph"/>
        <w:numPr>
          <w:ilvl w:val="0"/>
          <w:numId w:val="1"/>
        </w:numPr>
        <w:spacing w:after="90" w:line="290"/>
        <w:jc w:val="both"/>
      </w:pPr>
      <w:r>
        <w:rPr>
          <w:rFonts w:ascii="Calibri" w:cs="Calibri" w:eastAsia="Calibri" w:hAnsi="Calibri"/>
          <w:color w:val="222831"/>
          <w:sz w:val="21"/>
          <w:szCs w:val="21"/>
        </w:rPr>
        <w:t xml:space="preserve">Backend API déployé, avec authentification et RBAC complets</w:t>
      </w:r>
    </w:p>
    <w:p>
      <w:pPr>
        <w:pStyle w:val="ListParagraph"/>
        <w:numPr>
          <w:ilvl w:val="0"/>
          <w:numId w:val="1"/>
        </w:numPr>
        <w:spacing w:after="90" w:line="290"/>
        <w:jc w:val="both"/>
      </w:pPr>
      <w:r>
        <w:rPr>
          <w:rFonts w:ascii="Calibri" w:cs="Calibri" w:eastAsia="Calibri" w:hAnsi="Calibri"/>
          <w:color w:val="222831"/>
          <w:sz w:val="21"/>
          <w:szCs w:val="21"/>
        </w:rPr>
        <w:t xml:space="preserve">Gestion des étudiants, enseignants, UE ; emplois du temps dynamiques</w:t>
      </w:r>
    </w:p>
    <w:p>
      <w:pPr>
        <w:pStyle w:val="ListParagraph"/>
        <w:numPr>
          <w:ilvl w:val="0"/>
          <w:numId w:val="1"/>
        </w:numPr>
        <w:spacing w:after="90" w:line="290"/>
        <w:jc w:val="both"/>
      </w:pPr>
      <w:r>
        <w:rPr>
          <w:rFonts w:ascii="Calibri" w:cs="Calibri" w:eastAsia="Calibri" w:hAnsi="Calibri"/>
          <w:color w:val="222831"/>
          <w:sz w:val="21"/>
          <w:szCs w:val="21"/>
        </w:rPr>
        <w:t xml:space="preserve">Présences par délégué, notifications push + SMS, visioconférence (local + Internet)</w:t>
      </w:r>
    </w:p>
    <w:p>
      <w:pPr>
        <w:pStyle w:val="ListParagraph"/>
        <w:numPr>
          <w:ilvl w:val="0"/>
          <w:numId w:val="1"/>
        </w:numPr>
        <w:spacing w:after="90" w:line="290"/>
        <w:jc w:val="both"/>
      </w:pPr>
      <w:r>
        <w:rPr>
          <w:rFonts w:ascii="Calibri" w:cs="Calibri" w:eastAsia="Calibri" w:hAnsi="Calibri"/>
          <w:color w:val="222831"/>
          <w:sz w:val="21"/>
          <w:szCs w:val="21"/>
        </w:rPr>
        <w:t xml:space="preserve">Synchronisation offline opérationnelle ; documentation API (Swagger) en français et anglais</w:t>
      </w:r>
    </w:p>
    <w:p>
      <w:pPr>
        <w:pStyle w:val="Heading2"/>
        <w:spacing w:after="160" w:before="360"/>
      </w:pPr>
      <w:r>
        <w:rPr>
          <w:rFonts w:ascii="Calibri" w:cs="Calibri" w:eastAsia="Calibri" w:hAnsi="Calibri"/>
          <w:b/>
          <w:bCs/>
          <w:color w:val="12406E"/>
          <w:sz w:val="25"/>
          <w:szCs w:val="25"/>
        </w:rPr>
        <w:t xml:space="preserve">14.2 Roadmap V2 (mois 7 à 9)</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Module</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Fonctionnalités</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Notes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Saisie, calcul des moyennes, bulletins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Examens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Planification des sessions, surveillance</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Interface anglaise complète</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Bascule FR/EN pour les universités et filières anglophones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A32E28"/>
                <w:sz w:val="19"/>
                <w:szCs w:val="19"/>
              </w:rPr>
              <w:t xml:space="preserve">P0</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Bibliothèque</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Catalogue, emprunts, retours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API publique</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OpenAPI, SDK, webhooks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Application Web</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Flutter Web</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macOS / iOS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Builds natifs</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Messagerie</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Communication directe entre acteurs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bl>
    <w:p>
      <w:pPr>
        <w:spacing w:after="220"/>
      </w:pPr>
      <w:r>
        <w:rPr>
          <w:rFonts w:ascii="Calibri" w:cs="Calibri" w:eastAsia="Calibri" w:hAnsi="Calibri"/>
          <w:i/>
          <w:iCs/>
          <w:color w:val="5B6472"/>
          <w:sz w:val="21"/>
          <w:szCs w:val="21"/>
        </w:rPr>
        <w:t xml:space="preserve">La bascule linguistique FR/EN, initialement reléguée à une internationalisation V3 générique, est remontée en priorité P0 dès la V2 : c'est une attente concrète et immédiate du terrain camerounais. L'application ne gère et ne gèrera aucun module de paiement — cette fonctionnalité reste hors périmètre du projet.</w:t>
      </w:r>
    </w:p>
    <w:p>
      <w:pPr>
        <w:pStyle w:val="Heading2"/>
        <w:spacing w:after="160" w:before="360"/>
      </w:pPr>
      <w:r>
        <w:rPr>
          <w:rFonts w:ascii="Calibri" w:cs="Calibri" w:eastAsia="Calibri" w:hAnsi="Calibri"/>
          <w:b/>
          <w:bCs/>
          <w:color w:val="12406E"/>
          <w:sz w:val="25"/>
          <w:szCs w:val="25"/>
        </w:rPr>
        <w:t xml:space="preserve">14.3 Roadmap V3 (mois 10 à 15)</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511"/>
        <w:gridCol w:w="204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Module</w:t>
            </w:r>
          </w:p>
        </w:tc>
        <w:tc>
          <w:tcPr>
            <w:tcW w:type="dxa" w:w="551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Fonctionnalités</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IA — Prédictions</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Présences, réussite, risque de décrochage</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8A5A00"/>
                <w:sz w:val="19"/>
                <w:szCs w:val="19"/>
              </w:rPr>
              <w:t xml:space="preserve">P1</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IA — Recommandations</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UE, emplois du temps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Assistant virtuel</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Chatbot basé sur un LLM</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Planification IA</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Optimisation des emplois du temps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Internationalisation étendue</w:t>
            </w:r>
          </w:p>
        </w:tc>
        <w:tc>
          <w:tcPr>
            <w:tcW w:type="dxa" w:w="551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Autres langues, autres pays CEMAC/CEDEAO</w:t>
            </w:r>
          </w:p>
        </w:tc>
        <w:tc>
          <w:tcPr>
            <w:tcW w:type="dxa" w:w="2041"/>
            <w:shd w:fill="FAFBFC" w:val="clear"/>
            <w:tcMar>
              <w:top w:type="dxa" w:w="80"/>
              <w:left w:type="dxa" w:w="120"/>
              <w:bottom w:type="dxa" w:w="80"/>
              <w:right w:type="dxa" w:w="120"/>
            </w:tcMar>
            <w:vAlign w:val="center"/>
          </w:tcPr>
          <w:p>
            <w:pPr>
              <w:jc w:val="center"/>
            </w:pPr>
            <w:r>
              <w:rPr>
                <w:rFonts w:ascii="Calibri" w:cs="Calibri" w:eastAsia="Calibri" w:hAnsi="Calibri"/>
                <w:b/>
                <w:bCs/>
                <w:color w:val="12406E"/>
                <w:sz w:val="19"/>
                <w:szCs w:val="19"/>
              </w:rPr>
              <w:t xml:space="preserve">P2</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Marketplace</w:t>
            </w:r>
          </w:p>
        </w:tc>
        <w:tc>
          <w:tcPr>
            <w:tcW w:type="dxa" w:w="551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Modules communautaires</w:t>
            </w:r>
          </w:p>
        </w:tc>
        <w:tc>
          <w:tcPr>
            <w:tcW w:type="dxa" w:w="2041"/>
            <w:shd w:fill="FFFFFF" w:val="clear"/>
            <w:tcMar>
              <w:top w:type="dxa" w:w="80"/>
              <w:left w:type="dxa" w:w="120"/>
              <w:bottom w:type="dxa" w:w="80"/>
              <w:right w:type="dxa" w:w="120"/>
            </w:tcMar>
            <w:vAlign w:val="center"/>
          </w:tcPr>
          <w:p>
            <w:pPr>
              <w:jc w:val="center"/>
            </w:pPr>
            <w:r>
              <w:rPr>
                <w:rFonts w:ascii="Calibri" w:cs="Calibri" w:eastAsia="Calibri" w:hAnsi="Calibri"/>
                <w:b/>
                <w:bCs/>
                <w:color w:val="5B6472"/>
                <w:sz w:val="19"/>
                <w:szCs w:val="19"/>
              </w:rPr>
              <w:t xml:space="preserve">P3</w:t>
            </w:r>
          </w:p>
        </w:tc>
      </w:tr>
    </w:tbl>
    <w:p>
      <w:pPr>
        <w:pStyle w:val="Heading2"/>
        <w:spacing w:after="160" w:before="360"/>
      </w:pPr>
      <w:r>
        <w:rPr>
          <w:rFonts w:ascii="Calibri" w:cs="Calibri" w:eastAsia="Calibri" w:hAnsi="Calibri"/>
          <w:b/>
          <w:bCs/>
          <w:color w:val="12406E"/>
          <w:sz w:val="25"/>
          <w:szCs w:val="25"/>
        </w:rPr>
        <w:t xml:space="preserve">14.4 Indicateurs de suivi</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4082"/>
        <w:gridCol w:w="2041"/>
        <w:gridCol w:w="2041"/>
        <w:gridCol w:w="2041"/>
      </w:tblGrid>
      <w:tr>
        <w:trPr>
          <w:tblHeader/>
        </w:trPr>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Métrique</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V1</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V2</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V3</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Utilisateurs actifs</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500</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2 000</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10 000+</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Couverture de tests</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70%</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80%</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85%</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Temps de réponse API (P95)</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300 ms</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200 ms</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&lt; 100 ms</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Taux de succès de synchronisation offline</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95%</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99%</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99.9%</w:t>
            </w:r>
          </w:p>
        </w:tc>
      </w:tr>
      <w:tr>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Modules livrés</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15+</w:t>
            </w:r>
          </w:p>
        </w:tc>
      </w:tr>
      <w:tr>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Plateformes supportées</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w:t>
            </w:r>
          </w:p>
        </w:tc>
      </w:tr>
    </w:tbl>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15. Adaptation au contexte camerounais</w:t>
      </w:r>
    </w:p>
    <w:p>
      <w:pPr>
        <w:spacing w:after="220"/>
      </w:pPr>
      <w:r>
        <w:rPr>
          <w:rFonts w:ascii="Calibri" w:cs="Calibri" w:eastAsia="Calibri" w:hAnsi="Calibri"/>
          <w:i/>
          <w:iCs/>
          <w:color w:val="5B6472"/>
          <w:sz w:val="21"/>
          <w:szCs w:val="21"/>
        </w:rPr>
        <w:t xml:space="preserve">Ce chapitre est le principal apport de cette édition. Il reprend les points laissés implicites ou insuffisamment traités dans l'analyse initiale et propose, pour chacun, une exigence concrète à intégrer au cahier des charges.</w:t>
      </w:r>
    </w:p>
    <w:p>
      <w:pPr>
        <w:pStyle w:val="Heading2"/>
        <w:spacing w:after="160" w:before="360"/>
      </w:pPr>
      <w:r>
        <w:rPr>
          <w:rFonts w:ascii="Calibri" w:cs="Calibri" w:eastAsia="Calibri" w:hAnsi="Calibri"/>
          <w:b/>
          <w:bCs/>
          <w:color w:val="12406E"/>
          <w:sz w:val="25"/>
          <w:szCs w:val="25"/>
        </w:rPr>
        <w:t xml:space="preserve">15.1 Connectivité et coût de la donnée mobile</w:t>
      </w:r>
    </w:p>
    <w:p>
      <w:pPr>
        <w:spacing w:after="160" w:line="300"/>
        <w:jc w:val="both"/>
      </w:pPr>
      <w:r>
        <w:rPr>
          <w:rFonts w:ascii="Calibri" w:cs="Calibri" w:eastAsia="Calibri" w:hAnsi="Calibri"/>
          <w:color w:val="222831"/>
          <w:sz w:val="21"/>
          <w:szCs w:val="21"/>
        </w:rPr>
        <w:t xml:space="preserve">L'accès Internet au Cameroun reste dominé par la donnée mobile (3G/4G), dont le coût par mégaoctet pèse directement sur les étudiants et le personnel — les forfaits universitaires « illimités » restent rares hors des grandes agglomérations. Une application qui synchronise mal ou trop souvent devient, de fait, un outil réservé à une minorité.</w:t>
      </w:r>
    </w:p>
    <w:p>
      <w:pPr>
        <w:pStyle w:val="ListParagraph"/>
        <w:numPr>
          <w:ilvl w:val="0"/>
          <w:numId w:val="1"/>
        </w:numPr>
        <w:spacing w:after="90" w:line="290"/>
        <w:jc w:val="both"/>
      </w:pPr>
      <w:r>
        <w:rPr>
          <w:rFonts w:ascii="Calibri" w:cs="Calibri" w:eastAsia="Calibri" w:hAnsi="Calibri"/>
          <w:color w:val="222831"/>
          <w:sz w:val="21"/>
          <w:szCs w:val="21"/>
        </w:rPr>
        <w:t xml:space="preserve">Compression systématique des échanges API (gzip/br) et des payloads de synchronisation.</w:t>
      </w:r>
    </w:p>
    <w:p>
      <w:pPr>
        <w:pStyle w:val="ListParagraph"/>
        <w:numPr>
          <w:ilvl w:val="0"/>
          <w:numId w:val="1"/>
        </w:numPr>
        <w:spacing w:after="90" w:line="290"/>
        <w:jc w:val="both"/>
      </w:pPr>
      <w:r>
        <w:rPr>
          <w:rFonts w:ascii="Calibri" w:cs="Calibri" w:eastAsia="Calibri" w:hAnsi="Calibri"/>
          <w:color w:val="222831"/>
          <w:sz w:val="21"/>
          <w:szCs w:val="21"/>
        </w:rPr>
        <w:t xml:space="preserve">Synchronisation différentielle (delta sync) : n'envoyer/recevoir que les enregistrements modifiés depuis le dernier curseur, jamais l'ensemble des tables.</w:t>
      </w:r>
    </w:p>
    <w:p>
      <w:pPr>
        <w:pStyle w:val="ListParagraph"/>
        <w:numPr>
          <w:ilvl w:val="0"/>
          <w:numId w:val="1"/>
        </w:numPr>
        <w:spacing w:after="90" w:line="290"/>
        <w:jc w:val="both"/>
      </w:pPr>
      <w:r>
        <w:rPr>
          <w:rFonts w:ascii="Calibri" w:cs="Calibri" w:eastAsia="Calibri" w:hAnsi="Calibri"/>
          <w:color w:val="222831"/>
          <w:sz w:val="21"/>
          <w:szCs w:val="21"/>
        </w:rPr>
        <w:t xml:space="preserve">Mode « Wi-Fi uniquement » configurable par l'utilisateur pour les synchronisations lourdes (médias, exports).</w:t>
      </w:r>
    </w:p>
    <w:p>
      <w:pPr>
        <w:pStyle w:val="ListParagraph"/>
        <w:numPr>
          <w:ilvl w:val="0"/>
          <w:numId w:val="1"/>
        </w:numPr>
        <w:spacing w:after="90" w:line="290"/>
        <w:jc w:val="both"/>
      </w:pPr>
      <w:r>
        <w:rPr>
          <w:rFonts w:ascii="Calibri" w:cs="Calibri" w:eastAsia="Calibri" w:hAnsi="Calibri"/>
          <w:color w:val="222831"/>
          <w:sz w:val="21"/>
          <w:szCs w:val="21"/>
        </w:rPr>
        <w:t xml:space="preserve">Estimateur de consommation de données affiché dans l'application (« cette action utilisera environ X Ko »).</w:t>
      </w:r>
    </w:p>
    <w:p>
      <w:pPr>
        <w:pStyle w:val="ListParagraph"/>
        <w:numPr>
          <w:ilvl w:val="0"/>
          <w:numId w:val="1"/>
        </w:numPr>
        <w:spacing w:after="90" w:line="290"/>
        <w:jc w:val="both"/>
      </w:pPr>
      <w:r>
        <w:rPr>
          <w:rFonts w:ascii="Calibri" w:cs="Calibri" w:eastAsia="Calibri" w:hAnsi="Calibri"/>
          <w:color w:val="222831"/>
          <w:sz w:val="21"/>
          <w:szCs w:val="21"/>
        </w:rPr>
        <w:t xml:space="preserve">Priorité absolue au mode LAN (réseau local du campus) pour la visioconférence et les listes de présence, l'accès Internet n'étant qu'un complément.</w:t>
      </w:r>
    </w:p>
    <w:p>
      <w:pPr>
        <w:pStyle w:val="Heading2"/>
        <w:spacing w:after="160" w:before="360"/>
      </w:pPr>
      <w:r>
        <w:rPr>
          <w:rFonts w:ascii="Calibri" w:cs="Calibri" w:eastAsia="Calibri" w:hAnsi="Calibri"/>
          <w:b/>
          <w:bCs/>
          <w:color w:val="12406E"/>
          <w:sz w:val="25"/>
          <w:szCs w:val="25"/>
        </w:rPr>
        <w:t xml:space="preserve">15.2 Alimentation électrique et continuité de service</w:t>
      </w:r>
    </w:p>
    <w:p>
      <w:pPr>
        <w:spacing w:after="160" w:line="300"/>
        <w:jc w:val="both"/>
      </w:pPr>
      <w:r>
        <w:rPr>
          <w:rFonts w:ascii="Calibri" w:cs="Calibri" w:eastAsia="Calibri" w:hAnsi="Calibri"/>
          <w:color w:val="222831"/>
          <w:sz w:val="21"/>
          <w:szCs w:val="21"/>
        </w:rPr>
        <w:t xml:space="preserve">Les coupures d'électricité (délestages ENEO, pannes locales) sont un facteur d'échec fréquent des projets numériques universitaires camerounais, aussi bien côté serveur local que côté usage terrain (chargement des téléphones, salles informatiques).</w:t>
      </w:r>
    </w:p>
    <w:p>
      <w:pPr>
        <w:pStyle w:val="ListParagraph"/>
        <w:numPr>
          <w:ilvl w:val="0"/>
          <w:numId w:val="1"/>
        </w:numPr>
        <w:spacing w:after="90" w:line="290"/>
        <w:jc w:val="both"/>
      </w:pPr>
      <w:r>
        <w:rPr>
          <w:rFonts w:ascii="Calibri" w:cs="Calibri" w:eastAsia="Calibri" w:hAnsi="Calibri"/>
          <w:color w:val="222831"/>
          <w:sz w:val="21"/>
          <w:szCs w:val="21"/>
        </w:rPr>
        <w:t xml:space="preserve">Le ou les serveurs LiveKit/LAN installés sur le campus doivent être adossés à un onduleur (UPS) dimensionné pour au moins 2 à 4 heures d'autonomie, avec supervision de l'état batterie.</w:t>
      </w:r>
    </w:p>
    <w:p>
      <w:pPr>
        <w:pStyle w:val="ListParagraph"/>
        <w:numPr>
          <w:ilvl w:val="0"/>
          <w:numId w:val="1"/>
        </w:numPr>
        <w:spacing w:after="90" w:line="290"/>
        <w:jc w:val="both"/>
      </w:pPr>
      <w:r>
        <w:rPr>
          <w:rFonts w:ascii="Calibri" w:cs="Calibri" w:eastAsia="Calibri" w:hAnsi="Calibri"/>
          <w:color w:val="222831"/>
          <w:sz w:val="21"/>
          <w:szCs w:val="21"/>
        </w:rPr>
        <w:t xml:space="preserve">Sauvegarde locale automatique avant coupure détectée (signal bas niveau batterie de l'onduleur transmis au serveur).</w:t>
      </w:r>
    </w:p>
    <w:p>
      <w:pPr>
        <w:pStyle w:val="ListParagraph"/>
        <w:numPr>
          <w:ilvl w:val="0"/>
          <w:numId w:val="1"/>
        </w:numPr>
        <w:spacing w:after="90" w:line="290"/>
        <w:jc w:val="both"/>
      </w:pPr>
      <w:r>
        <w:rPr>
          <w:rFonts w:ascii="Calibri" w:cs="Calibri" w:eastAsia="Calibri" w:hAnsi="Calibri"/>
          <w:color w:val="222831"/>
          <w:sz w:val="21"/>
          <w:szCs w:val="21"/>
        </w:rPr>
        <w:t xml:space="preserve">Conception des écrans mobiles pour un usage en session courte et interrompue (sauvegarde continue des formulaires en cours de saisie, jamais de perte de données sur une coupure secteur ou batterie téléphone).</w:t>
      </w:r>
    </w:p>
    <w:p>
      <w:pPr>
        <w:pStyle w:val="ListParagraph"/>
        <w:numPr>
          <w:ilvl w:val="0"/>
          <w:numId w:val="1"/>
        </w:numPr>
        <w:spacing w:after="90" w:line="290"/>
        <w:jc w:val="both"/>
      </w:pPr>
      <w:r>
        <w:rPr>
          <w:rFonts w:ascii="Calibri" w:cs="Calibri" w:eastAsia="Calibri" w:hAnsi="Calibri"/>
          <w:color w:val="222831"/>
          <w:sz w:val="21"/>
          <w:szCs w:val="21"/>
        </w:rPr>
        <w:t xml:space="preserve">Documentation d'installation incluant une check-list matérielle : onduleur, stabilisateur de tension, câblage réseau local, éventuellement un point d'accès Wi-Fi de secours alimenté en solaire pour les sites isolés.</w:t>
      </w:r>
    </w:p>
    <w:p>
      <w:pPr>
        <w:pStyle w:val="Heading2"/>
        <w:spacing w:after="160" w:before="360"/>
      </w:pPr>
      <w:r>
        <w:rPr>
          <w:rFonts w:ascii="Calibri" w:cs="Calibri" w:eastAsia="Calibri" w:hAnsi="Calibri"/>
          <w:b/>
          <w:bCs/>
          <w:color w:val="12406E"/>
          <w:sz w:val="25"/>
          <w:szCs w:val="25"/>
        </w:rPr>
        <w:t xml:space="preserve">15.3 Notifications SMS/USSD en complément du push</w:t>
      </w:r>
    </w:p>
    <w:p>
      <w:pPr>
        <w:spacing w:after="160" w:line="300"/>
        <w:jc w:val="both"/>
      </w:pPr>
      <w:r>
        <w:rPr>
          <w:rFonts w:ascii="Calibri" w:cs="Calibri" w:eastAsia="Calibri" w:hAnsi="Calibri"/>
          <w:color w:val="222831"/>
          <w:sz w:val="21"/>
          <w:szCs w:val="21"/>
        </w:rPr>
        <w:t xml:space="preserve">Les notifications push supposent une application installée, un compte de données actif et une connexion au moment de l'envoi — trois conditions qui ne sont pas toujours réunies. Pour les communications critiques (convocation d'examen, fermeture exceptionnelle, alerte de sécurité), un canal de repli est nécessaire.</w:t>
      </w:r>
    </w:p>
    <w:p>
      <w:pPr>
        <w:pStyle w:val="ListParagraph"/>
        <w:numPr>
          <w:ilvl w:val="0"/>
          <w:numId w:val="1"/>
        </w:numPr>
        <w:spacing w:after="90" w:line="290"/>
        <w:jc w:val="both"/>
      </w:pPr>
      <w:r>
        <w:rPr>
          <w:rFonts w:ascii="Calibri" w:cs="Calibri" w:eastAsia="Calibri" w:hAnsi="Calibri"/>
          <w:color w:val="222831"/>
          <w:sz w:val="21"/>
          <w:szCs w:val="21"/>
        </w:rPr>
        <w:t xml:space="preserve">Passerelle SMS pour les alertes critiques uniquement (pas pour les notifications courantes, afin de maîtriser le coût), avec liste blanche de types d'événements éligibles.</w:t>
      </w:r>
    </w:p>
    <w:p>
      <w:pPr>
        <w:pStyle w:val="ListParagraph"/>
        <w:numPr>
          <w:ilvl w:val="0"/>
          <w:numId w:val="1"/>
        </w:numPr>
        <w:spacing w:after="90" w:line="290"/>
        <w:jc w:val="both"/>
      </w:pPr>
      <w:r>
        <w:rPr>
          <w:rFonts w:ascii="Calibri" w:cs="Calibri" w:eastAsia="Calibri" w:hAnsi="Calibri"/>
          <w:color w:val="222831"/>
          <w:sz w:val="21"/>
          <w:szCs w:val="21"/>
        </w:rPr>
        <w:t xml:space="preserve">Possibilité pour un étudiant sans smartphone (encore fréquent en première année dans certaines filières) de recevoir ses résultats d'appel ou son statut d'inscription par SMS sur simple numéro enregistré.</w:t>
      </w:r>
    </w:p>
    <w:p>
      <w:pPr>
        <w:pStyle w:val="ListParagraph"/>
        <w:numPr>
          <w:ilvl w:val="0"/>
          <w:numId w:val="1"/>
        </w:numPr>
        <w:spacing w:after="90" w:line="290"/>
        <w:jc w:val="both"/>
      </w:pPr>
      <w:r>
        <w:rPr>
          <w:rFonts w:ascii="Calibri" w:cs="Calibri" w:eastAsia="Calibri" w:hAnsi="Calibri"/>
          <w:color w:val="222831"/>
          <w:sz w:val="21"/>
          <w:szCs w:val="21"/>
        </w:rPr>
        <w:t xml:space="preserve">Étude d'une option USSD simplifiée en V3 pour la consultation d'emploi du temps ou de résultats depuis un téléphone basique.</w:t>
      </w:r>
    </w:p>
    <w:p>
      <w:pPr>
        <w:pStyle w:val="Heading2"/>
        <w:spacing w:after="160" w:before="360"/>
      </w:pPr>
      <w:r>
        <w:rPr>
          <w:rFonts w:ascii="Calibri" w:cs="Calibri" w:eastAsia="Calibri" w:hAnsi="Calibri"/>
          <w:b/>
          <w:bCs/>
          <w:color w:val="12406E"/>
          <w:sz w:val="25"/>
          <w:szCs w:val="25"/>
        </w:rPr>
        <w:t xml:space="preserve">15.4 Bilinguisme français / anglais</w:t>
      </w:r>
    </w:p>
    <w:p>
      <w:pPr>
        <w:spacing w:after="160" w:line="300"/>
        <w:jc w:val="both"/>
      </w:pPr>
      <w:r>
        <w:rPr>
          <w:rFonts w:ascii="Calibri" w:cs="Calibri" w:eastAsia="Calibri" w:hAnsi="Calibri"/>
          <w:color w:val="222831"/>
          <w:sz w:val="21"/>
          <w:szCs w:val="21"/>
        </w:rPr>
        <w:t xml:space="preserve">Le système universitaire camerounais est officiellement bilingue : plusieurs universités et une partie des filières fonctionnent entièrement en anglais (système anglo-saxon), notamment dans les régions du Nord-Ouest et du Sud-Ouest. Reléguer l'anglais à une « internationalisation V3 » exclurait de fait une partie significative du public cible dès le lancement.</w:t>
      </w:r>
    </w:p>
    <w:p>
      <w:pPr>
        <w:pStyle w:val="ListParagraph"/>
        <w:numPr>
          <w:ilvl w:val="0"/>
          <w:numId w:val="1"/>
        </w:numPr>
        <w:spacing w:after="90" w:line="290"/>
        <w:jc w:val="both"/>
      </w:pPr>
      <w:r>
        <w:rPr>
          <w:rFonts w:ascii="Calibri" w:cs="Calibri" w:eastAsia="Calibri" w:hAnsi="Calibri"/>
          <w:color w:val="222831"/>
          <w:sz w:val="21"/>
          <w:szCs w:val="21"/>
        </w:rPr>
        <w:t xml:space="preserve">Bascule complète français/anglais de l'interface remontée en V2 (P0), et non plus en V3 générique.</w:t>
      </w:r>
    </w:p>
    <w:p>
      <w:pPr>
        <w:pStyle w:val="ListParagraph"/>
        <w:numPr>
          <w:ilvl w:val="0"/>
          <w:numId w:val="1"/>
        </w:numPr>
        <w:spacing w:after="90" w:line="290"/>
        <w:jc w:val="both"/>
      </w:pPr>
      <w:r>
        <w:rPr>
          <w:rFonts w:ascii="Calibri" w:cs="Calibri" w:eastAsia="Calibri" w:hAnsi="Calibri"/>
          <w:color w:val="222831"/>
          <w:sz w:val="21"/>
          <w:szCs w:val="21"/>
        </w:rPr>
        <w:t xml:space="preserve">Contenus académiques (intitulés d'UE, mentions de diplômes, statuts) stockés avec libellés bilingues dès le modèle de données (colonnes _fr / _en ou table de traduction dédiée), pour éviter une migration lourde ultérieure.</w:t>
      </w:r>
    </w:p>
    <w:p>
      <w:pPr>
        <w:pStyle w:val="ListParagraph"/>
        <w:numPr>
          <w:ilvl w:val="0"/>
          <w:numId w:val="1"/>
        </w:numPr>
        <w:spacing w:after="90" w:line="290"/>
        <w:jc w:val="both"/>
      </w:pPr>
      <w:r>
        <w:rPr>
          <w:rFonts w:ascii="Calibri" w:cs="Calibri" w:eastAsia="Calibri" w:hAnsi="Calibri"/>
          <w:color w:val="222831"/>
          <w:sz w:val="21"/>
          <w:szCs w:val="21"/>
        </w:rPr>
        <w:t xml:space="preserve">Documentation utilisateur et supports de formation produits en français et en anglais dès la V1.</w:t>
      </w:r>
    </w:p>
    <w:p>
      <w:pPr>
        <w:pStyle w:val="Heading2"/>
        <w:spacing w:after="160" w:before="360"/>
      </w:pPr>
      <w:r>
        <w:rPr>
          <w:rFonts w:ascii="Calibri" w:cs="Calibri" w:eastAsia="Calibri" w:hAnsi="Calibri"/>
          <w:b/>
          <w:bCs/>
          <w:color w:val="12406E"/>
          <w:sz w:val="25"/>
          <w:szCs w:val="25"/>
        </w:rPr>
        <w:t xml:space="preserve">15.5 Cadre légal, réglementaire et souveraineté des données</w:t>
      </w:r>
    </w:p>
    <w:p>
      <w:pPr>
        <w:spacing w:after="160" w:line="300"/>
        <w:jc w:val="both"/>
      </w:pPr>
      <w:r>
        <w:rPr>
          <w:rFonts w:ascii="Calibri" w:cs="Calibri" w:eastAsia="Calibri" w:hAnsi="Calibri"/>
          <w:color w:val="222831"/>
          <w:sz w:val="21"/>
          <w:szCs w:val="21"/>
        </w:rPr>
        <w:t xml:space="preserve">Voir également §9.6. Au-delà de la conformité, la question de la localisation des données d'étudiants (mineurs pour une partie des nouveaux inscrits) et de la dépendance à des prestataires étrangers mérite une attention dédiée pour un projet destiné à des institutions publiques.</w:t>
      </w:r>
    </w:p>
    <w:p>
      <w:pPr>
        <w:pStyle w:val="ListParagraph"/>
        <w:numPr>
          <w:ilvl w:val="0"/>
          <w:numId w:val="1"/>
        </w:numPr>
        <w:spacing w:after="90" w:line="290"/>
        <w:jc w:val="both"/>
      </w:pPr>
      <w:r>
        <w:rPr>
          <w:rFonts w:ascii="Calibri" w:cs="Calibri" w:eastAsia="Calibri" w:hAnsi="Calibri"/>
          <w:color w:val="222831"/>
          <w:sz w:val="21"/>
          <w:szCs w:val="21"/>
        </w:rPr>
        <w:t xml:space="preserve">Vérifier auprès de l'ANTIC et du ministère de tutelle les obligations spécifiques aux plateformes traitant des données d'étudiants d'établissements publics.</w:t>
      </w:r>
    </w:p>
    <w:p>
      <w:pPr>
        <w:pStyle w:val="ListParagraph"/>
        <w:numPr>
          <w:ilvl w:val="0"/>
          <w:numId w:val="1"/>
        </w:numPr>
        <w:spacing w:after="90" w:line="290"/>
        <w:jc w:val="both"/>
      </w:pPr>
      <w:r>
        <w:rPr>
          <w:rFonts w:ascii="Calibri" w:cs="Calibri" w:eastAsia="Calibri" w:hAnsi="Calibri"/>
          <w:color w:val="222831"/>
          <w:sz w:val="21"/>
          <w:szCs w:val="21"/>
        </w:rPr>
        <w:t xml:space="preserve">Prévoir une clause contractuelle de réversibilité et d'export complet des données (format ouvert) en cas de changement de prestataire cloud.</w:t>
      </w:r>
    </w:p>
    <w:p>
      <w:pPr>
        <w:pStyle w:val="ListParagraph"/>
        <w:numPr>
          <w:ilvl w:val="0"/>
          <w:numId w:val="1"/>
        </w:numPr>
        <w:spacing w:after="90" w:line="290"/>
        <w:jc w:val="both"/>
      </w:pPr>
      <w:r>
        <w:rPr>
          <w:rFonts w:ascii="Calibri" w:cs="Calibri" w:eastAsia="Calibri" w:hAnsi="Calibri"/>
          <w:color w:val="222831"/>
          <w:sz w:val="21"/>
          <w:szCs w:val="21"/>
        </w:rPr>
        <w:t xml:space="preserve">Documenter clairement, dans la politique de confidentialité, où sont physiquement hébergées les données (pays, prestataire) et sous quel droit elles sont traitées.</w:t>
      </w:r>
    </w:p>
    <w:p>
      <w:pPr>
        <w:pStyle w:val="Heading2"/>
        <w:spacing w:after="160" w:before="360"/>
      </w:pPr>
      <w:r>
        <w:rPr>
          <w:rFonts w:ascii="Calibri" w:cs="Calibri" w:eastAsia="Calibri" w:hAnsi="Calibri"/>
          <w:b/>
          <w:bCs/>
          <w:color w:val="12406E"/>
          <w:sz w:val="25"/>
          <w:szCs w:val="25"/>
        </w:rPr>
        <w:t xml:space="preserve">15.6 Appareils bas de gamme et accessibilité</w:t>
      </w:r>
    </w:p>
    <w:p>
      <w:pPr>
        <w:spacing w:after="160" w:line="300"/>
        <w:jc w:val="both"/>
      </w:pPr>
      <w:r>
        <w:rPr>
          <w:rFonts w:ascii="Calibri" w:cs="Calibri" w:eastAsia="Calibri" w:hAnsi="Calibri"/>
          <w:color w:val="222831"/>
          <w:sz w:val="21"/>
          <w:szCs w:val="21"/>
        </w:rPr>
        <w:t xml:space="preserve">Une part importante des étudiants et délégués utilise des smartphones Android d'entrée de gamme (RAM limitée, stockage réduit, écrans de résolution modeste), et non les appareils haut de gamme habituellement utilisés pour les tests de développement.</w:t>
      </w:r>
    </w:p>
    <w:p>
      <w:pPr>
        <w:pStyle w:val="ListParagraph"/>
        <w:numPr>
          <w:ilvl w:val="0"/>
          <w:numId w:val="1"/>
        </w:numPr>
        <w:spacing w:after="90" w:line="290"/>
        <w:jc w:val="both"/>
      </w:pPr>
      <w:r>
        <w:rPr>
          <w:rFonts w:ascii="Calibri" w:cs="Calibri" w:eastAsia="Calibri" w:hAnsi="Calibri"/>
          <w:color w:val="222831"/>
          <w:sz w:val="21"/>
          <w:szCs w:val="21"/>
        </w:rPr>
        <w:t xml:space="preserve">Cible matérielle minimale explicite : Android 8+, 2 Go de RAM, stockage disponible ≥ 200 Mo — à valider par des tests réguliers sur appareils d'entrée de gamme réels, pas seulement sur émulateur.</w:t>
      </w:r>
    </w:p>
    <w:p>
      <w:pPr>
        <w:pStyle w:val="ListParagraph"/>
        <w:numPr>
          <w:ilvl w:val="0"/>
          <w:numId w:val="1"/>
        </w:numPr>
        <w:spacing w:after="90" w:line="290"/>
        <w:jc w:val="both"/>
      </w:pPr>
      <w:r>
        <w:rPr>
          <w:rFonts w:ascii="Calibri" w:cs="Calibri" w:eastAsia="Calibri" w:hAnsi="Calibri"/>
          <w:color w:val="222831"/>
          <w:sz w:val="21"/>
          <w:szCs w:val="21"/>
        </w:rPr>
        <w:t xml:space="preserve">Mode allégé (« UniFlow Light ») désactivant les animations et le préchargement d'images pour les appareils/limites de connexion contraints.</w:t>
      </w:r>
    </w:p>
    <w:p>
      <w:pPr>
        <w:pStyle w:val="ListParagraph"/>
        <w:numPr>
          <w:ilvl w:val="0"/>
          <w:numId w:val="1"/>
        </w:numPr>
        <w:spacing w:after="90" w:line="290"/>
        <w:jc w:val="both"/>
      </w:pPr>
      <w:r>
        <w:rPr>
          <w:rFonts w:ascii="Calibri" w:cs="Calibri" w:eastAsia="Calibri" w:hAnsi="Calibri"/>
          <w:color w:val="222831"/>
          <w:sz w:val="21"/>
          <w:szCs w:val="21"/>
        </w:rPr>
        <w:t xml:space="preserve">Contraste et taille de police adaptés à une utilisation en plein soleil (salles extérieures, cours en amphithéâtre non climatisé) et à des écrans bas de gamme.</w:t>
      </w:r>
    </w:p>
    <w:p>
      <w:pPr>
        <w:pStyle w:val="Heading2"/>
        <w:spacing w:after="160" w:before="360"/>
      </w:pPr>
      <w:r>
        <w:rPr>
          <w:rFonts w:ascii="Calibri" w:cs="Calibri" w:eastAsia="Calibri" w:hAnsi="Calibri"/>
          <w:b/>
          <w:bCs/>
          <w:color w:val="12406E"/>
          <w:sz w:val="25"/>
          <w:szCs w:val="25"/>
        </w:rPr>
        <w:t xml:space="preserve">15.7 Formation, accompagnement au changement et fracture numérique</w:t>
      </w:r>
    </w:p>
    <w:p>
      <w:pPr>
        <w:spacing w:after="160" w:line="300"/>
        <w:jc w:val="both"/>
      </w:pPr>
      <w:r>
        <w:rPr>
          <w:rFonts w:ascii="Calibri" w:cs="Calibri" w:eastAsia="Calibri" w:hAnsi="Calibri"/>
          <w:color w:val="222831"/>
          <w:sz w:val="21"/>
          <w:szCs w:val="21"/>
        </w:rPr>
        <w:t xml:space="preserve">Le taux d'adoption d'un outil de gestion universitaire dépend autant de la qualité technique que de l'accompagnement humain, en particulier pour le personnel administratif senior parfois peu familier des outils numériques.</w:t>
      </w:r>
    </w:p>
    <w:p>
      <w:pPr>
        <w:pStyle w:val="ListParagraph"/>
        <w:numPr>
          <w:ilvl w:val="0"/>
          <w:numId w:val="1"/>
        </w:numPr>
        <w:spacing w:after="90" w:line="290"/>
        <w:jc w:val="both"/>
      </w:pPr>
      <w:r>
        <w:rPr>
          <w:rFonts w:ascii="Calibri" w:cs="Calibri" w:eastAsia="Calibri" w:hAnsi="Calibri"/>
          <w:color w:val="222831"/>
          <w:sz w:val="21"/>
          <w:szCs w:val="21"/>
        </w:rPr>
        <w:t xml:space="preserve">Prévoir, en plus de la documentation, des sessions de formation en présentiel pour le personnel administratif, les délégués et les enseignants lors du déploiement pilote.</w:t>
      </w:r>
    </w:p>
    <w:p>
      <w:pPr>
        <w:pStyle w:val="ListParagraph"/>
        <w:numPr>
          <w:ilvl w:val="0"/>
          <w:numId w:val="1"/>
        </w:numPr>
        <w:spacing w:after="90" w:line="290"/>
        <w:jc w:val="both"/>
      </w:pPr>
      <w:r>
        <w:rPr>
          <w:rFonts w:ascii="Calibri" w:cs="Calibri" w:eastAsia="Calibri" w:hAnsi="Calibri"/>
          <w:color w:val="222831"/>
          <w:sz w:val="21"/>
          <w:szCs w:val="21"/>
        </w:rPr>
        <w:t xml:space="preserve">Concevoir des parcours d'onboarding in-app progressifs plutôt qu'un manuel unique, avec captures d'écran et non uniquement du texte.</w:t>
      </w:r>
    </w:p>
    <w:p>
      <w:pPr>
        <w:pStyle w:val="ListParagraph"/>
        <w:numPr>
          <w:ilvl w:val="0"/>
          <w:numId w:val="1"/>
        </w:numPr>
        <w:spacing w:after="90" w:line="290"/>
        <w:jc w:val="both"/>
      </w:pPr>
      <w:r>
        <w:rPr>
          <w:rFonts w:ascii="Calibri" w:cs="Calibri" w:eastAsia="Calibri" w:hAnsi="Calibri"/>
          <w:color w:val="222831"/>
          <w:sz w:val="21"/>
          <w:szCs w:val="21"/>
        </w:rPr>
        <w:t xml:space="preserve">Désigner, par établissement pilote, un référent numérique local (souvent un enseignant ou un étudiant delegate technophile) formé en amont pour assurer le support de premier niveau.</w:t>
      </w:r>
    </w:p>
    <w:p>
      <w:pPr>
        <w:pStyle w:val="Heading2"/>
        <w:spacing w:after="160" w:before="360"/>
      </w:pPr>
      <w:r>
        <w:rPr>
          <w:rFonts w:ascii="Calibri" w:cs="Calibri" w:eastAsia="Calibri" w:hAnsi="Calibri"/>
          <w:b/>
          <w:bCs/>
          <w:color w:val="12406E"/>
          <w:sz w:val="25"/>
          <w:szCs w:val="25"/>
        </w:rPr>
        <w:t xml:space="preserve">15.8 Modèle économique adapté au contexte institutionnel</w:t>
      </w:r>
    </w:p>
    <w:p>
      <w:pPr>
        <w:spacing w:after="160" w:line="300"/>
        <w:jc w:val="both"/>
      </w:pPr>
      <w:r>
        <w:rPr>
          <w:rFonts w:ascii="Calibri" w:cs="Calibri" w:eastAsia="Calibri" w:hAnsi="Calibri"/>
          <w:color w:val="222831"/>
          <w:sz w:val="21"/>
          <w:szCs w:val="21"/>
        </w:rPr>
        <w:t xml:space="preserve">Les universités publiques camerounaises fonctionnent avec des budgets d'investissement numérique contraints et des cycles budgétaires annuels rigides ; les établissements privés ont davantage de flexibilité mais des volumes plus faibles. L'application elle-même reste entièrement gratuite et open source : aucun module de paiement n'est intégré ni prévu.</w:t>
      </w:r>
    </w:p>
    <w:p>
      <w:pPr>
        <w:pStyle w:val="ListParagraph"/>
        <w:numPr>
          <w:ilvl w:val="0"/>
          <w:numId w:val="1"/>
        </w:numPr>
        <w:spacing w:after="90" w:line="290"/>
        <w:jc w:val="both"/>
      </w:pPr>
      <w:r>
        <w:rPr>
          <w:rFonts w:ascii="Calibri" w:cs="Calibri" w:eastAsia="Calibri" w:hAnsi="Calibri"/>
          <w:color w:val="222831"/>
          <w:sz w:val="21"/>
          <w:szCs w:val="21"/>
        </w:rPr>
        <w:t xml:space="preserve">Modèle « cœur gratuit / service d'hébergement en option » : le socle logiciel reste gratuit et auto-hébergeable (licence MIT) ; seul un service d'hébergement clé-en-main assuré par KERNEL FORGE peut être facturé en option aux établissements sans équipe technique interne — l'application ne facture jamais l'utilisateur final.</w:t>
      </w:r>
    </w:p>
    <w:p>
      <w:pPr>
        <w:pStyle w:val="ListParagraph"/>
        <w:numPr>
          <w:ilvl w:val="0"/>
          <w:numId w:val="1"/>
        </w:numPr>
        <w:spacing w:after="90" w:line="290"/>
        <w:jc w:val="both"/>
      </w:pPr>
      <w:r>
        <w:rPr>
          <w:rFonts w:ascii="Calibri" w:cs="Calibri" w:eastAsia="Calibri" w:hAnsi="Calibri"/>
          <w:color w:val="222831"/>
          <w:sz w:val="21"/>
          <w:szCs w:val="21"/>
        </w:rPr>
        <w:t xml:space="preserve">Grille tarifaire de ce service d'hébergement, si souscrit, alignée sur les cycles budgétaires universitaires (facturation annuelle plutôt que mensuelle).</w:t>
      </w:r>
    </w:p>
    <w:p>
      <w:pPr>
        <w:pStyle w:val="ListParagraph"/>
        <w:numPr>
          <w:ilvl w:val="0"/>
          <w:numId w:val="1"/>
        </w:numPr>
        <w:spacing w:after="90" w:line="290"/>
        <w:jc w:val="both"/>
      </w:pPr>
      <w:r>
        <w:rPr>
          <w:rFonts w:ascii="Calibri" w:cs="Calibri" w:eastAsia="Calibri" w:hAnsi="Calibri"/>
          <w:color w:val="222831"/>
          <w:sz w:val="21"/>
          <w:szCs w:val="21"/>
        </w:rPr>
        <w:t xml:space="preserve">Argumentaire de coût total de possession (TCO) comparé à Pronote/solutions commerciales, mettant en avant l'absence de licence récurrente en devises étrangères.</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16. Organisation de l'équipe et gouvernance du projet</w:t>
      </w:r>
    </w:p>
    <w:p>
      <w:pPr>
        <w:spacing w:after="220"/>
      </w:pPr>
      <w:r>
        <w:rPr>
          <w:rFonts w:ascii="Calibri" w:cs="Calibri" w:eastAsia="Calibri" w:hAnsi="Calibri"/>
          <w:i/>
          <w:iCs/>
          <w:color w:val="5B6472"/>
          <w:sz w:val="21"/>
          <w:szCs w:val="21"/>
        </w:rPr>
        <w:t xml:space="preserve">Ce chapitre précise le portage opérationnel du projet : qui pilote, qui fait quoi, sur quelle durée, selon quelle méthodologie, selon quel rythme de suivi, et sur quelle plateforme collaborative. Il concerne la livraison encadrée sur 4 semaines réalisée par le collectif KERNEL FORGE, selon une méthodologie de prototypage itératif.</w:t>
      </w:r>
    </w:p>
    <w:p>
      <w:pPr>
        <w:pStyle w:val="Heading2"/>
        <w:spacing w:after="160" w:before="360"/>
      </w:pPr>
      <w:r>
        <w:rPr>
          <w:rFonts w:ascii="Calibri" w:cs="Calibri" w:eastAsia="Calibri" w:hAnsi="Calibri"/>
          <w:b/>
          <w:bCs/>
          <w:color w:val="12406E"/>
          <w:sz w:val="25"/>
          <w:szCs w:val="25"/>
        </w:rPr>
        <w:t xml:space="preserve">16.1 Équipe projet</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3062"/>
        <w:gridCol w:w="4491"/>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Rôle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Responsable</w:t>
            </w:r>
          </w:p>
        </w:tc>
        <w:tc>
          <w:tcPr>
            <w:tcW w:type="dxa" w:w="449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Missions principales</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Chef d'équipe / Lead technique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NGHOMSI FEUKOUO Ravel — « Archlord »</w:t>
            </w:r>
          </w:p>
        </w:tc>
        <w:tc>
          <w:tcPr>
            <w:tcW w:type="dxa" w:w="449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Coordination générale du projet, arbitrages d'architecture, supervision de la qualité et des délais, interface avec l'encadrement académique, administration de l'organisation GitHub, revue finale des livrables.</w:t>
            </w:r>
          </w:p>
        </w:tc>
      </w:tr>
    </w:tbl>
    <w:p>
      <w:pPr>
        <w:spacing w:after="160" w:line="300"/>
        <w:jc w:val="both"/>
      </w:pPr>
      <w:r>
        <w:rPr>
          <w:rFonts w:ascii="Calibri" w:cs="Calibri" w:eastAsia="Calibri" w:hAnsi="Calibri"/>
          <w:color w:val="222831"/>
          <w:sz w:val="21"/>
          <w:szCs w:val="21"/>
        </w:rPr>
        <w:t xml:space="preserve">Le chef d'équipe agit comme point de convergence entre les sous-équipes : il valide les choix techniques structurants (décrits aux chapitres 6 à 8), arbitre les priorités en cas de conflit de planning, et représente le projet lors des soutenances ou revues institutionnelles.</w:t>
      </w:r>
    </w:p>
    <w:p>
      <w:pPr>
        <w:pStyle w:val="Heading2"/>
        <w:spacing w:after="160" w:before="360"/>
      </w:pPr>
      <w:r>
        <w:rPr>
          <w:rFonts w:ascii="Calibri" w:cs="Calibri" w:eastAsia="Calibri" w:hAnsi="Calibri"/>
          <w:b/>
          <w:bCs/>
          <w:color w:val="12406E"/>
          <w:sz w:val="25"/>
          <w:szCs w:val="25"/>
        </w:rPr>
        <w:t xml:space="preserve">16.2 Sous-équipes de travail</w:t>
      </w:r>
    </w:p>
    <w:p>
      <w:pPr>
        <w:spacing w:after="160" w:line="300"/>
        <w:jc w:val="both"/>
      </w:pPr>
      <w:r>
        <w:rPr>
          <w:rFonts w:ascii="Calibri" w:cs="Calibri" w:eastAsia="Calibri" w:hAnsi="Calibri"/>
          <w:color w:val="222831"/>
          <w:sz w:val="21"/>
          <w:szCs w:val="21"/>
        </w:rPr>
        <w:t xml:space="preserve">L'équipe KERNEL FORGE est répartie en sous-équipes fonctionnelles, chacune rattachée à un périmètre technique cohérent avec l'architecture décrite au chapitre 6. La répartition ci-dessous est indicative et à ajuster selon les membres effectivement disponibles pour ce sprint de 4 semaines.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062"/>
        <w:gridCol w:w="4695"/>
        <w:gridCol w:w="2449"/>
      </w:tblGrid>
      <w:tr>
        <w:trPr>
          <w:tblHeader/>
        </w:trPr>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Sous-équipe</w:t>
            </w:r>
          </w:p>
        </w:tc>
        <w:tc>
          <w:tcPr>
            <w:tcW w:type="dxa" w:w="469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Périmètre</w:t>
            </w:r>
          </w:p>
        </w:tc>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Membres indicatifs</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Mobile &amp; Desktop (Flutter)</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Écrans, navigation (GoRouter), state management (Riverpod), intégration UI/UX</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Backend (NestJS)</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API REST, authentification JWT/RBAC, modules métier, base PostgreSQL/Prisma</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Offline &amp; Synchronisation</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Base locale Drift/SQLite, moteur Outbox, résolution de conflits</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DevOps &amp; Qualité</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Docker, CI/CD GitHub Actions, tests unitaires/intégration, supervision</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Documentation &amp; Design</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Cahier des charges, identité visuelle, supports de présentation/formation</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Coordination</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Chef d'équipe — arbitrages transverses et suivi global</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w:t>
            </w:r>
          </w:p>
        </w:tc>
      </w:tr>
    </w:tbl>
    <w:p>
      <w:pPr>
        <w:spacing w:after="220"/>
      </w:pPr>
      <w:r>
        <w:rPr>
          <w:rFonts w:ascii="Calibri" w:cs="Calibri" w:eastAsia="Calibri" w:hAnsi="Calibri"/>
          <w:i/>
          <w:iCs/>
          <w:color w:val="5B6472"/>
          <w:sz w:val="21"/>
          <w:szCs w:val="21"/>
        </w:rPr>
        <w:t xml:space="preserve">Total indicatif : 8 membres, conforme à l'effectif habituel du collectif KERNEL FORGE. Les noms nominatifs des membres de chaque sous-équipe sont à renseigner dans le tableau de suivi interne avant le lancement (voir §16.5).</w:t>
      </w:r>
    </w:p>
    <w:p>
      <w:pPr>
        <w:pStyle w:val="Heading2"/>
        <w:spacing w:after="160" w:before="360"/>
      </w:pPr>
      <w:r>
        <w:rPr>
          <w:rFonts w:ascii="Calibri" w:cs="Calibri" w:eastAsia="Calibri" w:hAnsi="Calibri"/>
          <w:b/>
          <w:bCs/>
          <w:color w:val="12406E"/>
          <w:sz w:val="25"/>
          <w:szCs w:val="25"/>
        </w:rPr>
        <w:t xml:space="preserve">16.3 Méthodologie et planning sur 4 semaines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0E7A80"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0E7A80"/>
                <w:sz w:val="20"/>
                <w:szCs w:val="20"/>
              </w:rPr>
              <w:t xml:space="preserve">Méthodologie de prototypage itératif</w:t>
            </w:r>
          </w:p>
          <w:p>
            <w:pPr>
              <w:spacing w:after="0"/>
              <w:jc w:val="both"/>
            </w:pPr>
            <w:r>
              <w:rPr>
                <w:rFonts w:ascii="Calibri" w:cs="Calibri" w:eastAsia="Calibri" w:hAnsi="Calibri"/>
                <w:color w:val="222831"/>
                <w:sz w:val="20"/>
                <w:szCs w:val="20"/>
              </w:rPr>
              <w:t xml:space="preserve">Le projet suit une méthodologie de prototypage : chaque semaine produit une version incrémentale, démontrable et testable de l'application (et non un unique livrable figé en fin de course). Chaque itération est confrontée à un retour (auto-évaluation de l'équipe, avis de l'encadrement) qui oriente les ajustements de l'itération suivante. Cette approche réduit le risque propre à un délai court : un socle fonctionnel existe dès la fin de la semaine 2, et les semaines 3-4 raffinent et fiabilisent ce socle plutôt que d'ajouter des fonctionnalités non testées à la dernière minute.</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8A5A00"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8A5A00"/>
                <w:sz w:val="20"/>
                <w:szCs w:val="20"/>
              </w:rPr>
              <w:t xml:space="preserve">Périmètre de ce sprint</w:t>
            </w:r>
          </w:p>
          <w:p>
            <w:pPr>
              <w:spacing w:after="0"/>
              <w:jc w:val="both"/>
            </w:pPr>
            <w:r>
              <w:rPr>
                <w:rFonts w:ascii="Calibri" w:cs="Calibri" w:eastAsia="Calibri" w:hAnsi="Calibri"/>
                <w:color w:val="222831"/>
                <w:sz w:val="20"/>
                <w:szCs w:val="20"/>
              </w:rPr>
              <w:t xml:space="preserve">Une durée de 4 semaines ne permet pas de couvrir l'intégralité du MVP V1 décrit au chapitre 14 (estimé à 4-6 mois). Ce planning correspond à un cycle de prototypage produisant un socle technique fonctionnel et démontrable — authentification, un module métier central, emploi du temps basique, présence basique, prototype de synchronisation offline — qui sert de fondation à la suite du développement planifiée au chapitre 14. Aucun module de paiement n'entre dans ce périmètre : l'application n'en comporte pas (voir §16.6).</w:t>
            </w:r>
          </w:p>
        </w:tc>
      </w:tr>
    </w:tbl>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654"/>
        <w:gridCol w:w="5103"/>
        <w:gridCol w:w="2449"/>
      </w:tblGrid>
      <w:tr>
        <w:trPr>
          <w:tblHeader/>
        </w:trPr>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Semaine</w:t>
            </w:r>
          </w:p>
        </w:tc>
        <w:tc>
          <w:tcPr>
            <w:tcW w:type="dxa" w:w="5103"/>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Itération / objectifs</w:t>
            </w:r>
          </w:p>
        </w:tc>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Sous-équipes mobilisées</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Semaine 1 — Prototype 0 : cadrage &amp; fondations</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Mise en place de l'organisation GitHub et des dépôts, architecture technique validée, schéma de base de données initial, maquettes basse fidélité des écrans clés, authentification JWT de base, squelette des projets Flutter et NestJS.</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Toutes (kickoff commun), puis Backend + Documentation en tête</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Semaine 2 — Prototype 1 : socle fonctionnel</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CRUD étudiants/enseignants/UE, écran d'emploi du temps simplifié, module de présence basique, premier prototype de synchronisation offline (lecture/écriture locale + file Outbox). Démonstration interne de fin de semaine et recueil des retours.</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Mobile/Desktop, Backend, Offline &amp; Synchronisation</w:t>
            </w:r>
          </w:p>
        </w:tc>
      </w:tr>
      <w:tr>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Semaine 3 — Prototype 2 : raffinement</w:t>
            </w:r>
          </w:p>
        </w:tc>
        <w:tc>
          <w:tcPr>
            <w:tcW w:type="dxa" w:w="5103"/>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Intégration des retours de la semaine 2, fiabilisation de la synchronisation offline, finalisation des écrans, premiers tests automatisés, corrections d'anomalies identifiées lors de la démonstration.</w:t>
            </w:r>
          </w:p>
        </w:tc>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Mobile/Desktop, Backend, Offline &amp; Synchronisation, DevOps &amp; Qualité</w:t>
            </w:r>
          </w:p>
        </w:tc>
      </w:tr>
      <w:tr>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Semaine 4 — Prototype final : tests, documentation et démonstration</w:t>
            </w:r>
          </w:p>
        </w:tc>
        <w:tc>
          <w:tcPr>
            <w:tcW w:type="dxa" w:w="5103"/>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Tests d'intégration bout-en-bout, corrections finales, finalisation de la documentation (cahier des charges, README, guide d'installation), préparation et répétition de la soutenance/démonstration finale.</w:t>
            </w:r>
          </w:p>
        </w:tc>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DevOps &amp; Qualité, Documentation, Coordination — appui de toutes les sous-équipes</w:t>
            </w:r>
          </w:p>
        </w:tc>
      </w:tr>
    </w:tbl>
    <w:p>
      <w:pPr>
        <w:pStyle w:val="Heading2"/>
        <w:spacing w:after="160" w:before="360"/>
      </w:pPr>
      <w:r>
        <w:rPr>
          <w:rFonts w:ascii="Calibri" w:cs="Calibri" w:eastAsia="Calibri" w:hAnsi="Calibri"/>
          <w:b/>
          <w:bCs/>
          <w:color w:val="12406E"/>
          <w:sz w:val="25"/>
          <w:szCs w:val="25"/>
        </w:rPr>
        <w:t xml:space="preserve">16.4 Réunions de suivi (Meet)</w:t>
      </w:r>
    </w:p>
    <w:p>
      <w:pPr>
        <w:spacing w:after="160" w:line="300"/>
        <w:jc w:val="both"/>
      </w:pPr>
      <w:r>
        <w:rPr>
          <w:rFonts w:ascii="Calibri" w:cs="Calibri" w:eastAsia="Calibri" w:hAnsi="Calibri"/>
          <w:color w:val="222831"/>
          <w:sz w:val="21"/>
          <w:szCs w:val="21"/>
        </w:rPr>
        <w:t xml:space="preserve">Le suivi du projet s'appuie sur des séances de visioconférence régulières (Google Meet), complétées par des échanges courts sur un canal de messagerie d'équipe pour les mises à jour quotidiennes. Le rythme des réunions est calé sur les itérations hebdomadaires du prototypage : chaque fin de semaine donne lieu à une démonstration de l'incrément produit.</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245"/>
        <w:gridCol w:w="2041"/>
        <w:gridCol w:w="2245"/>
        <w:gridCol w:w="3674"/>
      </w:tblGrid>
      <w:tr>
        <w:trPr>
          <w:tblHeader/>
        </w:trPr>
        <w:tc>
          <w:tcPr>
            <w:tcW w:type="dxa" w:w="224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 de réunion</w:t>
            </w:r>
          </w:p>
        </w:tc>
        <w:tc>
          <w:tcPr>
            <w:tcW w:type="dxa" w:w="2041"/>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Fréquence</w:t>
            </w:r>
          </w:p>
        </w:tc>
        <w:tc>
          <w:tcPr>
            <w:tcW w:type="dxa" w:w="224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Participants</w:t>
            </w:r>
          </w:p>
        </w:tc>
        <w:tc>
          <w:tcPr>
            <w:tcW w:type="dxa" w:w="367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Objectif</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Kickoff</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fois — début de semaine 1</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Toute l'équipe</w:t>
            </w:r>
          </w:p>
        </w:tc>
        <w:tc>
          <w:tcPr>
            <w:tcW w:type="dxa" w:w="367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Cadrer les objectifs, valider la répartition des sous-équipes, lancer le dépôt GitHub</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Point de suivi (Meet)</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 fois par semaine</w:t>
            </w:r>
          </w:p>
        </w:tc>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Toute l'équipe</w:t>
            </w:r>
          </w:p>
        </w:tc>
        <w:tc>
          <w:tcPr>
            <w:tcW w:type="dxa" w:w="367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Avancement par sous-équipe, déblocage des points durs, ajustement des priorités</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Stand-up court</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Quotidien (asynchrone ou 10-15 min)</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Toute l'équipe</w:t>
            </w:r>
          </w:p>
        </w:tc>
        <w:tc>
          <w:tcPr>
            <w:tcW w:type="dxa" w:w="367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Ce qui a été fait / ce qui est prévu / blocages, via le canal de messagerie du projet</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Revue d'itération (fin de semaine)</w:t>
            </w:r>
          </w:p>
        </w:tc>
        <w:tc>
          <w:tcPr>
            <w:tcW w:type="dxa" w:w="2041"/>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fois par semaine</w:t>
            </w:r>
          </w:p>
        </w:tc>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Toute l'équipe + chef d'équipe</w:t>
            </w:r>
          </w:p>
        </w:tc>
        <w:tc>
          <w:tcPr>
            <w:tcW w:type="dxa" w:w="367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Démonstration du prototype de la semaine, retours, ajustement de l'itération suivante</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Soutenance / démonstration finale</w:t>
            </w:r>
          </w:p>
        </w:tc>
        <w:tc>
          <w:tcPr>
            <w:tcW w:type="dxa" w:w="2041"/>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fois — fin de semaine 4</w:t>
            </w:r>
          </w:p>
        </w:tc>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Toute l'équipe + encadrement</w:t>
            </w:r>
          </w:p>
        </w:tc>
        <w:tc>
          <w:tcPr>
            <w:tcW w:type="dxa" w:w="367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Présentation du prototype final et de la documentation complète</w:t>
            </w:r>
          </w:p>
        </w:tc>
      </w:tr>
    </w:tbl>
    <w:p>
      <w:pPr>
        <w:spacing w:after="220"/>
      </w:pPr>
      <w:r>
        <w:rPr>
          <w:rFonts w:ascii="Calibri" w:cs="Calibri" w:eastAsia="Calibri" w:hAnsi="Calibri"/>
          <w:i/>
          <w:iCs/>
          <w:color w:val="5B6472"/>
          <w:sz w:val="21"/>
          <w:szCs w:val="21"/>
        </w:rPr>
        <w:t xml:space="preserve">Chaque réunion Meet fait l'objet d'un compte-rendu court archivé dans le dépôt GitHub (dossier /docs/comptes-rendus), pour assurer la traçabilité des décisions même en cas d'absence ponctuelle d'un membre.</w:t>
      </w:r>
    </w:p>
    <w:p>
      <w:pPr>
        <w:pStyle w:val="Heading2"/>
        <w:spacing w:after="160" w:before="360"/>
      </w:pPr>
      <w:r>
        <w:rPr>
          <w:rFonts w:ascii="Calibri" w:cs="Calibri" w:eastAsia="Calibri" w:hAnsi="Calibri"/>
          <w:b/>
          <w:bCs/>
          <w:color w:val="12406E"/>
          <w:sz w:val="25"/>
          <w:szCs w:val="25"/>
        </w:rPr>
        <w:t xml:space="preserve">16.5 Gouvernance GitHub</w:t>
      </w:r>
    </w:p>
    <w:p>
      <w:pPr>
        <w:pStyle w:val="ListParagraph"/>
        <w:numPr>
          <w:ilvl w:val="0"/>
          <w:numId w:val="1"/>
        </w:numPr>
        <w:spacing w:after="90" w:line="290"/>
        <w:jc w:val="both"/>
      </w:pPr>
      <w:r>
        <w:rPr>
          <w:rFonts w:ascii="Calibri" w:cs="Calibri" w:eastAsia="Calibri" w:hAnsi="Calibri"/>
          <w:color w:val="222831"/>
          <w:sz w:val="21"/>
          <w:szCs w:val="21"/>
        </w:rPr>
        <w:t xml:space="preserve">Le projet est hébergé sur l'organisation GitHub KERNEL-FORGE-G, sous un ou plusieurs dépôts publics dédiés à UniFlow (ex. uniflow-backend, uniflow-mobile, uniflow-docs, ou un mono-repo selon la préférence de l'équipe).</w:t>
      </w:r>
    </w:p>
    <w:p>
      <w:pPr>
        <w:pStyle w:val="ListParagraph"/>
        <w:numPr>
          <w:ilvl w:val="0"/>
          <w:numId w:val="1"/>
        </w:numPr>
        <w:spacing w:after="90" w:line="290"/>
        <w:jc w:val="both"/>
      </w:pPr>
      <w:r>
        <w:rPr>
          <w:rFonts w:ascii="Calibri" w:cs="Calibri" w:eastAsia="Calibri" w:hAnsi="Calibri"/>
          <w:color w:val="222831"/>
          <w:sz w:val="21"/>
          <w:szCs w:val="21"/>
        </w:rPr>
        <w:t xml:space="preserve">Branche main protégée (merge uniquement via Pull Request revue) ; branche develop d'intégration ; branches feature/&lt;nom-du-module&gt; pour chaque tâche.</w:t>
      </w:r>
    </w:p>
    <w:p>
      <w:pPr>
        <w:pStyle w:val="ListParagraph"/>
        <w:numPr>
          <w:ilvl w:val="0"/>
          <w:numId w:val="1"/>
        </w:numPr>
        <w:spacing w:after="90" w:line="290"/>
        <w:jc w:val="both"/>
      </w:pPr>
      <w:r>
        <w:rPr>
          <w:rFonts w:ascii="Calibri" w:cs="Calibri" w:eastAsia="Calibri" w:hAnsi="Calibri"/>
          <w:color w:val="222831"/>
          <w:sz w:val="21"/>
          <w:szCs w:val="21"/>
        </w:rPr>
        <w:t xml:space="preserve">Toute Pull Request est relue par le chef d'équipe ou un référent de la sous-équipe concernée avant fusion.</w:t>
      </w:r>
    </w:p>
    <w:p>
      <w:pPr>
        <w:pStyle w:val="ListParagraph"/>
        <w:numPr>
          <w:ilvl w:val="0"/>
          <w:numId w:val="1"/>
        </w:numPr>
        <w:spacing w:after="90" w:line="290"/>
        <w:jc w:val="both"/>
      </w:pPr>
      <w:r>
        <w:rPr>
          <w:rFonts w:ascii="Calibri" w:cs="Calibri" w:eastAsia="Calibri" w:hAnsi="Calibri"/>
          <w:color w:val="222831"/>
          <w:sz w:val="21"/>
          <w:szCs w:val="21"/>
        </w:rPr>
        <w:t xml:space="preserve">Suivi des tâches via GitHub Projects (vue Kanban : À faire / En cours / En revue / Terminé), organisé par itération hebdomadaire conformément au §16.3.</w:t>
      </w:r>
    </w:p>
    <w:p>
      <w:pPr>
        <w:pStyle w:val="ListParagraph"/>
        <w:numPr>
          <w:ilvl w:val="0"/>
          <w:numId w:val="1"/>
        </w:numPr>
        <w:spacing w:after="90" w:line="290"/>
        <w:jc w:val="both"/>
      </w:pPr>
      <w:r>
        <w:rPr>
          <w:rFonts w:ascii="Calibri" w:cs="Calibri" w:eastAsia="Calibri" w:hAnsi="Calibri"/>
          <w:color w:val="222831"/>
          <w:sz w:val="21"/>
          <w:szCs w:val="21"/>
        </w:rPr>
        <w:t xml:space="preserve">Pipeline CI (GitHub Actions) activé dès la semaine 1 pour le lint et les tests de base, complété progressivement jusqu'à la semaine 4 (voir §11.4).</w:t>
      </w:r>
    </w:p>
    <w:p>
      <w:pPr>
        <w:pStyle w:val="ListParagraph"/>
        <w:numPr>
          <w:ilvl w:val="0"/>
          <w:numId w:val="1"/>
        </w:numPr>
        <w:spacing w:after="90" w:line="290"/>
        <w:jc w:val="both"/>
      </w:pPr>
      <w:r>
        <w:rPr>
          <w:rFonts w:ascii="Calibri" w:cs="Calibri" w:eastAsia="Calibri" w:hAnsi="Calibri"/>
          <w:color w:val="222831"/>
          <w:sz w:val="21"/>
          <w:szCs w:val="21"/>
        </w:rPr>
        <w:t xml:space="preserve">Fichiers de gouvernance à la racine : LICENSE (MIT), README.md, CONTRIBUTING.md, CODE_OF_CONDUCT.md.</w:t>
      </w:r>
    </w:p>
    <w:p>
      <w:pPr>
        <w:pStyle w:val="Heading2"/>
        <w:spacing w:after="160" w:before="360"/>
      </w:pPr>
      <w:r>
        <w:rPr>
          <w:rFonts w:ascii="Calibri" w:cs="Calibri" w:eastAsia="Calibri" w:hAnsi="Calibri"/>
          <w:b/>
          <w:bCs/>
          <w:color w:val="12406E"/>
          <w:sz w:val="25"/>
          <w:szCs w:val="25"/>
        </w:rPr>
        <w:t xml:space="preserve">16.6 Nature du projet : 100% open source, sans aucun module de paiement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2E6B3E"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2E6B3E"/>
                <w:sz w:val="20"/>
                <w:szCs w:val="20"/>
              </w:rPr>
              <w:t xml:space="preserve">Périmètre confirmé</w:t>
            </w:r>
          </w:p>
          <w:p>
            <w:pPr>
              <w:spacing w:after="0"/>
              <w:jc w:val="both"/>
            </w:pPr>
            <w:r>
              <w:rPr>
                <w:rFonts w:ascii="Calibri" w:cs="Calibri" w:eastAsia="Calibri" w:hAnsi="Calibri"/>
                <w:color w:val="222831"/>
                <w:sz w:val="20"/>
                <w:szCs w:val="20"/>
              </w:rPr>
              <w:t xml:space="preserve">Ce projet est strictement open source (licence MIT, voir §1.1) et ne comporte, à aucune phase, de module de paiement ni de monétisation destinée à l'utilisateur final : l'application ne gère ni ne gèrera de frais de scolarité, de facturation ou de transaction financière. L'ensemble du code source, de la documentation et des livrables est publié publiquement sur l'organisation GitHub KERNEL-FORGE-G, librement réutilisable, modifiable et redistribuable par toute université ou tout établissement selon les termes de la licence MIT.</w:t>
            </w:r>
          </w:p>
        </w:tc>
      </w:tr>
    </w:tbl>
    <w:p>
      <w:pPr>
        <w:pStyle w:val="Heading2"/>
        <w:spacing w:after="160" w:before="360"/>
      </w:pPr>
      <w:r>
        <w:rPr>
          <w:rFonts w:ascii="Calibri" w:cs="Calibri" w:eastAsia="Calibri" w:hAnsi="Calibri"/>
          <w:b/>
          <w:bCs/>
          <w:color w:val="12406E"/>
          <w:sz w:val="25"/>
          <w:szCs w:val="25"/>
        </w:rPr>
        <w:t xml:space="preserve">16.7 Tests utilisateurs avec des groupes d'étudiants pilotes</w:t>
      </w:r>
    </w:p>
    <w:p>
      <w:pPr>
        <w:spacing w:after="160" w:line="300"/>
        <w:jc w:val="both"/>
      </w:pPr>
      <w:r>
        <w:rPr>
          <w:rFonts w:ascii="Calibri" w:cs="Calibri" w:eastAsia="Calibri" w:hAnsi="Calibri"/>
          <w:color w:val="222831"/>
          <w:sz w:val="21"/>
          <w:szCs w:val="21"/>
        </w:rPr>
        <w:t xml:space="preserve">Conformément à la méthodologie de prototypage retenue (§16.3), la validation ne repose pas uniquement sur les tests internes de l'équipe : chaque prototype hebdomadaire est confronté à de véritables groupes d'étudiants, dans des conditions d'usage réelles. C'est ce retour de terrain, et non une simple relecture de code, qui oriente le raffinement de l'itération suivante.</w:t>
      </w:r>
    </w:p>
    <w:p>
      <w:pPr>
        <w:pStyle w:val="Heading3"/>
        <w:spacing w:after="120" w:before="220"/>
      </w:pPr>
      <w:r>
        <w:rPr>
          <w:rFonts w:ascii="Calibri" w:cs="Calibri" w:eastAsia="Calibri" w:hAnsi="Calibri"/>
          <w:b/>
          <w:bCs/>
          <w:color w:val="0E7A80"/>
          <w:sz w:val="21"/>
          <w:szCs w:val="21"/>
        </w:rPr>
        <w:t xml:space="preserve">Constitution des groupes pilotes</w:t>
      </w:r>
    </w:p>
    <w:p>
      <w:pPr>
        <w:pStyle w:val="ListParagraph"/>
        <w:numPr>
          <w:ilvl w:val="0"/>
          <w:numId w:val="1"/>
        </w:numPr>
        <w:spacing w:after="90" w:line="290"/>
        <w:jc w:val="both"/>
      </w:pPr>
      <w:r>
        <w:rPr>
          <w:rFonts w:ascii="Calibri" w:cs="Calibri" w:eastAsia="Calibri" w:hAnsi="Calibri"/>
          <w:color w:val="222831"/>
          <w:sz w:val="21"/>
          <w:szCs w:val="21"/>
        </w:rPr>
        <w:t xml:space="preserve">2 à 3 groupes pilotes volontaires, idéalement issus de filières et de niveaux différents, pour couvrir des usages variés (grand amphithéâtre vs petite promotion, filière scientifique vs filière littéraire).</w:t>
      </w:r>
    </w:p>
    <w:p>
      <w:pPr>
        <w:pStyle w:val="ListParagraph"/>
        <w:numPr>
          <w:ilvl w:val="0"/>
          <w:numId w:val="1"/>
        </w:numPr>
        <w:spacing w:after="90" w:line="290"/>
        <w:jc w:val="both"/>
      </w:pPr>
      <w:r>
        <w:rPr>
          <w:rFonts w:ascii="Calibri" w:cs="Calibri" w:eastAsia="Calibri" w:hAnsi="Calibri"/>
          <w:color w:val="222831"/>
          <w:sz w:val="21"/>
          <w:szCs w:val="21"/>
        </w:rPr>
        <w:t xml:space="preserve">10 à 15 étudiants par groupe, incluant systématiquement le délégué de la filière/niveau concerné, premier utilisateur du module de présence.</w:t>
      </w:r>
    </w:p>
    <w:p>
      <w:pPr>
        <w:pStyle w:val="ListParagraph"/>
        <w:numPr>
          <w:ilvl w:val="0"/>
          <w:numId w:val="1"/>
        </w:numPr>
        <w:spacing w:after="90" w:line="290"/>
        <w:jc w:val="both"/>
      </w:pPr>
      <w:r>
        <w:rPr>
          <w:rFonts w:ascii="Calibri" w:cs="Calibri" w:eastAsia="Calibri" w:hAnsi="Calibri"/>
          <w:color w:val="222831"/>
          <w:sz w:val="21"/>
          <w:szCs w:val="21"/>
        </w:rPr>
        <w:t xml:space="preserve">Au moins un enseignant volontaire associé, pour tester le point de vue « côté cours » (création de séance, marquage de présence, visioconférence).</w:t>
      </w:r>
    </w:p>
    <w:p>
      <w:pPr>
        <w:pStyle w:val="ListParagraph"/>
        <w:numPr>
          <w:ilvl w:val="0"/>
          <w:numId w:val="1"/>
        </w:numPr>
        <w:spacing w:after="90" w:line="290"/>
        <w:jc w:val="both"/>
      </w:pPr>
      <w:r>
        <w:rPr>
          <w:rFonts w:ascii="Calibri" w:cs="Calibri" w:eastAsia="Calibri" w:hAnsi="Calibri"/>
          <w:color w:val="222831"/>
          <w:sz w:val="21"/>
          <w:szCs w:val="21"/>
        </w:rPr>
        <w:t xml:space="preserve">Effort de mixité des appareils : le panel doit inclure des smartphones d'entrée de gamme, pas seulement les appareils de test de l'équipe (cohérence avec l'exigence §15.6 sur les appareils bas de gamme).</w:t>
      </w:r>
    </w:p>
    <w:p>
      <w:pPr>
        <w:pStyle w:val="Heading3"/>
        <w:spacing w:after="120" w:before="220"/>
      </w:pPr>
      <w:r>
        <w:rPr>
          <w:rFonts w:ascii="Calibri" w:cs="Calibri" w:eastAsia="Calibri" w:hAnsi="Calibri"/>
          <w:b/>
          <w:bCs/>
          <w:color w:val="0E7A80"/>
          <w:sz w:val="21"/>
          <w:szCs w:val="21"/>
        </w:rPr>
        <w:t xml:space="preserve">Calendrier des sessions de test</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245"/>
        <w:gridCol w:w="5307"/>
        <w:gridCol w:w="2654"/>
      </w:tblGrid>
      <w:tr>
        <w:trPr>
          <w:tblHeader/>
        </w:trPr>
        <w:tc>
          <w:tcPr>
            <w:tcW w:type="dxa" w:w="224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Semaine</w:t>
            </w:r>
          </w:p>
        </w:tc>
        <w:tc>
          <w:tcPr>
            <w:tcW w:type="dxa" w:w="530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Ce qui est testé</w:t>
            </w:r>
          </w:p>
        </w:tc>
        <w:tc>
          <w:tcPr>
            <w:tcW w:type="dxa" w:w="265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Avec qui</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Fin de semaine 2</w:t>
            </w:r>
          </w:p>
        </w:tc>
        <w:tc>
          <w:tcPr>
            <w:tcW w:type="dxa" w:w="530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Prototype 1 : parcours d'authentification, consultation des UE, écran d'emploi du temps</w:t>
            </w:r>
          </w:p>
        </w:tc>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 groupe pilote restreint (5-8 étudiants) — test exploratoire court</w:t>
            </w:r>
          </w:p>
        </w:tc>
      </w:tr>
      <w:tr>
        <w:tc>
          <w:tcPr>
            <w:tcW w:type="dxa" w:w="224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Fin de semaine 3</w:t>
            </w:r>
          </w:p>
        </w:tc>
        <w:tc>
          <w:tcPr>
            <w:tcW w:type="dxa" w:w="530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Prototype 2 : marquage de présence en conditions réelles (en salle, en direct), mode hors ligne (Wi-Fi coupé volontairement)</w:t>
            </w:r>
          </w:p>
        </w:tc>
        <w:tc>
          <w:tcPr>
            <w:tcW w:type="dxa" w:w="265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 à 3 groupes pilotes complets, avec le(s) délégué(s)</w:t>
            </w:r>
          </w:p>
        </w:tc>
      </w:tr>
      <w:tr>
        <w:tc>
          <w:tcPr>
            <w:tcW w:type="dxa" w:w="224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Semaine 4</w:t>
            </w:r>
          </w:p>
        </w:tc>
        <w:tc>
          <w:tcPr>
            <w:tcW w:type="dxa" w:w="530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Prototype final : parcours complet de bout en bout, incluant la visioconférence en mode local</w:t>
            </w:r>
          </w:p>
        </w:tc>
        <w:tc>
          <w:tcPr>
            <w:tcW w:type="dxa" w:w="265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Ensemble des groupes pilotes + séance de démonstration/soutenance</w:t>
            </w:r>
          </w:p>
        </w:tc>
      </w:tr>
    </w:tbl>
    <w:p>
      <w:pPr>
        <w:pStyle w:val="Heading3"/>
        <w:spacing w:after="120" w:before="220"/>
      </w:pPr>
      <w:r>
        <w:rPr>
          <w:rFonts w:ascii="Calibri" w:cs="Calibri" w:eastAsia="Calibri" w:hAnsi="Calibri"/>
          <w:b/>
          <w:bCs/>
          <w:color w:val="0E7A80"/>
          <w:sz w:val="21"/>
          <w:szCs w:val="21"/>
        </w:rPr>
        <w:t xml:space="preserve">Protocole de session</w:t>
      </w:r>
    </w:p>
    <w:p>
      <w:pPr>
        <w:pStyle w:val="ListParagraph"/>
        <w:numPr>
          <w:ilvl w:val="0"/>
          <w:numId w:val="1"/>
        </w:numPr>
        <w:spacing w:after="90" w:line="290"/>
        <w:jc w:val="both"/>
      </w:pPr>
      <w:r>
        <w:rPr>
          <w:rFonts w:ascii="Calibri" w:cs="Calibri" w:eastAsia="Calibri" w:hAnsi="Calibri"/>
          <w:color w:val="222831"/>
          <w:sz w:val="21"/>
          <w:szCs w:val="21"/>
        </w:rPr>
        <w:t xml:space="preserve">Sessions encadrées par un membre des sous-équipes Documentation &amp; Design ou DevOps &amp; Qualité, jamais laissées en autonomie totale pour la première utilisation.</w:t>
      </w:r>
    </w:p>
    <w:p>
      <w:pPr>
        <w:pStyle w:val="ListParagraph"/>
        <w:numPr>
          <w:ilvl w:val="0"/>
          <w:numId w:val="1"/>
        </w:numPr>
        <w:spacing w:after="90" w:line="290"/>
        <w:jc w:val="both"/>
      </w:pPr>
      <w:r>
        <w:rPr>
          <w:rFonts w:ascii="Calibri" w:cs="Calibri" w:eastAsia="Calibri" w:hAnsi="Calibri"/>
          <w:color w:val="222831"/>
          <w:sz w:val="21"/>
          <w:szCs w:val="21"/>
        </w:rPr>
        <w:t xml:space="preserve">Scénarios guidés courts (ex. « inscrivez-vous à une UE », « marquez la présence de votre groupe », « consultez votre emploi du temps hors connexion »), 30 à 45 minutes par session.</w:t>
      </w:r>
    </w:p>
    <w:p>
      <w:pPr>
        <w:pStyle w:val="ListParagraph"/>
        <w:numPr>
          <w:ilvl w:val="0"/>
          <w:numId w:val="1"/>
        </w:numPr>
        <w:spacing w:after="90" w:line="290"/>
        <w:jc w:val="both"/>
      </w:pPr>
      <w:r>
        <w:rPr>
          <w:rFonts w:ascii="Calibri" w:cs="Calibri" w:eastAsia="Calibri" w:hAnsi="Calibri"/>
          <w:color w:val="222831"/>
          <w:sz w:val="21"/>
          <w:szCs w:val="21"/>
        </w:rPr>
        <w:t xml:space="preserve">Un scénario dédié force la coupure réseau en cours de session, afin de valider concrètement le comportement offline plutôt que de le supposer.</w:t>
      </w:r>
    </w:p>
    <w:p>
      <w:pPr>
        <w:pStyle w:val="ListParagraph"/>
        <w:numPr>
          <w:ilvl w:val="0"/>
          <w:numId w:val="1"/>
        </w:numPr>
        <w:spacing w:after="90" w:line="290"/>
        <w:jc w:val="both"/>
      </w:pPr>
      <w:r>
        <w:rPr>
          <w:rFonts w:ascii="Calibri" w:cs="Calibri" w:eastAsia="Calibri" w:hAnsi="Calibri"/>
          <w:color w:val="222831"/>
          <w:sz w:val="21"/>
          <w:szCs w:val="21"/>
        </w:rPr>
        <w:t xml:space="preserve">Recueil des retours par un questionnaire de satisfaction court (type SUS simplifié) et par une discussion ouverte de fin de session.</w:t>
      </w:r>
    </w:p>
    <w:p>
      <w:pPr>
        <w:pStyle w:val="ListParagraph"/>
        <w:numPr>
          <w:ilvl w:val="0"/>
          <w:numId w:val="1"/>
        </w:numPr>
        <w:spacing w:after="90" w:line="290"/>
        <w:jc w:val="both"/>
      </w:pPr>
      <w:r>
        <w:rPr>
          <w:rFonts w:ascii="Calibri" w:cs="Calibri" w:eastAsia="Calibri" w:hAnsi="Calibri"/>
          <w:color w:val="222831"/>
          <w:sz w:val="21"/>
          <w:szCs w:val="21"/>
        </w:rPr>
        <w:t xml:space="preserve">Tout bug ou friction remonté est consigné en direct dans GitHub Issues (voir §16.5), catégorisé par gravité, pour alimenter le raffinement de l'itération suivante.</w:t>
      </w:r>
    </w:p>
    <w:p>
      <w:pPr>
        <w:pStyle w:val="Heading3"/>
        <w:spacing w:after="120" w:before="220"/>
      </w:pPr>
      <w:r>
        <w:rPr>
          <w:rFonts w:ascii="Calibri" w:cs="Calibri" w:eastAsia="Calibri" w:hAnsi="Calibri"/>
          <w:b/>
          <w:bCs/>
          <w:color w:val="0E7A80"/>
          <w:sz w:val="21"/>
          <w:szCs w:val="21"/>
        </w:rPr>
        <w:t xml:space="preserve">Indicateurs suivis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6124"/>
        <w:gridCol w:w="4082"/>
      </w:tblGrid>
      <w:tr>
        <w:trPr>
          <w:tblHeader/>
        </w:trPr>
        <w:tc>
          <w:tcPr>
            <w:tcW w:type="dxa" w:w="612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408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indicative</w:t>
            </w:r>
          </w:p>
        </w:tc>
      </w:tr>
      <w:tr>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Taux de complétion des scénarios guidés</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&gt; 85%</w:t>
            </w:r>
          </w:p>
        </w:tc>
      </w:tr>
      <w:tr>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Nombre de bugs bloquants remontés par session</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 baisse d'une itération à l'autre</w:t>
            </w:r>
          </w:p>
        </w:tc>
      </w:tr>
      <w:tr>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Score de satisfaction (SUS simplifié)</w:t>
            </w:r>
          </w:p>
        </w:tc>
        <w:tc>
          <w:tcPr>
            <w:tcW w:type="dxa" w:w="408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&gt; 70/100 dès le Prototype 2</w:t>
            </w:r>
          </w:p>
        </w:tc>
      </w:tr>
      <w:tr>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Réussite du scénario « mode hors ligne »</w:t>
            </w:r>
          </w:p>
        </w:tc>
        <w:tc>
          <w:tcPr>
            <w:tcW w:type="dxa" w:w="408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100% des groupes testés</w:t>
            </w:r>
          </w:p>
        </w:tc>
      </w:tr>
    </w:tbl>
    <w:p>
      <w:pPr>
        <w:spacing w:after="220"/>
      </w:pPr>
      <w:r>
        <w:rPr>
          <w:rFonts w:ascii="Calibri" w:cs="Calibri" w:eastAsia="Calibri" w:hAnsi="Calibri"/>
          <w:i/>
          <w:iCs/>
          <w:color w:val="5B6472"/>
          <w:sz w:val="21"/>
          <w:szCs w:val="21"/>
        </w:rPr>
        <w:t xml:space="preserve">Ces tests avec des groupes d'étudiants réels sont la meilleure garantie que le socle livré en fin de semaine 4 (chapitre 16.3) répond effectivement aux usages de terrain décrits au chapitre 1, et non uniquement aux hypothèses de l'équipe de développement.</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17. Risques et mitigations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3062"/>
        <w:gridCol w:w="1429"/>
        <w:gridCol w:w="1429"/>
        <w:gridCol w:w="4287"/>
      </w:tblGrid>
      <w:tr>
        <w:trPr>
          <w:tblHeader/>
        </w:trPr>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Risque</w:t>
            </w:r>
          </w:p>
        </w:tc>
        <w:tc>
          <w:tcPr>
            <w:tcW w:type="dxa" w:w="142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Probabilité</w:t>
            </w:r>
          </w:p>
        </w:tc>
        <w:tc>
          <w:tcPr>
            <w:tcW w:type="dxa" w:w="142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Impact</w:t>
            </w:r>
          </w:p>
        </w:tc>
        <w:tc>
          <w:tcPr>
            <w:tcW w:type="dxa" w:w="428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Complexité de la synchronisation offline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w:t>
            </w:r>
          </w:p>
        </w:tc>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Librairies éprouvées (Drift + pattern Outbox), prototype dès le Sprint 1</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Intégration Electron + Flutter Desktop</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Moyenne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w:t>
            </w:r>
          </w:p>
        </w:tc>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Backend distant pour le MVP ; évaluation de Tauri 2 en V2</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Performance WebRTC en milieu universitaire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Moyenne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w:t>
            </w:r>
          </w:p>
        </w:tc>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LiveKit auto-hébergé, tests réseau local intensifs dès le Sprint 2</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Taille et disponibilité des équipes de dev</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Variable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w:t>
            </w:r>
          </w:p>
        </w:tc>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Priorisation stricte du MVP, architecture modulaire, sous-équipes dédiées (§16.2)</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Adoption par les utilisateurs finaux</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Moyenne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w:t>
            </w:r>
          </w:p>
        </w:tc>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UX soignée, formation, accompagnement au changement (§15.7)</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Dépendance aux services cloud (Supabase/Firebase)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Faible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w:t>
            </w:r>
          </w:p>
        </w:tc>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Architecture offline-first, migration technique possible</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Dépendance clé à LiveKit</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Moyenne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w:t>
            </w:r>
          </w:p>
        </w:tc>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Solution open source auto-hébergeable, alternative possible</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Coupures électriques répétées sur site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w:t>
            </w:r>
          </w:p>
        </w:tc>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Onduleurs dimensionnés, sauvegarde préventive, mode offline robuste (§15.2)</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Coût de la donnée mobile freinant l'adoption étudiante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w:t>
            </w:r>
          </w:p>
        </w:tc>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Delta sync, compression, mode Wi-Fi uniquement (§15.1)</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Paiement par carte internationale difficile d'accès (services cloud)</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Moyenne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w:t>
            </w:r>
          </w:p>
        </w:tc>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Carte virtuelle en devises anticipée au budget, fournisseurs alternatifs identifiés</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Non-conformité au droit camerounais des données personnelles</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Faible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w:t>
            </w:r>
          </w:p>
        </w:tc>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Revue juridique locale avant déploiement, clause de réversibilité des données</w:t>
            </w:r>
          </w:p>
        </w:tc>
      </w:tr>
      <w:tr>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Délai de 4 semaines nécessitant un cadrage strict du périmètre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Élevée</w:t>
            </w:r>
          </w:p>
        </w:tc>
        <w:tc>
          <w:tcPr>
            <w:tcW w:type="dxa" w:w="142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w:t>
            </w:r>
          </w:p>
        </w:tc>
        <w:tc>
          <w:tcPr>
            <w:tcW w:type="dxa" w:w="428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Méthodologie de prototypage itératif (§16.3), recentrage sur un socle démontrable, reste du périmètre repoussé au planning V1 (chapitre 14)</w:t>
            </w:r>
          </w:p>
        </w:tc>
      </w:tr>
      <w:tr>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Faible disponibilité ou désistement des groupes d'étudiants pilotes</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Moyenne</w:t>
            </w:r>
          </w:p>
        </w:tc>
        <w:tc>
          <w:tcPr>
            <w:tcW w:type="dxa" w:w="142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Moyen</w:t>
            </w:r>
          </w:p>
        </w:tc>
        <w:tc>
          <w:tcPr>
            <w:tcW w:type="dxa" w:w="428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 à 3 groupes pressentis dès la semaine 1 (§16.7), sessions courtes (30-45 min), créneaux calés sur les emplois du temps existants</w:t>
            </w:r>
          </w:p>
        </w:tc>
      </w:tr>
    </w:tbl>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18. Livrables attendus</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816"/>
        <w:gridCol w:w="6124"/>
        <w:gridCol w:w="3266"/>
      </w:tblGrid>
      <w:tr>
        <w:trPr>
          <w:tblHeader/>
        </w:trPr>
        <w:tc>
          <w:tcPr>
            <w:tcW w:type="dxa" w:w="816"/>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6124"/>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Livrable</w:t>
            </w:r>
          </w:p>
        </w:tc>
        <w:tc>
          <w:tcPr>
            <w:tcW w:type="dxa" w:w="3266"/>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Format</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Application Desktop (Windows + Linux)</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Installateur (.exe, .AppImage, .deb)</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2</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Application Mobile (Android)</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APK + Play Store</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3</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Backend API</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Image Docker + documentation Swagger</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4</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Documentation technique</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Markdown (dossier /docs), bilingue FR/EN</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5</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Guide utilisateur</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PDF / Markdown, bilingue FR/EN</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6</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Tests unitaires et d'intégration</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Couverture &gt; 70%</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7</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Pipeline CI/CD</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GitHub Actions</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8</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Base de données documentée</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Schéma ERD + migrations Prisma</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9</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Check-list d'installation site (onduleur, réseau local, LiveKit)</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Fiche pratique imprimable</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10</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Dépôt(s) de code source</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Organisation GitHub KERNEL-FORGE-G, licence MIT, public</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11</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Cahier des charges complet</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Fichier .docx et fichier .pdf, versionnés dans le dépôt /docs</w:t>
            </w:r>
          </w:p>
        </w:tc>
      </w:tr>
      <w:tr>
        <w:tc>
          <w:tcPr>
            <w:tcW w:type="dxa" w:w="81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12</w:t>
            </w:r>
          </w:p>
        </w:tc>
        <w:tc>
          <w:tcPr>
            <w:tcW w:type="dxa" w:w="61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Comptes-rendus des réunions Meet</w:t>
            </w:r>
          </w:p>
        </w:tc>
        <w:tc>
          <w:tcPr>
            <w:tcW w:type="dxa" w:w="326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Markdown, dossier /docs/comptes-rendus</w:t>
            </w:r>
          </w:p>
        </w:tc>
      </w:tr>
      <w:tr>
        <w:tc>
          <w:tcPr>
            <w:tcW w:type="dxa" w:w="81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13</w:t>
            </w:r>
          </w:p>
        </w:tc>
        <w:tc>
          <w:tcPr>
            <w:tcW w:type="dxa" w:w="6124"/>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Rapports de tests utilisateurs (groupes pilotes)</w:t>
            </w:r>
          </w:p>
        </w:tc>
        <w:tc>
          <w:tcPr>
            <w:tcW w:type="dxa" w:w="3266"/>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Questionnaires SUS + synthèse, dossier /docs/tests-pilotes</w:t>
            </w:r>
          </w:p>
        </w:tc>
      </w:tr>
    </w:tbl>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19. Système de rémunération par formules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3F5F8" w:sz="2"/>
              <w:left w:val="single" w:color="A32E28" w:sz="24"/>
              <w:bottom w:val="single" w:color="F3F5F8" w:sz="2"/>
              <w:right w:val="single" w:color="F3F5F8" w:sz="2"/>
            </w:tcBorders>
            <w:shd w:fill="F3F5F8" w:val="clear"/>
            <w:tcMar>
              <w:top w:type="dxa" w:w="160"/>
              <w:left w:type="dxa" w:w="200"/>
              <w:bottom w:type="dxa" w:w="160"/>
              <w:right w:type="dxa" w:w="200"/>
            </w:tcMar>
          </w:tcPr>
          <w:p>
            <w:pPr>
              <w:spacing w:after="80"/>
            </w:pPr>
            <w:r>
              <w:rPr>
                <w:rFonts w:ascii="Calibri" w:cs="Calibri" w:eastAsia="Calibri" w:hAnsi="Calibri"/>
                <w:b/>
                <w:bCs/>
                <w:color w:val="A32E28"/>
                <w:sz w:val="20"/>
                <w:szCs w:val="20"/>
              </w:rPr>
              <w:t xml:space="preserve">Priorité et positionnement dans le temps</w:t>
            </w:r>
          </w:p>
          <w:p>
            <w:pPr>
              <w:spacing w:after="0"/>
              <w:jc w:val="both"/>
            </w:pPr>
            <w:r>
              <w:rPr>
                <w:rFonts w:ascii="Calibri" w:cs="Calibri" w:eastAsia="Calibri" w:hAnsi="Calibri"/>
                <w:color w:val="222831"/>
                <w:sz w:val="20"/>
                <w:szCs w:val="20"/>
              </w:rPr>
              <w:t xml:space="preserve">Ce chapitre décrit une piste d'évolution à très long terme, à ne considérer qu'en tout dernier recours, une fois l'ensemble des chapitres 1 à 18 livrés, stabilisés et adoptés. Elle n'entre dans aucune version du périmètre technique actuel (ni le prototype de 4 semaines du chapitre 16, ni le MVP V1/V2/V3 du chapitre 14) et ne doit pas être anticipée dans l'architecture avant que le besoin ne soit formellement validé par l'équipe et les établissements partenaires.</w:t>
            </w:r>
          </w:p>
        </w:tc>
      </w:tr>
    </w:tbl>
    <w:p>
      <w:pPr>
        <w:spacing w:after="160" w:line="300"/>
        <w:jc w:val="both"/>
      </w:pPr>
      <w:r>
        <w:rPr>
          <w:rFonts w:ascii="Calibri" w:cs="Calibri" w:eastAsia="Calibri" w:hAnsi="Calibri"/>
          <w:color w:val="222831"/>
          <w:sz w:val="21"/>
          <w:szCs w:val="21"/>
        </w:rPr>
        <w:t xml:space="preserve">UniFlow reste, dans son cœur (gestion académique, emplois du temps, présences, visioconférence, synchronisation offline), strictement gratuit, open source et sans transaction financière d'aucune sorte — ceci ne change pas. La piste décrite ici ne concerne ni les étudiants, ni les frais de scolarité, ni les établissements : elle porte exclusivement sur un éventuel modèle de contribution volontaire au profit des membres de l'équipe KERNEL FORGE elle-même, à titre de reconnaissance du travail fourni sur la durée.</w:t>
      </w:r>
    </w:p>
    <w:p>
      <w:pPr>
        <w:pStyle w:val="Heading2"/>
        <w:spacing w:after="160" w:before="360"/>
      </w:pPr>
      <w:r>
        <w:rPr>
          <w:rFonts w:ascii="Calibri" w:cs="Calibri" w:eastAsia="Calibri" w:hAnsi="Calibri"/>
          <w:b/>
          <w:bCs/>
          <w:color w:val="12406E"/>
          <w:sz w:val="25"/>
          <w:szCs w:val="25"/>
        </w:rPr>
        <w:t xml:space="preserve">19.1 Principe général</w:t>
      </w:r>
    </w:p>
    <w:p>
      <w:pPr>
        <w:pStyle w:val="ListParagraph"/>
        <w:numPr>
          <w:ilvl w:val="0"/>
          <w:numId w:val="1"/>
        </w:numPr>
        <w:spacing w:after="90" w:line="290"/>
        <w:jc w:val="both"/>
      </w:pPr>
      <w:r>
        <w:rPr>
          <w:rFonts w:ascii="Calibri" w:cs="Calibri" w:eastAsia="Calibri" w:hAnsi="Calibri"/>
          <w:color w:val="222831"/>
          <w:sz w:val="21"/>
          <w:szCs w:val="21"/>
        </w:rPr>
        <w:t xml:space="preserve">Un système de « formules » (paliers de contribution volontaire) pourrait être proposé aux utilisateurs ou établissements qui souhaitent soutenir financièrement le collectif, en complément — jamais en substitution — du socle gratuit.</w:t>
      </w:r>
    </w:p>
    <w:p>
      <w:pPr>
        <w:pStyle w:val="ListParagraph"/>
        <w:numPr>
          <w:ilvl w:val="0"/>
          <w:numId w:val="1"/>
        </w:numPr>
        <w:spacing w:after="90" w:line="290"/>
        <w:jc w:val="both"/>
      </w:pPr>
      <w:r>
        <w:rPr>
          <w:rFonts w:ascii="Calibri" w:cs="Calibri" w:eastAsia="Calibri" w:hAnsi="Calibri"/>
          <w:color w:val="222831"/>
          <w:sz w:val="21"/>
          <w:szCs w:val="21"/>
        </w:rPr>
        <w:t xml:space="preserve">Aucune fonctionnalité académique, pédagogique ou administrative essentielle ne serait placée derrière une formule payante : le principe de gratuité du cœur de plateforme reste non négociable.</w:t>
      </w:r>
    </w:p>
    <w:p>
      <w:pPr>
        <w:pStyle w:val="ListParagraph"/>
        <w:numPr>
          <w:ilvl w:val="0"/>
          <w:numId w:val="1"/>
        </w:numPr>
        <w:spacing w:after="90" w:line="290"/>
        <w:jc w:val="both"/>
      </w:pPr>
      <w:r>
        <w:rPr>
          <w:rFonts w:ascii="Calibri" w:cs="Calibri" w:eastAsia="Calibri" w:hAnsi="Calibri"/>
          <w:color w:val="222831"/>
          <w:sz w:val="21"/>
          <w:szCs w:val="21"/>
        </w:rPr>
        <w:t xml:space="preserve">Les avantages associés à une formule resteraient de nature secondaire ou de confort (voir §19.2), jamais de nature à créer une inégalité d'accès à l'éducation entre étudiants d'un même établissement.</w:t>
      </w:r>
    </w:p>
    <w:p>
      <w:pPr>
        <w:pStyle w:val="Heading2"/>
        <w:spacing w:after="160" w:before="360"/>
      </w:pPr>
      <w:r>
        <w:rPr>
          <w:rFonts w:ascii="Calibri" w:cs="Calibri" w:eastAsia="Calibri" w:hAnsi="Calibri"/>
          <w:b/>
          <w:bCs/>
          <w:color w:val="12406E"/>
          <w:sz w:val="25"/>
          <w:szCs w:val="25"/>
        </w:rPr>
        <w:t xml:space="preserve">19.2 Esquisse de formules (à valider, non figée)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449"/>
        <w:gridCol w:w="3062"/>
        <w:gridCol w:w="4695"/>
      </w:tblGrid>
      <w:tr>
        <w:trPr>
          <w:tblHeader/>
        </w:trPr>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Formule</w:t>
            </w:r>
          </w:p>
        </w:tc>
        <w:tc>
          <w:tcPr>
            <w:tcW w:type="dxa" w:w="3062"/>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Positionnement</w:t>
            </w:r>
          </w:p>
        </w:tc>
        <w:tc>
          <w:tcPr>
            <w:tcW w:type="dxa" w:w="4695"/>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Avantages envisagés (indicatifs)</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Formule Essentielle (gratuite)</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Socle par défaut, pour tous</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Ensemble complet des fonctionnalités académiques décrites aux chapitres 4 et 14 — aucune restriction</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Formule Soutien</w:t>
            </w:r>
          </w:p>
        </w:tc>
        <w:tc>
          <w:tcPr>
            <w:tcW w:type="dxa" w:w="306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Contribution volontaire modeste</w:t>
            </w:r>
          </w:p>
        </w:tc>
        <w:tc>
          <w:tcPr>
            <w:tcW w:type="dxa" w:w="4695"/>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Badge de soutien visible sur le profil, thèmes visuels additionnels, priorité de traitement des tickets de support communautaire</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Formule Partenaire (établissement)</w:t>
            </w:r>
          </w:p>
        </w:tc>
        <w:tc>
          <w:tcPr>
            <w:tcW w:type="dxa" w:w="3062"/>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Contribution d'un établissement souhaitant un accompagnement renforcé</w:t>
            </w:r>
          </w:p>
        </w:tc>
        <w:tc>
          <w:tcPr>
            <w:tcW w:type="dxa" w:w="4695"/>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Accès prioritaire à l'assistance à l'installation/déploiement, formation approfondie sur site, statut de partenaire affiché publiquement</w:t>
            </w:r>
          </w:p>
        </w:tc>
      </w:tr>
    </w:tbl>
    <w:p>
      <w:pPr>
        <w:spacing w:after="220"/>
      </w:pPr>
      <w:r>
        <w:rPr>
          <w:rFonts w:ascii="Calibri" w:cs="Calibri" w:eastAsia="Calibri" w:hAnsi="Calibri"/>
          <w:i/>
          <w:iCs/>
          <w:color w:val="5B6472"/>
          <w:sz w:val="21"/>
          <w:szCs w:val="21"/>
        </w:rPr>
        <w:t xml:space="preserve">Cette grille est une esquisse de travail, à affiner très en aval du projet ; aucun avantage ne doit toucher à l'exactitude des notes, à la validité des présences, à l'accès aux cours ou à toute donnée académique officielle.</w:t>
      </w:r>
    </w:p>
    <w:p>
      <w:pPr>
        <w:pStyle w:val="Heading2"/>
        <w:spacing w:after="160" w:before="360"/>
      </w:pPr>
      <w:r>
        <w:rPr>
          <w:rFonts w:ascii="Calibri" w:cs="Calibri" w:eastAsia="Calibri" w:hAnsi="Calibri"/>
          <w:b/>
          <w:bCs/>
          <w:color w:val="12406E"/>
          <w:sz w:val="25"/>
          <w:szCs w:val="25"/>
        </w:rPr>
        <w:t xml:space="preserve">19.3 Conditions préalables à toute implémentation</w:t>
      </w:r>
    </w:p>
    <w:p>
      <w:pPr>
        <w:pStyle w:val="ListParagraph"/>
        <w:numPr>
          <w:ilvl w:val="0"/>
          <w:numId w:val="1"/>
        </w:numPr>
        <w:spacing w:after="90" w:line="290"/>
        <w:jc w:val="both"/>
      </w:pPr>
      <w:r>
        <w:rPr>
          <w:rFonts w:ascii="Calibri" w:cs="Calibri" w:eastAsia="Calibri" w:hAnsi="Calibri"/>
          <w:color w:val="222831"/>
          <w:sz w:val="21"/>
          <w:szCs w:val="21"/>
        </w:rPr>
        <w:t xml:space="preserve">Le socle fonctionnel des chapitres 1 à 18 doit être livré, stable et utilisé en conditions réelles depuis une durée significative avant d'envisager ce chapitre.</w:t>
      </w:r>
    </w:p>
    <w:p>
      <w:pPr>
        <w:pStyle w:val="ListParagraph"/>
        <w:numPr>
          <w:ilvl w:val="0"/>
          <w:numId w:val="1"/>
        </w:numPr>
        <w:spacing w:after="90" w:line="290"/>
        <w:jc w:val="both"/>
      </w:pPr>
      <w:r>
        <w:rPr>
          <w:rFonts w:ascii="Calibri" w:cs="Calibri" w:eastAsia="Calibri" w:hAnsi="Calibri"/>
          <w:color w:val="222831"/>
          <w:sz w:val="21"/>
          <w:szCs w:val="21"/>
        </w:rPr>
        <w:t xml:space="preserve">Une revue juridique et éthique dédiée devra confirmer qu'aucune disposition ne contrevient à la mission d'accessibilité du projet ni au cadre légal camerounais (voir §15.5).</w:t>
      </w:r>
    </w:p>
    <w:p>
      <w:pPr>
        <w:pStyle w:val="ListParagraph"/>
        <w:numPr>
          <w:ilvl w:val="0"/>
          <w:numId w:val="1"/>
        </w:numPr>
        <w:spacing w:after="90" w:line="290"/>
        <w:jc w:val="both"/>
      </w:pPr>
      <w:r>
        <w:rPr>
          <w:rFonts w:ascii="Calibri" w:cs="Calibri" w:eastAsia="Calibri" w:hAnsi="Calibri"/>
          <w:color w:val="222831"/>
          <w:sz w:val="21"/>
          <w:szCs w:val="21"/>
        </w:rPr>
        <w:t xml:space="preserve">Le système devra être conçu comme un module strictement optionnel et détachable de l'architecture cœur, sans dépendance technique du reste de la plateforme envers lui.</w:t>
      </w:r>
    </w:p>
    <w:p>
      <w:pPr>
        <w:pStyle w:val="ListParagraph"/>
        <w:numPr>
          <w:ilvl w:val="0"/>
          <w:numId w:val="1"/>
        </w:numPr>
        <w:spacing w:after="90" w:line="290"/>
        <w:jc w:val="both"/>
      </w:pPr>
      <w:r>
        <w:rPr>
          <w:rFonts w:ascii="Calibri" w:cs="Calibri" w:eastAsia="Calibri" w:hAnsi="Calibri"/>
          <w:color w:val="222831"/>
          <w:sz w:val="21"/>
          <w:szCs w:val="21"/>
        </w:rPr>
        <w:t xml:space="preserve">La décision de le développer appartient au chef d'équipe et au collectif KERNEL FORGE dans son ensemble, et non à une seule sous-équipe.</w:t>
      </w:r>
    </w:p>
    <w:p>
      <w:pPr>
        <w:pStyle w:val="Heading1"/>
        <w:pageBreakBefore/>
        <w:pBdr>
          <w:bottom w:val="single" w:color="0E7A80" w:sz="10" w:space="6"/>
        </w:pBdr>
        <w:spacing w:after="240" w:before="0"/>
      </w:pPr>
      <w:r>
        <w:rPr>
          <w:rFonts w:ascii="Calibri" w:cs="Calibri" w:eastAsia="Calibri" w:hAnsi="Calibri"/>
          <w:b/>
          <w:bCs/>
          <w:color w:val="12406E"/>
          <w:sz w:val="30"/>
          <w:szCs w:val="30"/>
        </w:rPr>
        <w:t xml:space="preserve">20. Annexes</w:t>
      </w:r>
    </w:p>
    <w:p>
      <w:pPr>
        <w:pStyle w:val="Heading2"/>
        <w:spacing w:after="160" w:before="360"/>
      </w:pPr>
      <w:r>
        <w:rPr>
          <w:rFonts w:ascii="Calibri" w:cs="Calibri" w:eastAsia="Calibri" w:hAnsi="Calibri"/>
          <w:b/>
          <w:bCs/>
          <w:color w:val="12406E"/>
          <w:sz w:val="25"/>
          <w:szCs w:val="25"/>
        </w:rPr>
        <w:t xml:space="preserve">20.1 Identité visuelle</w:t>
      </w:r>
    </w:p>
    <w:p>
      <w:pPr>
        <w:spacing w:after="200"/>
        <w:jc w:val="center"/>
      </w:pPr>
      <w:r>
        <w:drawing>
          <wp:inline distT="0" distB="0" distL="0" distR="0">
            <wp:extent cx="2476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52475"/>
                    </a:xfrm>
                    <a:prstGeom prst="rect">
                      <a:avLst/>
                    </a:prstGeom>
                  </pic:spPr>
                </pic:pic>
              </a:graphicData>
            </a:graphic>
          </wp:inline>
        </w:drawing>
      </w:r>
    </w:p>
    <w:p>
      <w:pPr>
        <w:spacing w:after="160" w:line="300"/>
        <w:jc w:val="both"/>
      </w:pPr>
      <w:r>
        <w:rPr>
          <w:rFonts w:ascii="Calibri" w:cs="Calibri" w:eastAsia="Calibri" w:hAnsi="Calibri"/>
          <w:i/>
          <w:iCs/>
          <w:color w:val="222831"/>
          <w:sz w:val="21"/>
          <w:szCs w:val="21"/>
        </w:rPr>
        <w:t xml:space="preserve">Logo principal UniFlow — association d'un chapeau universitaire et d'une flèche ascendante en dégradé bleu/vert, symbolisant la progression académique ; les connecteurs en circuit intégré évoquent la dimension numérique et connectée de la plateforme.</w:t>
      </w:r>
    </w:p>
    <w:p>
      <w:pPr>
        <w:pStyle w:val="Heading2"/>
        <w:spacing w:after="160" w:before="360"/>
      </w:pPr>
      <w:r>
        <w:rPr>
          <w:rFonts w:ascii="Calibri" w:cs="Calibri" w:eastAsia="Calibri" w:hAnsi="Calibri"/>
          <w:b/>
          <w:bCs/>
          <w:color w:val="12406E"/>
          <w:sz w:val="25"/>
          <w:szCs w:val="25"/>
        </w:rPr>
        <w:t xml:space="preserve">20.2 Glossaire</w:t>
      </w:r>
    </w:p>
    <w:tbl>
      <w:tblPr>
        <w:tblW w:type="dxa" w:w="10206"/>
        <w:tblBorders>
          <w:top w:val="single" w:color="D6DCE4" w:sz="4"/>
          <w:left w:val="single" w:color="D6DCE4" w:sz="4"/>
          <w:bottom w:val="single" w:color="D6DCE4" w:sz="4"/>
          <w:right w:val="single" w:color="D6DCE4" w:sz="4"/>
          <w:insideH w:val="single" w:color="D6DCE4" w:sz="4"/>
          <w:insideV w:val="single" w:color="D6DCE4" w:sz="4"/>
        </w:tblBorders>
      </w:tblPr>
      <w:tblGrid>
        <w:gridCol w:w="2449"/>
        <w:gridCol w:w="7757"/>
      </w:tblGrid>
      <w:tr>
        <w:trPr>
          <w:tblHeader/>
        </w:trPr>
        <w:tc>
          <w:tcPr>
            <w:tcW w:type="dxa" w:w="2449"/>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Terme</w:t>
            </w:r>
          </w:p>
        </w:tc>
        <w:tc>
          <w:tcPr>
            <w:tcW w:type="dxa" w:w="7757"/>
            <w:shd w:fill="12406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Définition</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UE</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Unité d'Enseignement</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RBAC</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Role-Based Access Control — contrôle d'accès basé sur les rôles</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JWT</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JSON Web Token</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WebRTC</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Web Real-Time Communication</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SFU</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Selective Forwarding Unit (architecture de routage WebRTC)</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LWW</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Last-Write-Wins — stratégie de résolution de conflit</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Outbox (pattern)</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File d'attente locale des opérations en attente de synchronisation</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Drift</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ORM Flutter pour SQLite (base locale)</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Prisma</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ORM TypeScript pour PostgreSQL</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NestJS</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Framework backend Node.js orienté modules</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LiveKit</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Plateforme WebRTC open source (SFU)</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Offline First</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Architecture priorisant le fonctionnement sans connexion Internet</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CM / TD / TP</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Cours Magistral / Travaux Dirigés / Travaux Pratiques</w:t>
            </w:r>
          </w:p>
        </w:tc>
      </w:tr>
      <w:tr>
        <w:tc>
          <w:tcPr>
            <w:tcW w:type="dxa" w:w="2449"/>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ANTIC</w:t>
            </w:r>
          </w:p>
        </w:tc>
        <w:tc>
          <w:tcPr>
            <w:tcW w:type="dxa" w:w="775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Agence Nationale des Technologies de l'Information et de la Communication (Cameroun)</w:t>
            </w:r>
          </w:p>
        </w:tc>
      </w:tr>
      <w:tr>
        <w:tc>
          <w:tcPr>
            <w:tcW w:type="dxa" w:w="2449"/>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USSD</w:t>
            </w:r>
          </w:p>
        </w:tc>
        <w:tc>
          <w:tcPr>
            <w:tcW w:type="dxa" w:w="7757"/>
            <w:shd w:fill="FAFBFC" w:val="clear"/>
            <w:tcMar>
              <w:top w:type="dxa" w:w="80"/>
              <w:left w:type="dxa" w:w="120"/>
              <w:bottom w:type="dxa" w:w="80"/>
              <w:right w:type="dxa" w:w="120"/>
            </w:tcMar>
            <w:vAlign w:val="center"/>
          </w:tcPr>
          <w:p>
            <w:pPr>
              <w:jc w:val="left"/>
            </w:pPr>
            <w:r>
              <w:rPr>
                <w:rFonts w:ascii="Calibri" w:cs="Calibri" w:eastAsia="Calibri" w:hAnsi="Calibri"/>
                <w:b w:val="false"/>
                <w:bCs w:val="false"/>
                <w:color w:val="222831"/>
                <w:sz w:val="19"/>
                <w:szCs w:val="19"/>
              </w:rPr>
              <w:t xml:space="preserve">Unstructured Supplementary Service Data — protocole de menus interactifs sans data</w:t>
            </w:r>
          </w:p>
        </w:tc>
      </w:tr>
    </w:tbl>
    <w:p>
      <w:pPr>
        <w:pStyle w:val="Heading2"/>
        <w:spacing w:after="160" w:before="360"/>
      </w:pPr>
      <w:r>
        <w:rPr>
          <w:rFonts w:ascii="Calibri" w:cs="Calibri" w:eastAsia="Calibri" w:hAnsi="Calibri"/>
          <w:b/>
          <w:bCs/>
          <w:color w:val="12406E"/>
          <w:sz w:val="25"/>
          <w:szCs w:val="25"/>
        </w:rPr>
        <w:t xml:space="preserve">20.3 Structure de la documentation technique source</w:t>
      </w:r>
    </w:p>
    <w:p>
      <w:pPr>
        <w:spacing w:after="160" w:line="300"/>
        <w:jc w:val="both"/>
      </w:pPr>
      <w:r>
        <w:rPr>
          <w:rFonts w:ascii="Calibri" w:cs="Calibri" w:eastAsia="Calibri" w:hAnsi="Calibri"/>
          <w:color w:val="222831"/>
          <w:sz w:val="21"/>
          <w:szCs w:val="21"/>
        </w:rPr>
        <w:t xml:space="preserve">Ce cahier des charges consolide l'ensemble des documents techniques du projet, disponibles séparément pour le détail d'implémentation (schémas SQL complets, extraits de code, diagrammes UML/ERD) :</w:t>
      </w:r>
    </w:p>
    <w:p>
      <w:pPr>
        <w:pStyle w:val="ListParagraph"/>
        <w:numPr>
          <w:ilvl w:val="0"/>
          <w:numId w:val="1"/>
        </w:numPr>
        <w:spacing w:after="90" w:line="290"/>
        <w:jc w:val="both"/>
      </w:pPr>
      <w:r>
        <w:rPr>
          <w:rFonts w:ascii="Calibri" w:cs="Calibri" w:eastAsia="Calibri" w:hAnsi="Calibri"/>
          <w:color w:val="222831"/>
          <w:sz w:val="21"/>
          <w:szCs w:val="21"/>
        </w:rPr>
        <w:t xml:space="preserve">00-Cahier-des-Charges.md, 00-Etude-de-Faisabilite.md, 01-Introduction.md</w:t>
      </w:r>
    </w:p>
    <w:p>
      <w:pPr>
        <w:pStyle w:val="ListParagraph"/>
        <w:numPr>
          <w:ilvl w:val="0"/>
          <w:numId w:val="1"/>
        </w:numPr>
        <w:spacing w:after="90" w:line="290"/>
        <w:jc w:val="both"/>
      </w:pPr>
      <w:r>
        <w:rPr>
          <w:rFonts w:ascii="Calibri" w:cs="Calibri" w:eastAsia="Calibri" w:hAnsi="Calibri"/>
          <w:color w:val="222831"/>
          <w:sz w:val="21"/>
          <w:szCs w:val="21"/>
        </w:rPr>
        <w:t xml:space="preserve">02-Architecture.md, 03-Stack.md, 04-Database.md</w:t>
      </w:r>
    </w:p>
    <w:p>
      <w:pPr>
        <w:pStyle w:val="ListParagraph"/>
        <w:numPr>
          <w:ilvl w:val="0"/>
          <w:numId w:val="1"/>
        </w:numPr>
        <w:spacing w:after="90" w:line="290"/>
        <w:jc w:val="both"/>
      </w:pPr>
      <w:r>
        <w:rPr>
          <w:rFonts w:ascii="Calibri" w:cs="Calibri" w:eastAsia="Calibri" w:hAnsi="Calibri"/>
          <w:color w:val="222831"/>
          <w:sz w:val="21"/>
          <w:szCs w:val="21"/>
        </w:rPr>
        <w:t xml:space="preserve">05-Authentication.md, 06-Users.md, 07-Students.md, 08-Teachers.md</w:t>
      </w:r>
    </w:p>
    <w:p>
      <w:pPr>
        <w:pStyle w:val="ListParagraph"/>
        <w:numPr>
          <w:ilvl w:val="0"/>
          <w:numId w:val="1"/>
        </w:numPr>
        <w:spacing w:after="90" w:line="290"/>
        <w:jc w:val="both"/>
      </w:pPr>
      <w:r>
        <w:rPr>
          <w:rFonts w:ascii="Calibri" w:cs="Calibri" w:eastAsia="Calibri" w:hAnsi="Calibri"/>
          <w:color w:val="222831"/>
          <w:sz w:val="21"/>
          <w:szCs w:val="21"/>
        </w:rPr>
        <w:t xml:space="preserve">09-Courses.md, 10-Scheduling.md, 11-Classrooms.md, 12-Attendance.md</w:t>
      </w:r>
    </w:p>
    <w:p>
      <w:pPr>
        <w:pStyle w:val="ListParagraph"/>
        <w:numPr>
          <w:ilvl w:val="0"/>
          <w:numId w:val="1"/>
        </w:numPr>
        <w:spacing w:after="90" w:line="290"/>
        <w:jc w:val="both"/>
      </w:pPr>
      <w:r>
        <w:rPr>
          <w:rFonts w:ascii="Calibri" w:cs="Calibri" w:eastAsia="Calibri" w:hAnsi="Calibri"/>
          <w:color w:val="222831"/>
          <w:sz w:val="21"/>
          <w:szCs w:val="21"/>
        </w:rPr>
        <w:t xml:space="preserve">13-VideoConference.md, 14-Synchronization.md, 15-Notifications.md</w:t>
      </w:r>
    </w:p>
    <w:p>
      <w:pPr>
        <w:pStyle w:val="ListParagraph"/>
        <w:numPr>
          <w:ilvl w:val="0"/>
          <w:numId w:val="1"/>
        </w:numPr>
        <w:spacing w:after="90" w:line="290"/>
        <w:jc w:val="both"/>
      </w:pPr>
      <w:r>
        <w:rPr>
          <w:rFonts w:ascii="Calibri" w:cs="Calibri" w:eastAsia="Calibri" w:hAnsi="Calibri"/>
          <w:color w:val="222831"/>
          <w:sz w:val="21"/>
          <w:szCs w:val="21"/>
        </w:rPr>
        <w:t xml:space="preserve">16-API.md, 17-Security.md, 18-Deployment.md, 19-Roadmap.md</w:t>
      </w:r>
    </w:p>
    <w:p>
      <w:pPr>
        <w:pStyle w:val="ListParagraph"/>
        <w:numPr>
          <w:ilvl w:val="0"/>
          <w:numId w:val="1"/>
        </w:numPr>
        <w:spacing w:after="90" w:line="290"/>
        <w:jc w:val="both"/>
      </w:pPr>
      <w:r>
        <w:rPr>
          <w:rFonts w:ascii="Calibri" w:cs="Calibri" w:eastAsia="Calibri" w:hAnsi="Calibri"/>
          <w:color w:val="222831"/>
          <w:sz w:val="21"/>
          <w:szCs w:val="21"/>
        </w:rPr>
        <w:t xml:space="preserve">20-Contexte-Cameroun.md (nouveau), ERD.md, UML.md, 21-Prompts-Visuels.md</w:t>
      </w:r>
    </w:p>
    <w:p>
      <w:pPr>
        <w:pStyle w:val="Heading2"/>
        <w:spacing w:after="160" w:before="360"/>
      </w:pPr>
      <w:r>
        <w:rPr>
          <w:rFonts w:ascii="Calibri" w:cs="Calibri" w:eastAsia="Calibri" w:hAnsi="Calibri"/>
          <w:b/>
          <w:bCs/>
          <w:color w:val="12406E"/>
          <w:sz w:val="25"/>
          <w:szCs w:val="25"/>
        </w:rPr>
        <w:t xml:space="preserve">20.4 Références techniques</w:t>
      </w:r>
    </w:p>
    <w:p>
      <w:pPr>
        <w:pStyle w:val="ListParagraph"/>
        <w:numPr>
          <w:ilvl w:val="0"/>
          <w:numId w:val="1"/>
        </w:numPr>
        <w:spacing w:after="90" w:line="290"/>
        <w:jc w:val="both"/>
      </w:pPr>
      <w:r>
        <w:rPr>
          <w:rFonts w:ascii="Calibri" w:cs="Calibri" w:eastAsia="Calibri" w:hAnsi="Calibri"/>
          <w:color w:val="222831"/>
          <w:sz w:val="21"/>
          <w:szCs w:val="21"/>
        </w:rPr>
        <w:t xml:space="preserve">Flutter — docs.flutter.dev</w:t>
      </w:r>
    </w:p>
    <w:p>
      <w:pPr>
        <w:pStyle w:val="ListParagraph"/>
        <w:numPr>
          <w:ilvl w:val="0"/>
          <w:numId w:val="1"/>
        </w:numPr>
        <w:spacing w:after="90" w:line="290"/>
        <w:jc w:val="both"/>
      </w:pPr>
      <w:r>
        <w:rPr>
          <w:rFonts w:ascii="Calibri" w:cs="Calibri" w:eastAsia="Calibri" w:hAnsi="Calibri"/>
          <w:color w:val="222831"/>
          <w:sz w:val="21"/>
          <w:szCs w:val="21"/>
        </w:rPr>
        <w:t xml:space="preserve">NestJS — docs.nestjs.com</w:t>
      </w:r>
    </w:p>
    <w:p>
      <w:pPr>
        <w:pStyle w:val="ListParagraph"/>
        <w:numPr>
          <w:ilvl w:val="0"/>
          <w:numId w:val="1"/>
        </w:numPr>
        <w:spacing w:after="90" w:line="290"/>
        <w:jc w:val="both"/>
      </w:pPr>
      <w:r>
        <w:rPr>
          <w:rFonts w:ascii="Calibri" w:cs="Calibri" w:eastAsia="Calibri" w:hAnsi="Calibri"/>
          <w:color w:val="222831"/>
          <w:sz w:val="21"/>
          <w:szCs w:val="21"/>
        </w:rPr>
        <w:t xml:space="preserve">Drift — drift.simonbinder.eu</w:t>
      </w:r>
    </w:p>
    <w:p>
      <w:pPr>
        <w:pStyle w:val="ListParagraph"/>
        <w:numPr>
          <w:ilvl w:val="0"/>
          <w:numId w:val="1"/>
        </w:numPr>
        <w:spacing w:after="90" w:line="290"/>
        <w:jc w:val="both"/>
      </w:pPr>
      <w:r>
        <w:rPr>
          <w:rFonts w:ascii="Calibri" w:cs="Calibri" w:eastAsia="Calibri" w:hAnsi="Calibri"/>
          <w:color w:val="222831"/>
          <w:sz w:val="21"/>
          <w:szCs w:val="21"/>
        </w:rPr>
        <w:t xml:space="preserve">Prisma — www.prisma.io/docs</w:t>
      </w:r>
    </w:p>
    <w:p>
      <w:pPr>
        <w:pStyle w:val="ListParagraph"/>
        <w:numPr>
          <w:ilvl w:val="0"/>
          <w:numId w:val="1"/>
        </w:numPr>
        <w:spacing w:after="90" w:line="290"/>
        <w:jc w:val="both"/>
      </w:pPr>
      <w:r>
        <w:rPr>
          <w:rFonts w:ascii="Calibri" w:cs="Calibri" w:eastAsia="Calibri" w:hAnsi="Calibri"/>
          <w:color w:val="222831"/>
          <w:sz w:val="21"/>
          <w:szCs w:val="21"/>
        </w:rPr>
        <w:t xml:space="preserve">LiveKit — docs.livekit.io</w:t>
      </w:r>
    </w:p>
    <w:p>
      <w:pPr>
        <w:pStyle w:val="ListParagraph"/>
        <w:numPr>
          <w:ilvl w:val="0"/>
          <w:numId w:val="1"/>
        </w:numPr>
        <w:spacing w:after="90" w:line="290"/>
        <w:jc w:val="both"/>
      </w:pPr>
      <w:r>
        <w:rPr>
          <w:rFonts w:ascii="Calibri" w:cs="Calibri" w:eastAsia="Calibri" w:hAnsi="Calibri"/>
          <w:color w:val="222831"/>
          <w:sz w:val="21"/>
          <w:szCs w:val="21"/>
        </w:rPr>
        <w:t xml:space="preserve">Supabase — supabase.com/docs</w:t>
      </w:r>
    </w:p>
    <w:p>
      <w:pPr>
        <w:pStyle w:val="ListParagraph"/>
        <w:numPr>
          <w:ilvl w:val="0"/>
          <w:numId w:val="1"/>
        </w:numPr>
        <w:spacing w:after="90" w:line="290"/>
        <w:jc w:val="both"/>
      </w:pPr>
      <w:r>
        <w:rPr>
          <w:rFonts w:ascii="Calibri" w:cs="Calibri" w:eastAsia="Calibri" w:hAnsi="Calibri"/>
          <w:color w:val="222831"/>
          <w:sz w:val="21"/>
          <w:szCs w:val="21"/>
        </w:rPr>
        <w:t xml:space="preserve">Firebase — firebase.google.com/docs</w:t>
      </w:r>
    </w:p>
    <w:p>
      <w:pPr>
        <w:pStyle w:val="ListParagraph"/>
        <w:numPr>
          <w:ilvl w:val="0"/>
          <w:numId w:val="1"/>
        </w:numPr>
        <w:spacing w:after="90" w:line="290"/>
        <w:jc w:val="both"/>
      </w:pPr>
      <w:r>
        <w:rPr>
          <w:rFonts w:ascii="Calibri" w:cs="Calibri" w:eastAsia="Calibri" w:hAnsi="Calibri"/>
          <w:color w:val="222831"/>
          <w:sz w:val="21"/>
          <w:szCs w:val="21"/>
        </w:rPr>
        <w:t xml:space="preserve">ANTIC Cameroun — antic.cm</w:t>
      </w:r>
    </w:p>
    <w:p>
      <w:pPr>
        <w:pStyle w:val="ListParagraph"/>
        <w:numPr>
          <w:ilvl w:val="0"/>
          <w:numId w:val="1"/>
        </w:numPr>
        <w:spacing w:after="90" w:line="290"/>
        <w:jc w:val="both"/>
      </w:pPr>
      <w:r>
        <w:rPr>
          <w:rFonts w:ascii="Calibri" w:cs="Calibri" w:eastAsia="Calibri" w:hAnsi="Calibri"/>
          <w:color w:val="222831"/>
          <w:sz w:val="21"/>
          <w:szCs w:val="21"/>
        </w:rPr>
        <w:t xml:space="preserve">Organisation GitHub du projet — github.com/KERNEL-FORGE-G</w:t>
      </w:r>
    </w:p>
    <w:sectPr>
      <w:headerReference w:type="default" r:id="rId7"/>
      <w:footerReference w:type="default" r:id="rId8"/>
      <w:pgSz w:w="11906" w:h="16838" w:orient="portrait"/>
      <w:pgMar w:top="1100" w:right="850" w:bottom="11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KERNEL FORGE — UniFlow  •  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4" w:sz="4" w:space="4"/>
      </w:pBdr>
      <w:jc w:val="right"/>
    </w:pPr>
    <w:r>
      <w:rPr>
        <w:rFonts w:ascii="Calibri" w:cs="Calibri" w:eastAsia="Calibri" w:hAnsi="Calibri"/>
        <w:i/>
        <w:iCs/>
        <w:color w:val="5B6472"/>
        <w:sz w:val="16"/>
        <w:szCs w:val="16"/>
      </w:rPr>
      <w:t xml:space="preserve">UniFlow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fc88ad919feb4dd26518b2b84b2a2b211fae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2026-07-13T04:34:29.660Z</dcterms:created>
  <dcterms:modified xsi:type="dcterms:W3CDTF">2026-07-13T04:34:29.661Z</dcterms:modified>
</cp:coreProperties>
</file>

<file path=docProps/custom.xml><?xml version="1.0" encoding="utf-8"?>
<Properties xmlns="http://schemas.openxmlformats.org/officeDocument/2006/custom-properties" xmlns:vt="http://schemas.openxmlformats.org/officeDocument/2006/docPropsVTypes"/>
</file>