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0"/>
          <w:szCs w:val="30"/>
        </w:rPr>
        <w:t xml:space="preserve">Content Management in Health Care: Automating the Conversion of Coding Policy into Verifiable Payment-Integrity Rules</w:t>
      </w:r>
    </w:p>
    <w:p>
      <w:pPr>
        <w:spacing w:after="40"/>
        <w:jc w:val="center"/>
      </w:pPr>
      <w:r>
        <w:rPr>
          <w:rFonts w:ascii="Arial" w:cs="Arial" w:eastAsia="Arial" w:hAnsi="Arial"/>
          <w:sz w:val="22"/>
          <w:szCs w:val="22"/>
        </w:rPr>
        <w:t xml:space="preserve">Keshav Girish Adkar</w:t>
      </w:r>
    </w:p>
    <w:p>
      <w:pPr>
        <w:spacing w:after="240"/>
        <w:jc w:val="center"/>
      </w:pPr>
      <w:r>
        <w:rPr>
          <w:rFonts w:ascii="Arial" w:cs="Arial" w:eastAsia="Arial" w:hAnsi="Arial"/>
          <w:color w:val="555555"/>
          <w:sz w:val="20"/>
          <w:szCs w:val="20"/>
        </w:rPr>
        <w:t xml:space="preserve">Northeastern University  ·  June 2026</w:t>
      </w:r>
    </w:p>
    <w:p>
      <w:pPr>
        <w:spacing w:after="100" w:before="200"/>
      </w:pPr>
      <w:r>
        <w:rPr>
          <w:rFonts w:ascii="Arial" w:cs="Arial" w:eastAsia="Arial" w:hAnsi="Arial"/>
          <w:b/>
          <w:bCs/>
          <w:sz w:val="24"/>
          <w:szCs w:val="24"/>
        </w:rPr>
        <w:t xml:space="preserve">The Concept</w:t>
      </w:r>
    </w:p>
    <w:p>
      <w:pPr>
        <w:spacing w:after="160" w:line="276"/>
        <w:jc w:val="both"/>
      </w:pPr>
      <w:r>
        <w:rPr>
          <w:rFonts w:ascii="Arial" w:cs="Arial" w:eastAsia="Arial" w:hAnsi="Arial"/>
          <w:sz w:val="22"/>
          <w:szCs w:val="22"/>
        </w:rPr>
        <w:t xml:space="preserve">Content management in health care encompasses how clinical and administrative knowledge (billing and coding policies, clinical practice guidelines, and payer-provider contracts) is authored, maintained, summarized, compared across versions, and operationalized into the systems that adjudicate claims. A defining tension runs through the field: this knowledge is written as natural-language prose, yet it must execute as deterministic logic. A claim-adjudication engine cannot act on a paragraph; it acts on a rule. Converting written policy into programming languages, rules, features, or models is therefore a central content-management task, and one that has traditionally demanded scarce coding and clinical expertise to perform manually, provision by provision.</w:t>
      </w:r>
    </w:p>
    <w:p>
      <w:pPr>
        <w:spacing w:after="100" w:before="200"/>
      </w:pPr>
      <w:r>
        <w:rPr>
          <w:rFonts w:ascii="Arial" w:cs="Arial" w:eastAsia="Arial" w:hAnsi="Arial"/>
          <w:b/>
          <w:bCs/>
          <w:sz w:val="24"/>
          <w:szCs w:val="24"/>
        </w:rPr>
        <w:t xml:space="preserve">Trends</w:t>
      </w:r>
    </w:p>
    <w:p>
      <w:pPr>
        <w:spacing w:after="160" w:line="276"/>
        <w:jc w:val="both"/>
      </w:pPr>
      <w:r>
        <w:rPr>
          <w:rFonts w:ascii="Arial" w:cs="Arial" w:eastAsia="Arial" w:hAnsi="Arial"/>
          <w:sz w:val="22"/>
          <w:szCs w:val="22"/>
        </w:rPr>
        <w:t xml:space="preserve">Three developments are reshaping this work. First, large language models now extract structured meaning from unstructured policy text with enough accuracy to make automated interpretation viable, and summarization and version comparison have become first-class tasks rather than afterthoughts. Second, retrieval-augmented generation (RAG) grounds model output in authoritative source documents rather than in a model’s parametric memory, directly addressing the reliability concerns that previously kept generative systems out of regulated workflows (Lewis et al., 2020). Third, agentic architectures (models that autonomously retrieve evidence, invoke tools, and verify their own output) have moved from research demonstrations toward production, with tool calling now a standard inference capability (Groq, 2026). Compounding all three, the policy content itself is a moving target: the Centers for Medicare &amp; Medicaid Services revises its National Correct Coding Initiative (NCCI) guidance annually and its edit tables quarterly (CMS, n.d.). Automation must therefore track change, not merely interpret a static snapshot.</w:t>
      </w:r>
    </w:p>
    <w:p>
      <w:pPr>
        <w:spacing w:after="100" w:before="200"/>
      </w:pPr>
      <w:r>
        <w:rPr>
          <w:rFonts w:ascii="Arial" w:cs="Arial" w:eastAsia="Arial" w:hAnsi="Arial"/>
          <w:b/>
          <w:bCs/>
          <w:sz w:val="24"/>
          <w:szCs w:val="24"/>
        </w:rPr>
        <w:t xml:space="preserve">Opportunities and Threats</w:t>
      </w:r>
    </w:p>
    <w:p>
      <w:pPr>
        <w:spacing w:after="160" w:line="276"/>
        <w:jc w:val="both"/>
      </w:pPr>
      <w:r>
        <w:rPr>
          <w:rFonts w:ascii="Arial" w:cs="Arial" w:eastAsia="Arial" w:hAnsi="Arial"/>
          <w:sz w:val="22"/>
          <w:szCs w:val="22"/>
        </w:rPr>
        <w:t xml:space="preserve">The opportunity is direct and large. Converting coding policy into structured edits is the core mechanic of payment integrity, and automation can compress the time from a published guideline to a deployed edit, surface inter-version changes for analyst review, and reduce the cost of maintaining a large rule base. The threat is equally direct: a model that fabricates or subtly misstates a rule is worse than no automation at all, because an unfounded edit either denies legitimate claims or fails to catch improper ones, creating compliance exposure and financial loss. The binding constraint is not raw capability but hallucination. A secondary risk is content drift: rules extracted from a stale policy version silently diverging from current guidance. Any responsible deployment must therefore couple extraction with two safeguards: verifiable grounding of every rule in its source text, and systematic comparison across versions.</w:t>
      </w:r>
    </w:p>
    <w:p>
      <w:pPr>
        <w:spacing w:after="100" w:before="200"/>
      </w:pPr>
      <w:r>
        <w:rPr>
          <w:rFonts w:ascii="Arial" w:cs="Arial" w:eastAsia="Arial" w:hAnsi="Arial"/>
          <w:b/>
          <w:bCs/>
          <w:sz w:val="24"/>
          <w:szCs w:val="24"/>
        </w:rPr>
        <w:t xml:space="preserve">A Strategic Option for Cotiviti</w:t>
      </w:r>
    </w:p>
    <w:p>
      <w:pPr>
        <w:spacing w:after="160" w:line="276"/>
        <w:jc w:val="both"/>
      </w:pPr>
      <w:r>
        <w:rPr>
          <w:rFonts w:ascii="Arial" w:cs="Arial" w:eastAsia="Arial" w:hAnsi="Arial"/>
          <w:sz w:val="22"/>
          <w:szCs w:val="22"/>
        </w:rPr>
        <w:t xml:space="preserve">Cotiviti’s core business is payment integrity, payment accuracy, and coding compliance for health plans (Cotiviti, n.d.), and its recent direction (agentic AI for value-based payment through its Edifecs acquisition) signals clear appetite for this technology. The recommended strategic action is a pilot of an agent-assisted “policy-to-rules” workflow in which subject-matter experts review machine-extracted candidate edits rather than author them from scratch, under a hard requirement: every candidate must cite verbatim source text and pass an automated faithfulness check before reaching a reviewer. This reframes the human role from authorship to verification, where expert time is most valuable, while the grounding requirement holds the system to the accuracy bar that payment integrity demands.</w:t>
      </w:r>
    </w:p>
    <w:p>
      <w:pPr>
        <w:spacing w:after="160" w:line="276"/>
        <w:jc w:val="both"/>
      </w:pPr>
      <w:r>
        <w:rPr>
          <w:rFonts w:ascii="Arial" w:cs="Arial" w:eastAsia="Arial" w:hAnsi="Arial"/>
          <w:sz w:val="22"/>
          <w:szCs w:val="22"/>
        </w:rPr>
        <w:t xml:space="preserve">To test feasibility, a working proof of concept was built against the public CMS NCCI Policy Manual (CMS, 2025). An agent retrieves a policy section, extracts structured edits (each with a condition, an action, and a verbatim source quote), and a deterministic check then confirms that every quote actually appears in the cited section, flagging any that do not as potential hallucinations. On a hand-labeled set of seven provisions from the Evaluation and Management section, the agent reached as high as 100% faithfulness and 100% recall in some runs; however, because the model is non-deterministic, performance varies, and a representative run scored approximately 88% faithfulness (seven of eight extracted rules grounded) and 86% recall (six of seven provisions captured). Reporting this range, rather than a single best run, is the honest characterization of reliability, particularly given the deliberately small evaluation set. A separate version-comparison feature, run across the 2024 and 2025 editions, automatically surfaced real changes (most strikingly, a section that shifted from “Gender-Specific Procedures” to “Reserved for future use”), demonstrating the change-tracking that stale automation lacks. The pipeline is also model-agnostic: it was run on a freely available open model but can be pointed at any production-grade model without architectural change.</w:t>
      </w:r>
    </w:p>
    <w:p>
      <w:pPr>
        <w:spacing w:after="100" w:before="200"/>
      </w:pPr>
      <w:r>
        <w:rPr>
          <w:rFonts w:ascii="Arial" w:cs="Arial" w:eastAsia="Arial" w:hAnsi="Arial"/>
          <w:b/>
          <w:bCs/>
          <w:sz w:val="24"/>
          <w:szCs w:val="24"/>
        </w:rPr>
        <w:t xml:space="preserve">Limitations and Future Work</w:t>
      </w:r>
    </w:p>
    <w:p>
      <w:pPr>
        <w:spacing w:after="160" w:line="276"/>
        <w:jc w:val="both"/>
      </w:pPr>
      <w:r>
        <w:rPr>
          <w:rFonts w:ascii="Arial" w:cs="Arial" w:eastAsia="Arial" w:hAnsi="Arial"/>
          <w:sz w:val="22"/>
          <w:szCs w:val="22"/>
        </w:rPr>
        <w:t xml:space="preserve">The proof of concept is a feasibility demonstration, not a production claim. Its retrieval uses simple keyword matching rather than semantic embeddings, its evaluation set is small, and extraction quality varies with the model. A dedicated trained model (for example, to pre-route claims to the relevant policy section or to learn edit-action prediction from accumulated extractions) was considered but deliberately deferred: for a proof of concept it would add cost and risk without proportional value. It is, however, a natural next step once the human-in-the-loop workflow is validated at scale.</w:t>
      </w:r>
    </w:p>
    <w:p>
      <w:pPr>
        <w:spacing w:after="100" w:before="200"/>
      </w:pPr>
      <w:r>
        <w:rPr>
          <w:rFonts w:ascii="Arial" w:cs="Arial" w:eastAsia="Arial" w:hAnsi="Arial"/>
          <w:b/>
          <w:bCs/>
          <w:sz w:val="24"/>
          <w:szCs w:val="24"/>
        </w:rPr>
        <w:t xml:space="preserve">Conclusion</w:t>
      </w:r>
    </w:p>
    <w:p>
      <w:pPr>
        <w:spacing w:after="160" w:line="276"/>
        <w:jc w:val="both"/>
      </w:pPr>
      <w:r>
        <w:rPr>
          <w:rFonts w:ascii="Arial" w:cs="Arial" w:eastAsia="Arial" w:hAnsi="Arial"/>
          <w:sz w:val="22"/>
          <w:szCs w:val="22"/>
        </w:rPr>
        <w:t xml:space="preserve">The conversion of written health-care policy into verifiable rules is within reach of current language technology, but only when paired with grounding and version tracking. For an organization whose business is payment accuracy, the strategic move is not to replace expert judgment but to place a verified, source-cited draft in front of it, accelerating the work while holding the line on trust.</w:t>
      </w:r>
    </w:p>
    <w:p>
      <w:r>
        <w:br w:type="page"/>
      </w:r>
    </w:p>
    <w:p>
      <w:pPr>
        <w:spacing w:after="200"/>
        <w:jc w:val="center"/>
      </w:pPr>
      <w:r>
        <w:rPr>
          <w:rFonts w:ascii="Arial" w:cs="Arial" w:eastAsia="Arial" w:hAnsi="Arial"/>
          <w:b/>
          <w:bCs/>
          <w:sz w:val="24"/>
          <w:szCs w:val="24"/>
        </w:rPr>
        <w:t xml:space="preserve">References</w:t>
      </w:r>
    </w:p>
    <w:p>
      <w:pPr>
        <w:spacing w:after="120" w:line="276"/>
        <w:ind w:left="720" w:hanging="720"/>
      </w:pPr>
      <w:r>
        <w:rPr>
          <w:rFonts w:ascii="Arial" w:cs="Arial" w:eastAsia="Arial" w:hAnsi="Arial"/>
          <w:sz w:val="22"/>
          <w:szCs w:val="22"/>
        </w:rPr>
        <w:t xml:space="preserve">Centers for Medicare &amp; Medicaid Services. (n.d.). </w:t>
      </w:r>
      <w:r>
        <w:rPr>
          <w:rFonts w:ascii="Arial" w:cs="Arial" w:eastAsia="Arial" w:hAnsi="Arial"/>
          <w:i/>
          <w:iCs/>
          <w:sz w:val="22"/>
          <w:szCs w:val="22"/>
        </w:rPr>
        <w:t xml:space="preserve">National Correct Coding Initiative (NCCI) edits.</w:t>
      </w:r>
      <w:r>
        <w:rPr>
          <w:rFonts w:ascii="Arial" w:cs="Arial" w:eastAsia="Arial" w:hAnsi="Arial"/>
          <w:sz w:val="22"/>
          <w:szCs w:val="22"/>
        </w:rPr>
        <w:t xml:space="preserve"> Retrieved June 2026, from https://www.cms.gov/medicare/coding-billing/national-correct-coding-initiative-ncci-edits</w:t>
      </w:r>
    </w:p>
    <w:p>
      <w:pPr>
        <w:spacing w:after="120" w:line="276"/>
        <w:ind w:left="720" w:hanging="720"/>
      </w:pPr>
      <w:r>
        <w:rPr>
          <w:rFonts w:ascii="Arial" w:cs="Arial" w:eastAsia="Arial" w:hAnsi="Arial"/>
          <w:sz w:val="22"/>
          <w:szCs w:val="22"/>
        </w:rPr>
        <w:t xml:space="preserve">Centers for Medicare &amp; Medicaid Services. (2024). </w:t>
      </w:r>
      <w:r>
        <w:rPr>
          <w:rFonts w:ascii="Arial" w:cs="Arial" w:eastAsia="Arial" w:hAnsi="Arial"/>
          <w:i/>
          <w:iCs/>
          <w:sz w:val="22"/>
          <w:szCs w:val="22"/>
        </w:rPr>
        <w:t xml:space="preserve">National Correct Coding Initiative policy manual for Medicare services: Chapter 1, General correct coding policies.</w:t>
      </w:r>
      <w:r>
        <w:rPr>
          <w:rFonts w:ascii="Arial" w:cs="Arial" w:eastAsia="Arial" w:hAnsi="Arial"/>
          <w:sz w:val="22"/>
          <w:szCs w:val="22"/>
        </w:rPr>
        <w:t xml:space="preserve"> https://www.cms.gov/files/document/medicare-ncci-policy-manual-2024-chapter-1.pdf</w:t>
      </w:r>
    </w:p>
    <w:p>
      <w:pPr>
        <w:spacing w:after="120" w:line="276"/>
        <w:ind w:left="720" w:hanging="720"/>
      </w:pPr>
      <w:r>
        <w:rPr>
          <w:rFonts w:ascii="Arial" w:cs="Arial" w:eastAsia="Arial" w:hAnsi="Arial"/>
          <w:sz w:val="22"/>
          <w:szCs w:val="22"/>
        </w:rPr>
        <w:t xml:space="preserve">Centers for Medicare &amp; Medicaid Services. (2025). </w:t>
      </w:r>
      <w:r>
        <w:rPr>
          <w:rFonts w:ascii="Arial" w:cs="Arial" w:eastAsia="Arial" w:hAnsi="Arial"/>
          <w:i/>
          <w:iCs/>
          <w:sz w:val="22"/>
          <w:szCs w:val="22"/>
        </w:rPr>
        <w:t xml:space="preserve">National Correct Coding Initiative policy manual for Medicare services: Chapter 1, General correct coding policies.</w:t>
      </w:r>
      <w:r>
        <w:rPr>
          <w:rFonts w:ascii="Arial" w:cs="Arial" w:eastAsia="Arial" w:hAnsi="Arial"/>
          <w:sz w:val="22"/>
          <w:szCs w:val="22"/>
        </w:rPr>
        <w:t xml:space="preserve"> https://www.cms.gov/files/document/01-chapter1-ncci-medicare-policy-manual-2025finalcleanpdf.pdf</w:t>
      </w:r>
    </w:p>
    <w:p>
      <w:pPr>
        <w:spacing w:after="120" w:line="276"/>
        <w:ind w:left="720" w:hanging="720"/>
      </w:pPr>
      <w:r>
        <w:rPr>
          <w:rFonts w:ascii="Arial" w:cs="Arial" w:eastAsia="Arial" w:hAnsi="Arial"/>
          <w:sz w:val="22"/>
          <w:szCs w:val="22"/>
        </w:rPr>
        <w:t xml:space="preserve">Cotiviti. (n.d.). </w:t>
      </w:r>
      <w:r>
        <w:rPr>
          <w:rFonts w:ascii="Arial" w:cs="Arial" w:eastAsia="Arial" w:hAnsi="Arial"/>
          <w:i/>
          <w:iCs/>
          <w:sz w:val="22"/>
          <w:szCs w:val="22"/>
        </w:rPr>
        <w:t xml:space="preserve">Payment integrity.</w:t>
      </w:r>
      <w:r>
        <w:rPr>
          <w:rFonts w:ascii="Arial" w:cs="Arial" w:eastAsia="Arial" w:hAnsi="Arial"/>
          <w:sz w:val="22"/>
          <w:szCs w:val="22"/>
        </w:rPr>
        <w:t xml:space="preserve"> Retrieved June 2026, from https://www.cotiviti.com</w:t>
      </w:r>
    </w:p>
    <w:p>
      <w:pPr>
        <w:spacing w:after="120" w:line="276"/>
        <w:ind w:left="720" w:hanging="720"/>
      </w:pPr>
      <w:r>
        <w:rPr>
          <w:rFonts w:ascii="Arial" w:cs="Arial" w:eastAsia="Arial" w:hAnsi="Arial"/>
          <w:sz w:val="22"/>
          <w:szCs w:val="22"/>
        </w:rPr>
        <w:t xml:space="preserve">Groq. (2026). </w:t>
      </w:r>
      <w:r>
        <w:rPr>
          <w:rFonts w:ascii="Arial" w:cs="Arial" w:eastAsia="Arial" w:hAnsi="Arial"/>
          <w:i/>
          <w:iCs/>
          <w:sz w:val="22"/>
          <w:szCs w:val="22"/>
        </w:rPr>
        <w:t xml:space="preserve">Tool use overview.</w:t>
      </w:r>
      <w:r>
        <w:rPr>
          <w:rFonts w:ascii="Arial" w:cs="Arial" w:eastAsia="Arial" w:hAnsi="Arial"/>
          <w:sz w:val="22"/>
          <w:szCs w:val="22"/>
        </w:rPr>
        <w:t xml:space="preserve"> Retrieved June 2026, from https://console.groq.com/docs/tool-use/overview</w:t>
      </w:r>
    </w:p>
    <w:p>
      <w:pPr>
        <w:spacing w:after="120" w:line="276"/>
        <w:ind w:left="720" w:hanging="720"/>
      </w:pPr>
      <w:r>
        <w:rPr>
          <w:rFonts w:ascii="Arial" w:cs="Arial" w:eastAsia="Arial" w:hAnsi="Arial"/>
          <w:sz w:val="22"/>
          <w:szCs w:val="22"/>
        </w:rPr>
        <w:t xml:space="preserve">Lewis, P., Perez, E., Piktus, A., Petroni, F., Karpukhin, V., Goyal, N., Küttler, H., Lewis, M., Yih, W., Rocktäschel, T., Riedel, S., &amp; Kiela, D. (2020). Retrieval-augmented generation for knowledge-intensive NLP tasks. </w:t>
      </w:r>
      <w:r>
        <w:rPr>
          <w:rFonts w:ascii="Arial" w:cs="Arial" w:eastAsia="Arial" w:hAnsi="Arial"/>
          <w:i/>
          <w:iCs/>
          <w:sz w:val="22"/>
          <w:szCs w:val="22"/>
        </w:rPr>
        <w:t xml:space="preserve">Advances in Neural Information Processing Systems, 33</w:t>
      </w:r>
      <w:r>
        <w:rPr>
          <w:rFonts w:ascii="Arial" w:cs="Arial" w:eastAsia="Arial" w:hAnsi="Arial"/>
          <w:sz w:val="22"/>
          <w:szCs w:val="22"/>
        </w:rPr>
        <w:t xml:space="preserve">, 9459-9474.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2026-06-28T18:18:18.865Z</dcterms:created>
  <dcterms:modified xsi:type="dcterms:W3CDTF">2026-06-28T18:18:18.877Z</dcterms:modified>
</cp:coreProperties>
</file>

<file path=docProps/custom.xml><?xml version="1.0" encoding="utf-8"?>
<Properties xmlns="http://schemas.openxmlformats.org/officeDocument/2006/custom-properties" xmlns:vt="http://schemas.openxmlformats.org/officeDocument/2006/docPropsVTypes"/>
</file>