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We use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(Fig. 1).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which places the minimum (21°C) at the lower end of the 95% highest density interval of that distribution.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assumed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were then taken from all temperature estimates obtained at the latitudes of interest.</w:t>
      </w:r>
    </w:p>
    <w:p>
      <w:pPr>
        <w:pStyle w:val="BodyText"/>
      </w:pPr>
      <w:r>
        <w:t xml:space="preserve">The latitudinal gradient was calculated as the difference between the modelled temperature at the equator (0° latitude) and at the poles (90° absolute latitude). To facilitate comparison with earlier estimates, we also calculated the gradient with the temperature at the polar circle (66.6° absolute latitude) being used instead of the temperature at the poles.</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-0.8–8.5)°C higher for the EECO, and polar temperatures are 18.9 (5.3–28.9)°C higher. This results in a flattened latitudinal temperature gradient of 13.3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 (3.9–6.5)°C–which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(26.3–30.3)°C, 10.7°C higher than the modern. A model run excluding the ecological proxies increases the GMST by 1.7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(2.9–9.2)°C. The inferred latitudinal gradient is somewhat steeper in the Northern Hemisphere (steeper by 1.8°C, although the 95% CI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2023-09-22T13:42:56Z</dcterms:created>
  <dcterms:modified xsi:type="dcterms:W3CDTF">2023-09-22T13:42:56Z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