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50.png" ContentType="image/png"/>
  <Override PartName="/word/media/rId5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5"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but a fundamental challenge remains: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Geochemical proxies, such as oxygen isotopes (δ</w:t>
      </w:r>
      <w:r>
        <w:rPr>
          <w:vertAlign w:val="superscript"/>
        </w:rPr>
        <w:t xml:space="preserve">18</w:t>
      </w:r>
      <w:r>
        <w:t xml:space="preserve">O), are regularly used to provide quantitative palaeotemperature estimates for the geological past at a range of temporal and spatial scales</w:t>
      </w:r>
      <w:r>
        <w:t xml:space="preserve"> </w:t>
      </w:r>
      <w:r>
        <w:t xml:space="preserve">(e.g. Liu et al., 2009; Wuchter et al., 2004)</w:t>
      </w:r>
      <w:r>
        <w:t xml:space="preserve">. However, a fundamental challenge remains which must be addressed to exploit the full potential of these advances: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At the most basic level, this can be driven by two factors: (1) missing data for some regions (e.g. no high-latitude data); or (2) overrepresentation of some regions (e.g. a high proportion of samples from tropical regions). The latter can be addressed through the down-sampling of data or restricting analyses to specific regions (e.g.</w:t>
      </w:r>
      <w:r>
        <w:t xml:space="preserve"> </w:t>
      </w:r>
      <w:r>
        <w:t xml:space="preserve">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modeled parameters means that such models can produce unrealistic temperature estimates when extrapolating from sparse data. Statistical modeling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record of past climate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 We chose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shape of the early Eocene temperature gradient between climate modellers and researchers working with the geological and fossil record</w:t>
      </w:r>
      <w:r>
        <w:t xml:space="preserve"> </w:t>
      </w:r>
      <w:r>
        <w:t xml:space="preserve">(Sloan and Barron, 1990; Markwick, 1994; Huber and Caballero, 2011; Tierney et al., 2017; Inglis et al., 2020)</w:t>
      </w:r>
      <w:r>
        <w:t xml:space="preserve">.</w:t>
      </w:r>
    </w:p>
    <w:bookmarkStart w:id="24" w:name="table-1"/>
    <w:p>
      <w:pPr>
        <w:pStyle w:val="BodyText"/>
      </w:pPr>
      <w:r>
        <w:drawing>
          <wp:inline>
            <wp:extent cx="5399999" cy="1511140"/>
            <wp:effectExtent b="0" l="0" r="0" t="0"/>
            <wp:docPr descr="" title="" id="22" name="Picture"/>
            <a:graphic>
              <a:graphicData uri="http://schemas.openxmlformats.org/drawingml/2006/picture">
                <pic:pic>
                  <pic:nvPicPr>
                    <pic:cNvPr descr="../figures/Table1.png" id="23" name="Picture"/>
                    <pic:cNvPicPr>
                      <a:picLocks noChangeArrowheads="1" noChangeAspect="1"/>
                    </pic:cNvPicPr>
                  </pic:nvPicPr>
                  <pic:blipFill>
                    <a:blip r:embed="rId21"/>
                    <a:stretch>
                      <a:fillRect/>
                    </a:stretch>
                  </pic:blipFill>
                  <pic:spPr bwMode="auto">
                    <a:xfrm>
                      <a:off x="0" y="0"/>
                      <a:ext cx="5399999" cy="1511140"/>
                    </a:xfrm>
                    <a:prstGeom prst="rect">
                      <a:avLst/>
                    </a:prstGeom>
                    <a:noFill/>
                    <a:ln w="9525">
                      <a:noFill/>
                      <a:headEnd/>
                      <a:tailEnd/>
                    </a:ln>
                  </pic:spPr>
                </pic:pic>
              </a:graphicData>
            </a:graphic>
          </wp:inline>
        </w:drawing>
      </w:r>
      <w:r>
        <w:t xml:space="preserve"> </w:t>
      </w:r>
      <w:r>
        <w:t xml:space="preserve">Table of…</w:t>
      </w:r>
    </w:p>
    <w:bookmarkEnd w:id="24"/>
    <w:bookmarkEnd w:id="25"/>
    <w:bookmarkStart w:id="49" w:name="materials-methods"/>
    <w:p>
      <w:pPr>
        <w:pStyle w:val="Heading1"/>
      </w:pPr>
      <w:r>
        <w:t xml:space="preserve">Materials &amp; Methods</w:t>
      </w:r>
    </w:p>
    <w:bookmarkStart w:id="26" w:name="modern-sea-surface-temperatures"/>
    <w:p>
      <w:pPr>
        <w:pStyle w:val="Heading2"/>
      </w:pPr>
      <w:r>
        <w:t xml:space="preserve">Modern sea surface temperatures</w:t>
      </w:r>
    </w:p>
    <w:bookmarkEnd w:id="26"/>
    <w:bookmarkStart w:id="27"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remained. For a detailed description of each proxy see</w:t>
      </w:r>
      <w:r>
        <w:t xml:space="preserve"> </w:t>
      </w:r>
      <w:r>
        <w:t xml:space="preserve">(Hollis et al., 2019)</w:t>
      </w:r>
      <w:r>
        <w:t xml:space="preserve">.</w:t>
      </w:r>
    </w:p>
    <w:bookmarkEnd w:id="27"/>
    <w:bookmarkStart w:id="32"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w:t>
      </w:r>
      <m:oMath>
        <m:sSup>
          <m:e>
            <m:r>
              <m:t>​</m:t>
            </m:r>
          </m:e>
          <m:sup>
            <m:r>
              <m:rPr>
                <m:sty m:val="p"/>
              </m:rPr>
              <m:t>∘</m:t>
            </m:r>
          </m:sup>
        </m:sSup>
      </m:oMath>
      <w:r>
        <w:t xml:space="preserve">N–32</w:t>
      </w:r>
      <m:oMath>
        <m:sSup>
          <m:e>
            <m:r>
              <m:t>​</m:t>
            </m:r>
          </m:e>
          <m:sup>
            <m:r>
              <m:rPr>
                <m:sty m:val="p"/>
              </m:rPr>
              <m:t>∘</m:t>
            </m:r>
          </m:sup>
        </m:sSup>
      </m:oMath>
      <w:r>
        <w:t xml:space="preserve">S), with minimum sea surface temperature (~18</w:t>
      </w:r>
      <m:oMath>
        <m:sSup>
          <m:e>
            <m:r>
              <m:t>​</m:t>
            </m:r>
          </m:e>
          <m:sup>
            <m:r>
              <m:rPr>
                <m:sty m:val="p"/>
              </m:rPr>
              <m:t>∘</m:t>
            </m:r>
          </m:sup>
        </m:sSup>
      </m:oMath>
      <w:r>
        <w:t xml:space="preserve">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w:t>
      </w:r>
      <m:oMath>
        <m:sSup>
          <m:e>
            <m:r>
              <m:t>​</m:t>
            </m:r>
          </m:e>
          <m:sup>
            <m:r>
              <m:rPr>
                <m:sty m:val="p"/>
              </m:rPr>
              <m:t>∘</m:t>
            </m:r>
          </m:sup>
        </m:sSup>
      </m:oMath>
      <w:r>
        <w:t xml:space="preserve">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w:t>
      </w:r>
      <w:r>
        <w:t xml:space="preserve"> </w:t>
      </w:r>
      <m:oMath>
        <m:sSup>
          <m:e>
            <m:r>
              <m:t>​</m:t>
            </m:r>
          </m:e>
          <m:sup>
            <m:r>
              <m:rPr>
                <m:sty m:val="p"/>
              </m:rPr>
              <m:t>∘</m:t>
            </m:r>
          </m:sup>
        </m:sSup>
      </m:oMath>
      <w:r>
        <w:t xml:space="preserve">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from the compilation that are inferred to be Ilerdian (early Eocene) coral reefs,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w:t>
      </w:r>
      <m:oMath>
        <m:sSup>
          <m:e>
            <m:r>
              <m:t>​</m:t>
            </m:r>
          </m:e>
          <m:sup>
            <m:r>
              <m:rPr>
                <m:sty m:val="p"/>
              </m:rPr>
              <m:t>∘</m:t>
            </m:r>
          </m:sup>
        </m:sSup>
      </m:oMath>
      <w:r>
        <w:t xml:space="preserve"> </w:t>
      </w:r>
      <w:r>
        <w:t xml:space="preserve">N). Subsequently, we use statistically derived temperature limits (minimum = 21</w:t>
      </w:r>
      <m:oMath>
        <m:sSup>
          <m:e>
            <m:r>
              <m:t>​</m:t>
            </m:r>
          </m:e>
          <m:sup>
            <m:r>
              <m:rPr>
                <m:sty m:val="p"/>
              </m:rPr>
              <m:t>∘</m:t>
            </m:r>
          </m:sup>
        </m:sSup>
      </m:oMath>
      <w:r>
        <w:t xml:space="preserve">C, average = 27.6</w:t>
      </w:r>
      <m:oMath>
        <m:sSup>
          <m:e>
            <m:r>
              <m:t>​</m:t>
            </m:r>
          </m:e>
          <m:sup>
            <m:r>
              <m:rPr>
                <m:sty m:val="p"/>
              </m:rPr>
              <m:t>∘</m:t>
            </m:r>
          </m:sup>
        </m:sSup>
      </m:oMath>
      <w:r>
        <w:t xml:space="preserve">C, maximum = 29.5</w:t>
      </w:r>
      <m:oMath>
        <m:sSup>
          <m:e>
            <m:r>
              <m:t>​</m:t>
            </m:r>
          </m:e>
          <m:sup>
            <m:r>
              <m:rPr>
                <m:sty m:val="p"/>
              </m:rPr>
              <m:t>∘</m:t>
            </m:r>
          </m:sup>
        </m:sSup>
      </m:oMath>
      <w:r>
        <w:t xml:space="preserve">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w:t>
      </w:r>
      <m:oMath>
        <m:sSup>
          <m:e>
            <m:r>
              <m:t>​</m:t>
            </m:r>
          </m:e>
          <m:sup>
            <m:r>
              <m:rPr>
                <m:sty m:val="p"/>
              </m:rPr>
              <m:t>∘</m:t>
            </m:r>
          </m:sup>
        </m:sSup>
      </m:oMath>
      <w:r>
        <w:t xml:space="preserve">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w:t>
      </w:r>
      <m:oMath>
        <m:sSup>
          <m:e>
            <m:r>
              <m:t>​</m:t>
            </m:r>
          </m:e>
          <m:sup>
            <m:r>
              <m:rPr>
                <m:sty m:val="p"/>
              </m:rPr>
              <m:t>∘</m:t>
            </m:r>
          </m:sup>
        </m:sSup>
      </m:oMath>
      <w:r>
        <w:t xml:space="preserve">C) and</w:t>
      </w:r>
      <w:r>
        <w:t xml:space="preserve"> </w:t>
      </w:r>
      <w:r>
        <w:rPr>
          <w:iCs/>
          <w:i/>
        </w:rPr>
        <w:t xml:space="preserve">Rhizophora</w:t>
      </w:r>
      <w:r>
        <w:t xml:space="preserve"> </w:t>
      </w:r>
      <w:r>
        <w:t xml:space="preserve">(20.7</w:t>
      </w:r>
      <m:oMath>
        <m:sSup>
          <m:e>
            <m:r>
              <m:t>​</m:t>
            </m:r>
          </m:e>
          <m:sup>
            <m:r>
              <m:rPr>
                <m:sty m:val="p"/>
              </m:rPr>
              <m:t>∘</m:t>
            </m:r>
          </m:sup>
        </m:sSup>
      </m:oMath>
      <w:r>
        <w:t xml:space="preserve">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w:t>
      </w:r>
      <m:oMath>
        <m:sSup>
          <m:e>
            <m:r>
              <m:t>​</m:t>
            </m:r>
          </m:e>
          <m:sup>
            <m:r>
              <m:rPr>
                <m:sty m:val="p"/>
              </m:rPr>
              <m:t>∘</m:t>
            </m:r>
          </m:sup>
        </m:sSup>
      </m:oMath>
      <w:r>
        <w:t xml:space="preserve">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w:t>
      </w:r>
      <m:oMath>
        <m:sSup>
          <m:e>
            <m:r>
              <m:t>​</m:t>
            </m:r>
          </m:e>
          <m:sup>
            <m:r>
              <m:rPr>
                <m:sty m:val="p"/>
              </m:rPr>
              <m:t>∘</m:t>
            </m:r>
          </m:sup>
        </m:sSup>
      </m:oMath>
      <w:r>
        <w:t xml:space="preserve">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w:t>
      </w:r>
      <m:oMath>
        <m:sSup>
          <m:e>
            <m:r>
              <m:t>​</m:t>
            </m:r>
          </m:e>
          <m:sup>
            <m:r>
              <m:rPr>
                <m:sty m:val="p"/>
              </m:rPr>
              <m:t>∘</m:t>
            </m:r>
          </m:sup>
        </m:sSup>
      </m:oMath>
      <w:r>
        <w:t xml:space="preserve">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w:t>
      </w:r>
      <m:oMath>
        <m:sSup>
          <m:e>
            <m:r>
              <m:t>​</m:t>
            </m:r>
          </m:e>
          <m:sup>
            <m:r>
              <m:rPr>
                <m:sty m:val="p"/>
              </m:rPr>
              <m:t>∘</m:t>
            </m:r>
          </m:sup>
        </m:sSup>
      </m:oMath>
      <w:r>
        <w:t xml:space="preserve">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w:t>
      </w:r>
      <m:oMath>
        <m:sSup>
          <m:e>
            <m:r>
              <m:t>​</m:t>
            </m:r>
          </m:e>
          <m:sup>
            <m:r>
              <m:rPr>
                <m:sty m:val="p"/>
              </m:rPr>
              <m:t>∘</m:t>
            </m:r>
          </m:sup>
        </m:sSup>
      </m:oMath>
      <w:r>
        <w:t xml:space="preserve">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31" w:name="fig-1"/>
          <w:p>
            <w:pPr>
              <w:jc w:val="center"/>
            </w:pPr>
            <w:r>
              <w:drawing>
                <wp:inline>
                  <wp:extent cx="5399999" cy="3239542"/>
                  <wp:effectExtent b="0" l="0" r="0" t="0"/>
                  <wp:docPr descr="" title="" id="29" name="Picture"/>
                  <a:graphic>
                    <a:graphicData uri="http://schemas.openxmlformats.org/drawingml/2006/picture">
                      <pic:pic>
                        <pic:nvPicPr>
                          <pic:cNvPr descr="../figures/fig_1.png" id="30" name="Picture"/>
                          <pic:cNvPicPr>
                            <a:picLocks noChangeArrowheads="1" noChangeAspect="1"/>
                          </pic:cNvPicPr>
                        </pic:nvPicPr>
                        <pic:blipFill>
                          <a:blip r:embed="rId28"/>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 Palaeocoordinates of samples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31"/>
        </w:tc>
      </w:tr>
    </w:tbl>
    <w:bookmarkEnd w:id="32"/>
    <w:bookmarkStart w:id="33"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ecological data, were used for palaeogeographic reconstruction.</w:t>
      </w:r>
    </w:p>
    <w:bookmarkEnd w:id="33"/>
    <w:bookmarkStart w:id="44"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 growth curve or Richard’s curve) of the form:</w:t>
      </w:r>
    </w:p>
    <w:p>
      <w:pPr>
        <w:pStyle w:val="BodyText"/>
      </w:pPr>
      <w:bookmarkStart w:id="34"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4"/>
    </w:p>
    <w:p>
      <w:pPr>
        <w:pStyle w:val="FirstParagraph"/>
      </w:pPr>
      <w:bookmarkStart w:id="35"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5"/>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6"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6"/>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7"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7"/>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8"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8"/>
    </w:p>
    <w:p>
      <w:pPr>
        <w:pStyle w:val="FirstParagraph"/>
      </w:pPr>
      <w:bookmarkStart w:id="39"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9"/>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40"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40"/>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41"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41"/>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w:bookmarkStart w:id="42"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42"/>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w:bookmarkStart w:id="43"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43"/>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bookmarkEnd w:id="44"/>
    <w:bookmarkStart w:id="45"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(n = 34), providing an empirical example distribution that captures both limited sample size and skewed geographic distributions. To assess how well the modeled gradients reconstructed from limited sampling fit the idealised gradients, we calculated an R^2 for Bayesian regression models</w:t>
      </w:r>
      <w:r>
        <w:t xml:space="preserve"> </w:t>
      </w:r>
      <w:r>
        <w:t xml:space="preserve">(Gelman et al., 2019)</w:t>
      </w:r>
      <w:r>
        <w:t xml:space="preserve">. For every iteration from the posterior, we intercepted the modeled and the idealised gradient in intervals of 1</w:t>
      </w:r>
      <m:oMath>
        <m:sSup>
          <m:e>
            <m:r>
              <m:t>​</m:t>
            </m:r>
          </m:e>
          <m:sup>
            <m:r>
              <m:rPr>
                <m:sty m:val="p"/>
              </m:rPr>
              <m:t>∘</m:t>
            </m:r>
          </m:sup>
        </m:sSup>
      </m:oMath>
      <w:r>
        <w:t xml:space="preserve"> </w:t>
      </w:r>
      <w:r>
        <w:t xml:space="preserve">latitude, and calculated the R^2 based on these values. We report the median, and 2.5th and 97.5th percentile of the resulting R^2 measures.</w:t>
      </w:r>
    </w:p>
    <w:p>
      <w:pPr>
        <w:pStyle w:val="BodyText"/>
      </w:pPr>
      <w:r>
        <w:t xml:space="preserve">To test whether out model can accurately model the the modern sea surface temperature gradient, and to facilitate comparison with the Eocene gradient, we applied our model to annual sea surface mean temperatures from Bio-Oracle</w:t>
      </w:r>
      <w:r>
        <w:t xml:space="preserve"> </w:t>
      </w:r>
      <w:r>
        <w:t xml:space="preserve">(Assis et al., 2018)</w:t>
      </w:r>
      <w:r>
        <w:t xml:space="preserve">, down-sampled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(n = 46,131). The R^2 for the modern gradient was calculated as described above, comparing the modeled gradient and the empirical temperature averages in 1</w:t>
      </w:r>
      <m:oMath>
        <m:sSup>
          <m:e>
            <m:r>
              <m:t>​</m:t>
            </m:r>
          </m:e>
          <m:sup>
            <m:r>
              <m:rPr>
                <m:sty m:val="p"/>
              </m:rPr>
              <m:t>∘</m:t>
            </m:r>
          </m:sup>
        </m:sSup>
      </m:oMath>
      <w:r>
        <w:t xml:space="preserve"> </w:t>
      </w:r>
      <w:r>
        <w:t xml:space="preserve">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We thus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5"/>
    <w:bookmarkStart w:id="46"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46"/>
    <w:bookmarkStart w:id="48" w:name="processing-of-model-results"/>
    <w:p>
      <w:pPr>
        <w:pStyle w:val="Heading2"/>
      </w:pPr>
      <w:r>
        <w:t xml:space="preserve">Processing of model results</w:t>
      </w:r>
    </w:p>
    <w:p>
      <w:pPr>
        <w:pStyle w:val="FirstParagraph"/>
      </w:pPr>
      <w:r>
        <w:t xml:space="preserve">Modeled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percentiles of temperatures where then taken from all temperature estimates obtained at the latitude of interest.</w:t>
      </w:r>
    </w:p>
    <w:p>
      <w:pPr>
        <w:pStyle w:val="BodyText"/>
      </w:pPr>
      <w:r>
        <w:t xml:space="preserve">The latitudinal gradient is calculated as the difference between the modeled temperature at the equator (0</w:t>
      </w:r>
      <m:oMath>
        <m:sSup>
          <m:e>
            <m:r>
              <m:t>​</m:t>
            </m:r>
          </m:e>
          <m:sup>
            <m:r>
              <m:rPr>
                <m:sty m:val="p"/>
              </m:rPr>
              <m:t>∘</m:t>
            </m:r>
          </m:sup>
        </m:sSup>
      </m:oMath>
      <w:r>
        <w:t xml:space="preserve"> </w:t>
      </w:r>
      <w:r>
        <w:t xml:space="preserve">latitude) and at the poles (90</w:t>
      </w:r>
      <m:oMath>
        <m:sSup>
          <m:e>
            <m:r>
              <m:t>​</m:t>
            </m:r>
          </m:e>
          <m:sup>
            <m:r>
              <m:rPr>
                <m:sty m:val="p"/>
              </m:rPr>
              <m:t>∘</m:t>
            </m:r>
          </m:sup>
        </m:sSup>
      </m:oMath>
      <w:r>
        <w:t xml:space="preserve"> </w:t>
      </w:r>
      <w:r>
        <w:t xml:space="preserve">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p>
    <w:p>
      <w:pPr>
        <w:pStyle w:val="BodyText"/>
      </w:pP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w:t>
      </w:r>
      <m:oMath>
        <m:sSup>
          <m:e>
            <m:r>
              <m:t>​</m:t>
            </m:r>
          </m:e>
          <m:sup>
            <m:r>
              <m:rPr>
                <m:sty m:val="p"/>
              </m:rPr>
              <m:t>∘</m:t>
            </m:r>
          </m:sup>
        </m:sSup>
      </m:oMath>
      <w:r>
        <w:t xml:space="preserve"> </w:t>
      </w:r>
      <w:r>
        <w:t xml:space="preserve">latitudinal bins. The weights were set to the proportion of global surface area in each latitudinal bin, i.e. decreasing with increasing latitude as:</w:t>
      </w:r>
    </w:p>
    <w:p>
      <w:pPr>
        <w:pStyle w:val="BodyText"/>
      </w:pPr>
      <w:bookmarkStart w:id="47"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7"/>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w:t>
      </w:r>
    </w:p>
    <w:bookmarkEnd w:id="48"/>
    <w:bookmarkEnd w:id="49"/>
    <w:bookmarkStart w:id="64" w:name="results"/>
    <w:p>
      <w:pPr>
        <w:pStyle w:val="Heading1"/>
      </w:pPr>
      <w:r>
        <w:t xml:space="preserve">Results</w:t>
      </w:r>
    </w:p>
    <w:bookmarkStart w:id="58" w:name="model-validation-and-modern-gradient"/>
    <w:p>
      <w:pPr>
        <w:pStyle w:val="Heading2"/>
      </w:pPr>
      <w:r>
        <w:t xml:space="preserve">Model validation and modern gradient</w:t>
      </w:r>
    </w:p>
    <w:tbl>
      <w:tblPr>
        <w:tblStyle w:val="Table"/>
        <w:tblW w:type="pct" w:w="5000"/>
        <w:tblLook w:firstRow="0" w:lastRow="0" w:firstColumn="0" w:lastColumn="0" w:noHBand="0" w:noVBand="0" w:val="0000"/>
      </w:tblPr>
      <w:tblGrid>
        <w:gridCol w:w="7920"/>
      </w:tblGrid>
      <w:tr>
        <w:tc>
          <w:tcPr/>
          <w:bookmarkStart w:id="53" w:name="fig-2"/>
          <w:p>
            <w:pPr>
              <w:jc w:val="center"/>
            </w:pPr>
            <w:r>
              <w:drawing>
                <wp:inline>
                  <wp:extent cx="5399999" cy="5399999"/>
                  <wp:effectExtent b="0" l="0" r="0" t="0"/>
                  <wp:docPr descr="" title="" id="51" name="Picture"/>
                  <a:graphic>
                    <a:graphicData uri="http://schemas.openxmlformats.org/drawingml/2006/picture">
                      <pic:pic>
                        <pic:nvPicPr>
                          <pic:cNvPr descr="../figures/fig_2.png" id="52" name="Picture"/>
                          <pic:cNvPicPr>
                            <a:picLocks noChangeArrowheads="1" noChangeAspect="1"/>
                          </pic:cNvPicPr>
                        </pic:nvPicPr>
                        <pic:blipFill>
                          <a:blip r:embed="rId50"/>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w:r>
              <w:rPr>
                <w:iCs/>
                <w:i/>
              </w:rPr>
              <w:t xml:space="preserve">R</w:t>
            </w:r>
            <w:r>
              <w:t xml:space="preserve">^2) for estimating goodness of fit between the simulated and modeled gradient. The median (50%)</w:t>
            </w:r>
            <w:r>
              <w:t xml:space="preserve"> </w:t>
            </w:r>
            <w:r>
              <w:rPr>
                <w:iCs/>
                <w:i/>
              </w:rPr>
              <w:t xml:space="preserve">R</w:t>
            </w:r>
            <w:r>
              <w:rPr>
                <w:vertAlign w:val="superscript"/>
              </w:rPr>
              <w:t xml:space="preserve">2</w:t>
            </w:r>
            <w:r>
              <w:t xml:space="preserve"> </w:t>
            </w:r>
            <w:r>
              <w:t xml:space="preserve">value along with the 2.5% and 97.5% confidence intervals from the 1000 model runs are shown. Each gradient is depicted in absolute latitude.</w:t>
            </w:r>
          </w:p>
          <w:bookmarkEnd w:id="53"/>
        </w:tc>
      </w:tr>
    </w:tbl>
    <w:p/>
    <w:tbl>
      <w:tblPr>
        <w:tblStyle w:val="Table"/>
        <w:tblW w:type="pct" w:w="5000"/>
        <w:tblLook w:firstRow="0" w:lastRow="0" w:firstColumn="0" w:lastColumn="0" w:noHBand="0" w:noVBand="0" w:val="0000"/>
      </w:tblPr>
      <w:tblGrid>
        <w:gridCol w:w="7920"/>
      </w:tblGrid>
      <w:tr>
        <w:tc>
          <w:tcPr/>
          <w:bookmarkStart w:id="57" w:name="fig-3"/>
          <w:p>
            <w:pPr>
              <w:jc w:val="center"/>
            </w:pPr>
            <w:r>
              <w:drawing>
                <wp:inline>
                  <wp:extent cx="3599999" cy="3599999"/>
                  <wp:effectExtent b="0" l="0" r="0" t="0"/>
                  <wp:docPr descr="" title="" id="55" name="Picture"/>
                  <a:graphic>
                    <a:graphicData uri="http://schemas.openxmlformats.org/drawingml/2006/picture">
                      <pic:pic>
                        <pic:nvPicPr>
                          <pic:cNvPr descr="../figures/fig_3.png" id="56" name="Picture"/>
                          <pic:cNvPicPr>
                            <a:picLocks noChangeArrowheads="1" noChangeAspect="1"/>
                          </pic:cNvPicPr>
                        </pic:nvPicPr>
                        <pic:blipFill>
                          <a:blip r:embed="rId54"/>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temperatures. Grey points depict the individual cell values of the Bio-ORACLE grid.</w:t>
            </w:r>
          </w:p>
          <w:bookmarkEnd w:id="57"/>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already at a sample size of 10 for the icehouse scenarios (95 % CI of R^2 &gt; 0.9). Greenhouse scenarios require more random samples to accurately predict high-latitude temperatures. This is because in the absence of high-latitude samples, the modeled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 R^2 &gt; 0.95).</w:t>
      </w:r>
    </w:p>
    <w:p>
      <w:pPr>
        <w:pStyle w:val="BodyText"/>
      </w:pPr>
      <w:r>
        <w:t xml:space="preserve">The average, modern temperature gradient can be closely approximated with our model when using the full modern SST dataset (Fig. 3); almost all of the variation in the empirical median temperatures in bins of 1</w:t>
      </w:r>
      <m:oMath>
        <m:sSup>
          <m:e>
            <m:r>
              <m:t>​</m:t>
            </m:r>
          </m:e>
          <m:sup>
            <m:r>
              <m:rPr>
                <m:sty m:val="p"/>
              </m:rPr>
              <m:t>∘</m:t>
            </m:r>
          </m:sup>
        </m:sSup>
      </m:oMath>
      <w:r>
        <w:t xml:space="preserve"> </w:t>
      </w:r>
      <w:r>
        <w:t xml:space="preserve">absolute latitude is explained by the modeled gradient (</w:t>
      </w:r>
      <m:oMath>
        <m:sSup>
          <m:e>
            <m:r>
              <m:t>R</m:t>
            </m:r>
          </m:e>
          <m:sup>
            <m:r>
              <m:t>2</m:t>
            </m:r>
          </m:sup>
        </m:sSup>
        <m:r>
          <m:rPr>
            <m:sty m:val="p"/>
          </m:rPr>
          <m:t>=</m:t>
        </m:r>
        <m:r>
          <m:t>0.997</m:t>
        </m:r>
      </m:oMath>
      <w:r>
        <w:t xml:space="preserve">). The empirical gradient spans 29.3</w:t>
      </w:r>
      <m:oMath>
        <m:sSup>
          <m:e>
            <m:r>
              <m:t>​</m:t>
            </m:r>
          </m:e>
          <m:sup>
            <m:r>
              <m:rPr>
                <m:sty m:val="p"/>
              </m:rPr>
              <m:t>∘</m:t>
            </m:r>
          </m:sup>
        </m:sSup>
      </m:oMath>
      <w:r>
        <w:t xml:space="preserve">C from the equator to the poles, the modeled gradient is only very slightly higher at 29.6</w:t>
      </w:r>
      <m:oMath>
        <m:sSup>
          <m:e>
            <m:r>
              <m:t>​</m:t>
            </m:r>
          </m:e>
          <m:sup>
            <m:r>
              <m:rPr>
                <m:sty m:val="p"/>
              </m:rPr>
              <m:t>∘</m:t>
            </m:r>
          </m:sup>
        </m:sSup>
      </m:oMath>
      <w:r>
        <w:t xml:space="preserve">C. The modern, global men sea surface temperature based on our modeled gradient is 17.6</w:t>
      </w:r>
      <m:oMath>
        <m:sSup>
          <m:e>
            <m:r>
              <m:t>​</m:t>
            </m:r>
          </m:e>
          <m:sup>
            <m:r>
              <m:rPr>
                <m:sty m:val="p"/>
              </m:rPr>
              <m:t>∘</m:t>
            </m:r>
          </m:sup>
        </m:sSup>
      </m:oMath>
      <w:r>
        <w:t xml:space="preserve">C.</w:t>
      </w:r>
    </w:p>
    <w:bookmarkEnd w:id="58"/>
    <w:bookmarkStart w:id="63"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w:t>
      </w:r>
      <m:oMath>
        <m:sSup>
          <m:e>
            <m:r>
              <m:t>​</m:t>
            </m:r>
          </m:e>
          <m:sup>
            <m:r>
              <m:rPr>
                <m:sty m:val="p"/>
              </m:rPr>
              <m:t>∘</m:t>
            </m:r>
          </m:sup>
        </m:sSup>
      </m:oMath>
      <w:r>
        <w:t xml:space="preserve">C higher for the EECO, and polar temperatures are higher by 25.0 (17.0 - 29.1)</w:t>
      </w:r>
      <m:oMath>
        <m:sSup>
          <m:e>
            <m:r>
              <m:t>​</m:t>
            </m:r>
          </m:e>
          <m:sup>
            <m:r>
              <m:rPr>
                <m:sty m:val="p"/>
              </m:rPr>
              <m:t>∘</m:t>
            </m:r>
          </m:sup>
        </m:sSup>
      </m:oMath>
      <w:r>
        <w:t xml:space="preserve">C. This results in a flattened latitudinal temperature gradient of 9.0 ( 2.5 - 17.8)</w:t>
      </w:r>
      <m:oMath>
        <m:sSup>
          <m:e>
            <m:r>
              <m:t>​</m:t>
            </m:r>
          </m:e>
          <m:sup>
            <m:r>
              <m:rPr>
                <m:sty m:val="p"/>
              </m:rPr>
              <m:t>∘</m:t>
            </m:r>
          </m:sup>
        </m:sSup>
      </m:oMath>
      <w:r>
        <w:t xml:space="preserve">C for the EECO, as opposed to 29.6</w:t>
      </w:r>
      <m:oMath>
        <m:sSup>
          <m:e>
            <m:r>
              <m:t>​</m:t>
            </m:r>
          </m:e>
          <m:sup>
            <m:r>
              <m:rPr>
                <m:sty m:val="p"/>
              </m:rPr>
              <m:t>∘</m:t>
            </m:r>
          </m:sup>
        </m:sSup>
      </m:oMath>
      <w:r>
        <w:t xml:space="preserve">C for the modern. To facilitate the comparison with latitudinal gradients reported in the literature, which sometimes do not report temperatures in very high latitudes, we report also the EECO gradient between the equator and the modern-day polar circle (66.6</w:t>
      </w:r>
      <m:oMath>
        <m:sSup>
          <m:e>
            <m:r>
              <m:t>​</m:t>
            </m:r>
          </m:e>
          <m:sup>
            <m:r>
              <m:rPr>
                <m:sty m:val="p"/>
              </m:rPr>
              <m:t>∘</m:t>
            </m:r>
          </m:sup>
        </m:sSup>
      </m:oMath>
      <w:r>
        <w:t xml:space="preserve">), which is slightly lower at 7.8 ( 2.2 - 13.7)</w:t>
      </w:r>
      <m:oMath>
        <m:sSup>
          <m:e>
            <m:r>
              <m:t>​</m:t>
            </m:r>
          </m:e>
          <m:sup>
            <m:r>
              <m:rPr>
                <m:sty m:val="p"/>
              </m:rPr>
              <m:t>∘</m:t>
            </m:r>
          </m:sup>
        </m:sSup>
      </m:oMath>
      <w:r>
        <w:t xml:space="preserve">C.</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w:t>
      </w:r>
      <m:oMath>
        <m:sSup>
          <m:e>
            <m:r>
              <m:t>​</m:t>
            </m:r>
          </m:e>
          <m:sup>
            <m:r>
              <m:rPr>
                <m:sty m:val="p"/>
              </m:rPr>
              <m:t>∘</m:t>
            </m:r>
          </m:sup>
        </m:sSup>
      </m:oMath>
      <w:r>
        <w:t xml:space="preserve">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w:t>
      </w:r>
      <m:oMath>
        <m:sSup>
          <m:e>
            <m:r>
              <m:t>​</m:t>
            </m:r>
          </m:e>
          <m:sup>
            <m:r>
              <m:rPr>
                <m:sty m:val="p"/>
              </m:rPr>
              <m:t>∘</m:t>
            </m:r>
          </m:sup>
        </m:sSup>
      </m:oMath>
      <w:r>
        <w:t xml:space="preserve">C, 11.1</w:t>
      </w:r>
      <m:oMath>
        <m:sSup>
          <m:e>
            <m:r>
              <m:t>​</m:t>
            </m:r>
          </m:e>
          <m:sup>
            <m:r>
              <m:rPr>
                <m:sty m:val="p"/>
              </m:rPr>
              <m:t>∘</m:t>
            </m:r>
          </m:sup>
        </m:sSup>
      </m:oMath>
      <w:r>
        <w:t xml:space="preserve">C higher than the modern. A model run excluding the ecological proxies increases the GMsST by 1.6 (-1.8 - 4.8)</w:t>
      </w:r>
      <m:oMath>
        <m:sSup>
          <m:e>
            <m:r>
              <m:t>​</m:t>
            </m:r>
          </m:e>
          <m:sup>
            <m:r>
              <m:rPr>
                <m:sty m:val="p"/>
              </m:rPr>
              <m:t>∘</m:t>
            </m:r>
          </m:sup>
        </m:sSup>
      </m:oMath>
      <w:r>
        <w:t xml:space="preserve">C. The median latitudinal gradient is similar when excluding the ecological proxies, with a median of 9.2</w:t>
      </w:r>
      <m:oMath>
        <m:sSup>
          <m:e>
            <m:r>
              <m:t>​</m:t>
            </m:r>
          </m:e>
          <m:sup>
            <m:r>
              <m:rPr>
                <m:sty m:val="p"/>
              </m:rPr>
              <m:t>∘</m:t>
            </m:r>
          </m:sup>
        </m:sSup>
      </m:oMath>
      <w:r>
        <w:t xml:space="preserve">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w:t>
      </w:r>
      <m:oMath>
        <m:sSup>
          <m:e>
            <m:r>
              <m:t>​</m:t>
            </m:r>
          </m:e>
          <m:sup>
            <m:r>
              <m:rPr>
                <m:sty m:val="p"/>
              </m:rPr>
              <m:t>∘</m:t>
            </m:r>
          </m:sup>
        </m:sSup>
      </m:oMath>
      <w:r>
        <w:t xml:space="preserve">C. The inferred latitudinal gradient is somewhat steeper in the northern hemisphere ( 4.8</w:t>
      </w:r>
      <m:oMath>
        <m:sSup>
          <m:e>
            <m:r>
              <m:t>​</m:t>
            </m:r>
          </m:e>
          <m:sup>
            <m:r>
              <m:rPr>
                <m:sty m:val="p"/>
              </m:rPr>
              <m:t>∘</m:t>
            </m:r>
          </m:sup>
        </m:sSup>
      </m:oMath>
      <w:r>
        <w:t xml:space="preserve">C, although the 95% CI spans -6.6 to 14.3</w:t>
      </w:r>
      <m:oMath>
        <m:sSup>
          <m:e>
            <m:r>
              <m:t>​</m:t>
            </m:r>
          </m:e>
          <m:sup>
            <m:r>
              <m:rPr>
                <m:sty m:val="p"/>
              </m:rPr>
              <m:t>∘</m:t>
            </m:r>
          </m:sup>
        </m:sSup>
      </m:oMath>
      <w:r>
        <w:t xml:space="preserve">C), but the large uncertainties associated with both gradients, and the lack of polar proxy data in the southern hemisphere preclude a more precise statement (Fig. S3).</w:t>
      </w:r>
    </w:p>
    <w:tbl>
      <w:tblPr>
        <w:tblStyle w:val="Table"/>
        <w:tblW w:type="pct" w:w="5000"/>
        <w:tblLook w:firstRow="0" w:lastRow="0" w:firstColumn="0" w:lastColumn="0" w:noHBand="0" w:noVBand="0" w:val="0000"/>
      </w:tblPr>
      <w:tblGrid>
        <w:gridCol w:w="7920"/>
      </w:tblGrid>
      <w:tr>
        <w:tc>
          <w:tcPr/>
          <w:bookmarkStart w:id="62" w:name="fig-4"/>
          <w:p>
            <w:pPr>
              <w:jc w:val="center"/>
            </w:pPr>
            <w:r>
              <w:drawing>
                <wp:inline>
                  <wp:extent cx="3599999" cy="3599999"/>
                  <wp:effectExtent b="0" l="0" r="0" t="0"/>
                  <wp:docPr descr="" title="" id="60" name="Picture"/>
                  <a:graphic>
                    <a:graphicData uri="http://schemas.openxmlformats.org/drawingml/2006/picture">
                      <pic:pic>
                        <pic:nvPicPr>
                          <pic:cNvPr descr="../figures/fig_4.png" id="61" name="Picture"/>
                          <pic:cNvPicPr>
                            <a:picLocks noChangeArrowheads="1" noChangeAspect="1"/>
                          </pic:cNvPicPr>
                        </pic:nvPicPr>
                        <pic:blipFill>
                          <a:blip r:embed="rId5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early Eocene climatic optimum and the present-day latitudinal temperature gradient using the Bayesian model. The estimated present-day (turquoise line) and early Eocene climatic optimum (purple line) latitudinal temperature gradient. The respective ribbons (green and purple shading) depict the 95% credible intervals of the estimated gradients. Points within the plot depict the palaeolatitudinal distribution of geochemical (e.g. δ</w:t>
            </w:r>
            <w:r>
              <w:rPr>
                <w:vertAlign w:val="superscript"/>
              </w:rPr>
              <w:t xml:space="preserve">18</w:t>
            </w:r>
            <w:r>
              <w:t xml:space="preserve">O) and ecological (e.g. mangroves) data. Geochemical data are plotted by their point estimate temperature value. Ecological data are plotted at the mean temperature values of their respective normal distributions.</w:t>
            </w:r>
          </w:p>
          <w:bookmarkEnd w:id="62"/>
        </w:tc>
      </w:tr>
    </w:tbl>
    <w:bookmarkEnd w:id="63"/>
    <w:bookmarkEnd w:id="64"/>
    <w:bookmarkStart w:id="68" w:name="discussion"/>
    <w:p>
      <w:pPr>
        <w:pStyle w:val="Heading1"/>
      </w:pPr>
      <w:r>
        <w:t xml:space="preserve">Discussion</w:t>
      </w:r>
    </w:p>
    <w:bookmarkStart w:id="65"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65"/>
    <w:bookmarkStart w:id="66"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66"/>
    <w:bookmarkStart w:id="67"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w:t>
      </w:r>
      <m:oMath>
        <m:sSup>
          <m:e>
            <m:r>
              <m:t>​</m:t>
            </m:r>
          </m:e>
          <m:sup>
            <m:r>
              <m:rPr>
                <m:sty m:val="p"/>
              </m:rPr>
              <m:t>∘</m:t>
            </m:r>
          </m:sup>
        </m:sSup>
      </m:oMath>
      <w:r>
        <w:t xml:space="preserve">C, using the difference between the mean tropical and deep ocean data. The modeled SST of</w:t>
      </w:r>
      <w:r>
        <w:t xml:space="preserve"> </w:t>
      </w:r>
      <w:r>
        <w:t xml:space="preserve">Tierney et al. (2017)</w:t>
      </w:r>
      <w:r>
        <w:t xml:space="preserve"> </w:t>
      </w:r>
      <w:r>
        <w:t xml:space="preserve">using TEX86 is ~ 12</w:t>
      </w:r>
      <m:oMath>
        <m:sSup>
          <m:e>
            <m:r>
              <m:t>​</m:t>
            </m:r>
          </m:e>
          <m:sup>
            <m:r>
              <m:rPr>
                <m:sty m:val="p"/>
              </m:rPr>
              <m:t>∘</m:t>
            </m:r>
          </m:sup>
        </m:sSup>
      </m:oMath>
      <w:r>
        <w:t xml:space="preserve">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w:t>
      </w:r>
      <m:oMath>
        <m:sSup>
          <m:e>
            <m:r>
              <m:t>​</m:t>
            </m:r>
          </m:e>
          <m:sup>
            <m:r>
              <m:rPr>
                <m:sty m:val="p"/>
              </m:rPr>
              <m:t>∘</m:t>
            </m:r>
          </m:sup>
        </m:sSup>
      </m:oMath>
      <w:r>
        <w:t xml:space="preserve">C. All of those estimates are significantly lower than the SST gradient predicted by an EECO climate model ensemble</w:t>
      </w:r>
      <w:r>
        <w:t xml:space="preserve"> </w:t>
      </w:r>
      <w:r>
        <w:t xml:space="preserve">Tierney et al. (2017)</w:t>
      </w:r>
      <w:r>
        <w:t xml:space="preserve">, which predicts a polar circle to equatorial gradient of 26</w:t>
      </w:r>
      <m:oMath>
        <m:sSup>
          <m:e>
            <m:r>
              <m:t>​</m:t>
            </m:r>
          </m:e>
          <m:sup>
            <m:r>
              <m:rPr>
                <m:sty m:val="p"/>
              </m:rPr>
              <m:t>∘</m:t>
            </m:r>
          </m:sup>
        </m:sSup>
      </m:oMath>
      <w:r>
        <w:t xml:space="preserve">C.</w:t>
      </w:r>
      <w:r>
        <w:t xml:space="preserve"> </w:t>
      </w:r>
      <w:r>
        <w:t xml:space="preserve">Keating-Bitonti et al. (2011)</w:t>
      </w:r>
      <w:r>
        <w:t xml:space="preserve"> </w:t>
      </w:r>
      <w:r>
        <w:t xml:space="preserve">show a proxy-based SST gradient of ~ 13</w:t>
      </w:r>
      <m:oMath>
        <m:sSup>
          <m:e>
            <m:r>
              <m:t>​</m:t>
            </m:r>
          </m:e>
          <m:sup>
            <m:r>
              <m:rPr>
                <m:sty m:val="p"/>
              </m:rPr>
              <m:t>∘</m:t>
            </m:r>
          </m:sup>
        </m:sSup>
      </m:oMath>
      <w:r>
        <w:t xml:space="preserve">C, and</w:t>
      </w:r>
      <w:r>
        <w:t xml:space="preserve"> </w:t>
      </w:r>
      <w:r>
        <w:t xml:space="preserve">Bijl et al. (2009)</w:t>
      </w:r>
      <w:r>
        <w:t xml:space="preserve"> </w:t>
      </w:r>
      <w:r>
        <w:t xml:space="preserve">model a gradient of ~9</w:t>
      </w:r>
      <m:oMath>
        <m:sSup>
          <m:e>
            <m:r>
              <m:t>​</m:t>
            </m:r>
          </m:e>
          <m:sup>
            <m:r>
              <m:rPr>
                <m:sty m:val="p"/>
              </m:rPr>
              <m:t>∘</m:t>
            </m:r>
          </m:sup>
        </m:sSup>
      </m:oMath>
      <w:r>
        <w:t xml:space="preserve">C in the northern and only ~5</w:t>
      </w:r>
      <m:oMath>
        <m:sSup>
          <m:e>
            <m:r>
              <m:t>​</m:t>
            </m:r>
          </m:e>
          <m:sup>
            <m:r>
              <m:rPr>
                <m:sty m:val="p"/>
              </m:rPr>
              <m:t>∘</m:t>
            </m:r>
          </m:sup>
        </m:sSup>
      </m:oMath>
      <w:r>
        <w:t xml:space="preserve">C in the southern hemisphere for the early Eocene. Our polar circle to equatorial gradient is lower than most previous estimates at 7.8</w:t>
      </w:r>
      <m:oMath>
        <m:sSup>
          <m:e>
            <m:r>
              <m:t>​</m:t>
            </m:r>
          </m:e>
          <m:sup>
            <m:r>
              <m:rPr>
                <m:sty m:val="p"/>
              </m:rPr>
              <m:t>∘</m:t>
            </m:r>
          </m:sup>
        </m:sSup>
      </m:oMath>
      <w:r>
        <w:t xml:space="preserve">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w:t>
      </w:r>
      <m:oMath>
        <m:sSup>
          <m:e>
            <m:r>
              <m:t>​</m:t>
            </m:r>
          </m:e>
          <m:sup>
            <m:r>
              <m:rPr>
                <m:sty m:val="p"/>
              </m:rPr>
              <m:t>∘</m:t>
            </m:r>
          </m:sup>
        </m:sSup>
      </m:oMath>
      <w:r>
        <w:t xml:space="preserve"> </w:t>
      </w:r>
      <w:r>
        <w:t xml:space="preserve">latitudes forces the modeled median temperature curve to be too high at ~ 24</w:t>
      </w:r>
      <m:oMath>
        <m:sSup>
          <m:e>
            <m:r>
              <m:t>​</m:t>
            </m:r>
          </m:e>
          <m:sup>
            <m:r>
              <m:rPr>
                <m:sty m:val="p"/>
              </m:rPr>
              <m:t>∘</m:t>
            </m:r>
          </m:sup>
        </m:sSup>
      </m:oMath>
      <w:r>
        <w:t xml:space="preserve">C, relative to the temperatures indicated by the high-latitude mangrove communities (15.6 - 22.5</w:t>
      </w:r>
      <m:oMath>
        <m:sSup>
          <m:e>
            <m:r>
              <m:t>​</m:t>
            </m:r>
          </m:e>
          <m:sup>
            <m:r>
              <m:rPr>
                <m:sty m:val="p"/>
              </m:rPr>
              <m:t>∘</m:t>
            </m:r>
          </m:sup>
        </m:sSup>
      </m:oMath>
      <w:r>
        <w:t xml:space="preserve">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TEX86, and cooler temperatures derived from δ</w:t>
      </w:r>
      <w:r>
        <w:rPr>
          <w:vertAlign w:val="superscript"/>
        </w:rPr>
        <w:t xml:space="preserve">18</w:t>
      </w:r>
      <w:r>
        <w:t xml:space="preserve">O, Δ</w:t>
      </w:r>
      <w:r>
        <w:rPr>
          <w:vertAlign w:val="subscript"/>
        </w:rPr>
        <w:t xml:space="preserve">47</w:t>
      </w:r>
      <w:r>
        <w:t xml:space="preserve">,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w:t>
      </w:r>
      <m:oMath>
        <m:sSup>
          <m:e>
            <m:r>
              <m:t>​</m:t>
            </m:r>
          </m:e>
          <m:sup>
            <m:r>
              <m:rPr>
                <m:sty m:val="p"/>
              </m:rPr>
              <m:t>∘</m:t>
            </m:r>
          </m:sup>
        </m:sSup>
      </m:oMath>
      <w:r>
        <w:t xml:space="preserve">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w:t>
      </w:r>
      <m:oMath>
        <m:sSup>
          <m:e>
            <m:r>
              <m:t>​</m:t>
            </m:r>
          </m:e>
          <m:sup>
            <m:r>
              <m:rPr>
                <m:sty m:val="p"/>
              </m:rPr>
              <m:t>∘</m:t>
            </m:r>
          </m:sup>
        </m:sSup>
      </m:oMath>
      <w:r>
        <w:t xml:space="preserve">C</w:t>
      </w:r>
      <w:r>
        <w:t xml:space="preserve"> </w:t>
      </w:r>
      <w:r>
        <w:t xml:space="preserve">(Hansen et al., 2013; Caballero and Huber, 2013; Cramwinckel et al., 2018; Zhu et al., 2019)</w:t>
      </w:r>
      <w:r>
        <w:t xml:space="preserve">, similar to our GMsST estimate of 28.7</w:t>
      </w:r>
      <m:oMath>
        <m:sSup>
          <m:e>
            <m:r>
              <m:t>​</m:t>
            </m:r>
          </m:e>
          <m:sup>
            <m:r>
              <m:rPr>
                <m:sty m:val="p"/>
              </m:rPr>
              <m:t>∘</m:t>
            </m:r>
          </m:sup>
        </m:sSup>
      </m:oMath>
      <w:r>
        <w:t xml:space="preserve">C.</w:t>
      </w:r>
    </w:p>
    <w:bookmarkEnd w:id="67"/>
    <w:bookmarkEnd w:id="68"/>
    <w:bookmarkStart w:id="69"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69"/>
    <w:bookmarkStart w:id="70"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70"/>
    <w:bookmarkStart w:id="71"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71"/>
    <w:bookmarkStart w:id="72" w:name="competing-interests"/>
    <w:p>
      <w:pPr>
        <w:pStyle w:val="Heading1"/>
      </w:pPr>
      <w:r>
        <w:t xml:space="preserve">Competing Interests</w:t>
      </w:r>
    </w:p>
    <w:p>
      <w:pPr>
        <w:pStyle w:val="FirstParagraph"/>
      </w:pPr>
      <w:r>
        <w:t xml:space="preserve">The authors declare that they have no conflicts of interest.</w:t>
      </w:r>
    </w:p>
    <w:bookmarkEnd w:id="72"/>
    <w:bookmarkStart w:id="74" w:name="data-accessibility"/>
    <w:p>
      <w:pPr>
        <w:pStyle w:val="Heading1"/>
      </w:pPr>
      <w:r>
        <w:t xml:space="preserve">Data accessibility</w:t>
      </w:r>
    </w:p>
    <w:p>
      <w:pPr>
        <w:pStyle w:val="FirstParagraph"/>
      </w:pPr>
      <w:r>
        <w:t xml:space="preserve">The data and code used to produce the results of this study are available via GitHub (</w:t>
      </w:r>
      <w:hyperlink r:id="rId73">
        <w:r>
          <w:rPr>
            <w:rStyle w:val="Hyperlink"/>
          </w:rPr>
          <w:t xml:space="preserve">https://github.com/KEichenseer/PalaeoClimateGradient</w:t>
        </w:r>
      </w:hyperlink>
      <w:r>
        <w:t xml:space="preserve">) and the linked Zenodo repository (XXX).</w:t>
      </w:r>
    </w:p>
    <w:bookmarkEnd w:id="74"/>
    <w:bookmarkStart w:id="153" w:name="references"/>
    <w:p>
      <w:pPr>
        <w:pStyle w:val="Heading1"/>
      </w:pPr>
      <w:r>
        <w:t xml:space="preserve">References</w:t>
      </w:r>
    </w:p>
    <w:bookmarkStart w:id="152" w:name="refs"/>
    <w:bookmarkStart w:id="75"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5"/>
    <w:bookmarkStart w:id="76" w:name="ref-Beer2008"/>
    <w:p>
      <w:pPr>
        <w:pStyle w:val="Bibliography"/>
      </w:pPr>
      <w:r>
        <w:t xml:space="preserve">Beer, J., Abreu, J., and Steinhilber, F.: Sun and planets from a climate point of view, Proceedings of the International Astronomical Union, 4, 29–43, 2008.</w:t>
      </w:r>
    </w:p>
    <w:bookmarkEnd w:id="76"/>
    <w:bookmarkStart w:id="78"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7">
        <w:r>
          <w:rPr>
            <w:rStyle w:val="Hyperlink"/>
          </w:rPr>
          <w:t xml:space="preserve">https://doi.org/10.1038/nature08399</w:t>
        </w:r>
      </w:hyperlink>
      <w:r>
        <w:t xml:space="preserve">, 2009.</w:t>
      </w:r>
    </w:p>
    <w:bookmarkEnd w:id="78"/>
    <w:bookmarkStart w:id="79"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9"/>
    <w:bookmarkStart w:id="81"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80">
        <w:r>
          <w:rPr>
            <w:rStyle w:val="Hyperlink"/>
          </w:rPr>
          <w:t xml:space="preserve">https://doi.org/10.1073/pnas.1809600115</w:t>
        </w:r>
      </w:hyperlink>
      <w:r>
        <w:t xml:space="preserve">, 2018.</w:t>
      </w:r>
    </w:p>
    <w:bookmarkEnd w:id="81"/>
    <w:bookmarkStart w:id="82"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82"/>
    <w:bookmarkStart w:id="84"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3">
        <w:r>
          <w:rPr>
            <w:rStyle w:val="Hyperlink"/>
          </w:rPr>
          <w:t xml:space="preserve">https://doi.org/10.1016/j.envsoft.2021.105002</w:t>
        </w:r>
      </w:hyperlink>
      <w:r>
        <w:t xml:space="preserve">, 2021.</w:t>
      </w:r>
    </w:p>
    <w:bookmarkEnd w:id="84"/>
    <w:bookmarkStart w:id="85"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5"/>
    <w:bookmarkStart w:id="86"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6"/>
    <w:bookmarkStart w:id="87"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7"/>
    <w:bookmarkStart w:id="88" w:name="ref-Gelman2013"/>
    <w:p>
      <w:pPr>
        <w:pStyle w:val="Bibliography"/>
      </w:pPr>
      <w:r>
        <w:t xml:space="preserve">Gelman, A., Carlin, J. B., Stern, H. S., Dunson, D. B., Vehtari, A., and Rubin, D. B.: Bayesian data analysis, CRC press, 2013.</w:t>
      </w:r>
    </w:p>
    <w:bookmarkEnd w:id="88"/>
    <w:bookmarkStart w:id="89" w:name="ref-Gelman2019"/>
    <w:p>
      <w:pPr>
        <w:pStyle w:val="Bibliography"/>
      </w:pPr>
      <w:r>
        <w:t xml:space="preserve">Gelman, A., Goodrich, B., Gabry, J., and Vehtari, A.: R-squared for bayesian regression models, The American Statistician, 2019.</w:t>
      </w:r>
    </w:p>
    <w:bookmarkEnd w:id="89"/>
    <w:bookmarkStart w:id="90" w:name="ref-Gilks1995"/>
    <w:p>
      <w:pPr>
        <w:pStyle w:val="Bibliography"/>
      </w:pPr>
      <w:r>
        <w:t xml:space="preserve">Gilks, W. R., Richardson, S., and Spiegelhalter, D.: Markov chain monte carlo in practice, CRC press, 1995.</w:t>
      </w:r>
    </w:p>
    <w:bookmarkEnd w:id="90"/>
    <w:bookmarkStart w:id="91" w:name="ref-Greenwood2017"/>
    <w:p>
      <w:pPr>
        <w:pStyle w:val="Bibliography"/>
      </w:pPr>
      <w:r>
        <w:t xml:space="preserve">Greenwood, D., Keefe, R., Reichgelt, T., and Webb, J.: Eocene paleobotanical altimetry of victoria’s eastern uplands, Australian Journal of Earth Sciences, 64, 625–637, 2017.</w:t>
      </w:r>
    </w:p>
    <w:bookmarkEnd w:id="91"/>
    <w:bookmarkStart w:id="93" w:name="ref-Greenwood1995"/>
    <w:p>
      <w:pPr>
        <w:pStyle w:val="Bibliography"/>
      </w:pPr>
      <w:r>
        <w:t xml:space="preserve">Greenwood, D. R. and Wing, S. L.: Eocene continental climates and latitudinal temperature gradients, Geology, 23, 1044,</w:t>
      </w:r>
      <w:r>
        <w:t xml:space="preserve"> </w:t>
      </w:r>
      <w:hyperlink r:id="rId92">
        <w:r>
          <w:rPr>
            <w:rStyle w:val="Hyperlink"/>
          </w:rPr>
          <w:t xml:space="preserve">https://doi.org/10.1130/0091-7613(1995)023&lt;1044:ECCALT&gt;2.3.CO;2</w:t>
        </w:r>
      </w:hyperlink>
      <w:r>
        <w:t xml:space="preserve">, 1995.</w:t>
      </w:r>
    </w:p>
    <w:bookmarkEnd w:id="93"/>
    <w:bookmarkStart w:id="94" w:name="ref-Grossman2022"/>
    <w:p>
      <w:pPr>
        <w:pStyle w:val="Bibliography"/>
      </w:pPr>
      <w:r>
        <w:t xml:space="preserve">Grossman, E. L. and Joachimski, M. M.: Ocean temperatures through the phanerozoic reassessed, Scientific Reports, 12, 8938, 2022.</w:t>
      </w:r>
    </w:p>
    <w:bookmarkEnd w:id="94"/>
    <w:bookmarkStart w:id="95"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johannes1983"/>
    <w:p>
      <w:pPr>
        <w:pStyle w:val="Bibliography"/>
      </w:pPr>
      <w:r>
        <w:t xml:space="preserve">Johannes, R., Wiebe, W., Crossland, C., Rimmer, D., and Smith, S.: Latitudinal limits of coral reef growth., Marine ecology progress series. Oldendorf, 11, 105–111, 1983.</w:t>
      </w:r>
    </w:p>
    <w:bookmarkEnd w:id="100"/>
    <w:bookmarkStart w:id="102"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1">
        <w:r>
          <w:rPr>
            <w:rStyle w:val="Hyperlink"/>
          </w:rPr>
          <w:t xml:space="preserve">https://doi.org/10.1130/G49132.1</w:t>
        </w:r>
      </w:hyperlink>
      <w:r>
        <w:t xml:space="preserve">, 2022.</w:t>
      </w:r>
    </w:p>
    <w:bookmarkEnd w:id="102"/>
    <w:bookmarkStart w:id="103" w:name="ref-jones2022reef"/>
    <w:p>
      <w:pPr>
        <w:pStyle w:val="Bibliography"/>
      </w:pPr>
      <w:r>
        <w:t xml:space="preserve">Jones, L. A., Mannion, P. D., Farnsworth, A., Bragg, F., and Lunt, D. J.: Climatic and tectonic drivers shaped the tropical distribution of coral reefs, Nature communications, 13, 1–10, 2022.</w:t>
      </w:r>
    </w:p>
    <w:bookmarkEnd w:id="103"/>
    <w:bookmarkStart w:id="105"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4">
        <w:r>
          <w:rPr>
            <w:rStyle w:val="Hyperlink"/>
          </w:rPr>
          <w:t xml:space="preserve">https://doi.org/10.31223/X5Z94Q</w:t>
        </w:r>
      </w:hyperlink>
      <w:r>
        <w:t xml:space="preserve">, 2023.</w:t>
      </w:r>
    </w:p>
    <w:bookmarkEnd w:id="105"/>
    <w:bookmarkStart w:id="107"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6">
        <w:r>
          <w:rPr>
            <w:rStyle w:val="Hyperlink"/>
          </w:rPr>
          <w:t xml:space="preserve">https://doi.org/10.1029/2020GL089044</w:t>
        </w:r>
      </w:hyperlink>
      <w:r>
        <w:t xml:space="preserve">, 2020.</w:t>
      </w:r>
    </w:p>
    <w:bookmarkEnd w:id="107"/>
    <w:bookmarkStart w:id="108"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8"/>
    <w:bookmarkStart w:id="110"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9">
        <w:r>
          <w:rPr>
            <w:rStyle w:val="Hyperlink"/>
          </w:rPr>
          <w:t xml:space="preserve">https://doi.org/10.1130/G32054.1</w:t>
        </w:r>
      </w:hyperlink>
      <w:r>
        <w:t xml:space="preserve">, 2011.</w:t>
      </w:r>
    </w:p>
    <w:bookmarkEnd w:id="110"/>
    <w:bookmarkStart w:id="111" w:name="ref-kiessling2001"/>
    <w:p>
      <w:pPr>
        <w:pStyle w:val="Bibliography"/>
      </w:pPr>
      <w:r>
        <w:t xml:space="preserve">Kiessling, W.: Paleoclimatic significance of phanerozoic reefs, Geology, 29, 751–754, 2001.</w:t>
      </w:r>
    </w:p>
    <w:bookmarkEnd w:id="111"/>
    <w:bookmarkStart w:id="112" w:name="ref-kleypas1999"/>
    <w:p>
      <w:pPr>
        <w:pStyle w:val="Bibliography"/>
      </w:pPr>
      <w:r>
        <w:t xml:space="preserve">Kleypas, J. A., McManus, J. W., and Meñez, L. A.: Environmental limits to coral reef development: Where do we draw the line?, American zoologist, 39, 146–159, 1999.</w:t>
      </w:r>
    </w:p>
    <w:bookmarkEnd w:id="112"/>
    <w:bookmarkStart w:id="114"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113">
        <w:r>
          <w:rPr>
            <w:rStyle w:val="Hyperlink"/>
          </w:rPr>
          <w:t xml:space="preserve">https://doi.org/10.1126/science.1166368</w:t>
        </w:r>
      </w:hyperlink>
      <w:r>
        <w:t xml:space="preserve">, 2009.</w:t>
      </w:r>
    </w:p>
    <w:bookmarkEnd w:id="114"/>
    <w:bookmarkStart w:id="115"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8"/>
    <w:bookmarkStart w:id="120"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9">
        <w:r>
          <w:rPr>
            <w:rStyle w:val="Hyperlink"/>
          </w:rPr>
          <w:t xml:space="preserve">https://doi.org/10.1111/jbi.14238</w:t>
        </w:r>
      </w:hyperlink>
      <w:r>
        <w:t xml:space="preserve">, 2021.</w:t>
      </w:r>
    </w:p>
    <w:bookmarkEnd w:id="120"/>
    <w:bookmarkStart w:id="122"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1">
        <w:r>
          <w:rPr>
            <w:rStyle w:val="Hyperlink"/>
          </w:rPr>
          <w:t xml:space="preserve">https://doi.org/10.1038/nature11300</w:t>
        </w:r>
      </w:hyperlink>
      <w:r>
        <w:t xml:space="preserve">, 2012.</w:t>
      </w:r>
    </w:p>
    <w:bookmarkEnd w:id="122"/>
    <w:bookmarkStart w:id="124"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3">
        <w:r>
          <w:rPr>
            <w:rStyle w:val="Hyperlink"/>
          </w:rPr>
          <w:t xml:space="preserve">https://doi.org/10.1007/s00468-012-0760-1</w:t>
        </w:r>
      </w:hyperlink>
      <w:r>
        <w:t xml:space="preserve">, 2012.</w:t>
      </w:r>
    </w:p>
    <w:bookmarkEnd w:id="124"/>
    <w:bookmarkStart w:id="125" w:name="ref-Rasmussen2004"/>
    <w:p>
      <w:pPr>
        <w:pStyle w:val="Bibliography"/>
      </w:pPr>
      <w:r>
        <w:t xml:space="preserve">Rasmussen, C. E. and Williams, C. K.: Gaussian processes in machine learning, Lecture notes in computer science, 3176, 63–71, 2004.</w:t>
      </w:r>
    </w:p>
    <w:bookmarkEnd w:id="125"/>
    <w:bookmarkStart w:id="126" w:name="ref-Reynolds1994"/>
    <w:p>
      <w:pPr>
        <w:pStyle w:val="Bibliography"/>
      </w:pPr>
      <w:r>
        <w:t xml:space="preserve">Reynolds, R. W. and Smith, T. M.: Improved global sea surface temperature analyses using optimum interpolation, Journal of climate, 7, 929–948, 1994.</w:t>
      </w:r>
    </w:p>
    <w:bookmarkEnd w:id="126"/>
    <w:bookmarkStart w:id="127" w:name="ref-Royer2012"/>
    <w:p>
      <w:pPr>
        <w:pStyle w:val="Bibliography"/>
      </w:pPr>
      <w:r>
        <w:t xml:space="preserve">Royer, D. L.: Climate reconstruction from leaf size and shape: New developments and challenges, The Paleontological Society Papers, 18, 195–212, 2012.</w:t>
      </w:r>
    </w:p>
    <w:bookmarkEnd w:id="127"/>
    <w:bookmarkStart w:id="128" w:name="ref-Royer2004"/>
    <w:p>
      <w:pPr>
        <w:pStyle w:val="Bibliography"/>
      </w:pPr>
      <w:r>
        <w:t xml:space="preserve">Royer, D. L., Berner, R. A., Montañez, I. P., Tabor, N. J., Beerling, D. J., et al.: Co~ 2 as a primary driver of phanerozoic climate, GSA today, 14, 4–10, 2004.</w:t>
      </w:r>
    </w:p>
    <w:bookmarkEnd w:id="128"/>
    <w:bookmarkStart w:id="129"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9"/>
    <w:bookmarkStart w:id="130" w:name="ref-Schrag1999"/>
    <w:p>
      <w:pPr>
        <w:pStyle w:val="Bibliography"/>
      </w:pPr>
      <w:r>
        <w:t xml:space="preserve">Schrag, D. P.: Effects of diagenesis on the isotopic record of late paleogene tropical sea surface temperatures, Chemical Geology, 161, 215–224, 1999.</w:t>
      </w:r>
    </w:p>
    <w:bookmarkEnd w:id="130"/>
    <w:bookmarkStart w:id="132"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1">
        <w:r>
          <w:rPr>
            <w:rStyle w:val="Hyperlink"/>
          </w:rPr>
          <w:t xml:space="preserve">https://doi.org/10.1016/j.earscirev.2021.103503</w:t>
        </w:r>
      </w:hyperlink>
      <w:r>
        <w:t xml:space="preserve">, 2021.</w:t>
      </w:r>
    </w:p>
    <w:bookmarkEnd w:id="132"/>
    <w:bookmarkStart w:id="133" w:name="ref-Sloan1990"/>
    <w:p>
      <w:pPr>
        <w:pStyle w:val="Bibliography"/>
      </w:pPr>
      <w:r>
        <w:t xml:space="preserve">Sloan, L. C. and Barron, E. J.: " equable" climates during earth history?, Geology, 18, 489–492, 1990.</w:t>
      </w:r>
    </w:p>
    <w:bookmarkEnd w:id="133"/>
    <w:bookmarkStart w:id="135"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4">
        <w:r>
          <w:rPr>
            <w:rStyle w:val="Hyperlink"/>
          </w:rPr>
          <w:t xml:space="preserve">https://doi.org/10.1007/s12583-018-1002-2</w:t>
        </w:r>
      </w:hyperlink>
      <w:r>
        <w:t xml:space="preserve">, 2019.</w:t>
      </w:r>
    </w:p>
    <w:bookmarkEnd w:id="135"/>
    <w:bookmarkStart w:id="137"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6">
        <w:r>
          <w:rPr>
            <w:rStyle w:val="Hyperlink"/>
          </w:rPr>
          <w:t xml:space="preserve">https://doi.org/10.1130/G38547.1</w:t>
        </w:r>
      </w:hyperlink>
      <w:r>
        <w:t xml:space="preserve">, 2017.</w:t>
      </w:r>
    </w:p>
    <w:bookmarkEnd w:id="137"/>
    <w:bookmarkStart w:id="139"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8">
        <w:r>
          <w:rPr>
            <w:rStyle w:val="Hyperlink"/>
          </w:rPr>
          <w:t xml:space="preserve">https://doi.org/10.1016/j.quascirev.2003.12.003</w:t>
        </w:r>
      </w:hyperlink>
      <w:r>
        <w:t xml:space="preserve">, 2004.</w:t>
      </w:r>
    </w:p>
    <w:bookmarkEnd w:id="139"/>
    <w:bookmarkStart w:id="140" w:name="ref-Tierney2017"/>
    <w:p>
      <w:pPr>
        <w:pStyle w:val="Bibliography"/>
      </w:pPr>
      <w:r>
        <w:t xml:space="preserve">Tierney, J. E., Sinninghe Damsté, J. S., Pancost, R. D., Sluijs, A., and Zachos, J. C.: Eocene temperature gradients, Nature Geoscience, 10, 538–539, 2017.</w:t>
      </w:r>
    </w:p>
    <w:bookmarkEnd w:id="140"/>
    <w:bookmarkStart w:id="142"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1">
        <w:r>
          <w:rPr>
            <w:rStyle w:val="Hyperlink"/>
          </w:rPr>
          <w:t xml:space="preserve">https://doi.org/10.1016/j.earscirev.2015.03.008</w:t>
        </w:r>
      </w:hyperlink>
      <w:r>
        <w:t xml:space="preserve">, 2015.</w:t>
      </w:r>
    </w:p>
    <w:bookmarkEnd w:id="142"/>
    <w:bookmarkStart w:id="143"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3"/>
    <w:bookmarkStart w:id="144"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4"/>
    <w:bookmarkStart w:id="145"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45"/>
    <w:bookmarkStart w:id="146" w:name="ref-yamano2001"/>
    <w:p>
      <w:pPr>
        <w:pStyle w:val="Bibliography"/>
      </w:pPr>
      <w:r>
        <w:t xml:space="preserve">Yamano, H., Hori, K., Yamauchi, M., Yamagawa, O., and Ohmura, A.: Highest-latitude coral reef at iki island, japan, Coral Reefs, 20, 9–12, 2001.</w:t>
      </w:r>
    </w:p>
    <w:bookmarkEnd w:id="146"/>
    <w:bookmarkStart w:id="147"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7"/>
    <w:bookmarkStart w:id="149"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8">
        <w:r>
          <w:rPr>
            <w:rStyle w:val="Hyperlink"/>
          </w:rPr>
          <w:t xml:space="preserve">https://doi.org/10.1016/j.earscirev.2019.01.025</w:t>
        </w:r>
      </w:hyperlink>
      <w:r>
        <w:t xml:space="preserve">, 2019.</w:t>
      </w:r>
    </w:p>
    <w:bookmarkEnd w:id="149"/>
    <w:bookmarkStart w:id="150" w:name="ref-Zhu2019"/>
    <w:p>
      <w:pPr>
        <w:pStyle w:val="Bibliography"/>
      </w:pPr>
      <w:r>
        <w:t xml:space="preserve">Zhu, J., Poulsen, C. J., and Tierney, J. E.: Simulation of eocene extreme warmth and high climate sensitivity through cloud feedbacks, Science advances, 5, eaax1874, 2019.</w:t>
      </w:r>
    </w:p>
    <w:bookmarkEnd w:id="150"/>
    <w:bookmarkStart w:id="151"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1"/>
    <w:bookmarkEnd w:id="152"/>
    <w:bookmarkEnd w:id="153"/>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1"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3"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6" Target="https://doi.org/10.1029/2020GL089044" TargetMode="External" /><Relationship Type="http://schemas.openxmlformats.org/officeDocument/2006/relationships/hyperlink" Id="rId77"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80"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113" Target="https://doi.org/10.1126/science.116636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09"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1" Target="https://doi.org/10.1130/G49132.1" TargetMode="External" /><Relationship Type="http://schemas.openxmlformats.org/officeDocument/2006/relationships/hyperlink" Id="rId104"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73"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1"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3"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6" Target="https://doi.org/10.1029/2020GL089044" TargetMode="External" /><Relationship Type="http://schemas.openxmlformats.org/officeDocument/2006/relationships/hyperlink" Id="rId77"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80"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113" Target="https://doi.org/10.1126/science.116636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09"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1" Target="https://doi.org/10.1130/G49132.1" TargetMode="External" /><Relationship Type="http://schemas.openxmlformats.org/officeDocument/2006/relationships/hyperlink" Id="rId104"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73"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2023-05-22T16:49:46Z</dcterms:created>
  <dcterms:modified xsi:type="dcterms:W3CDTF">2023-05-22T16:49:46Z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