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9.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1" w:name="introduction"/>
    <w:p>
      <w:pPr>
        <w:pStyle w:val="Heading1"/>
      </w:pPr>
      <w:r>
        <w:t xml:space="preserve">Introduction</w:t>
      </w:r>
    </w:p>
    <w:p>
      <w:pPr>
        <w:pStyle w:val="FirstParagraph"/>
      </w:pPr>
      <w:r>
        <w:t xml:space="preserve">Reconstructing past climate is fundamental to understanding the long-term evolution of the Earth’s climate system, including natural climate variability</w:t>
      </w:r>
      <w:r>
        <w:t xml:space="preserve"> </w:t>
      </w:r>
      <w:r>
        <w:t xml:space="preserve">(Zachos et al., 2008)</w:t>
      </w:r>
      <w:r>
        <w:t xml:space="preserve">, the impacts of external forcings such as impact events</w:t>
      </w:r>
      <w:r>
        <w:t xml:space="preserve"> </w:t>
      </w:r>
      <w:r>
        <w:t xml:space="preserve">(Chiarenza et al., 2020)</w:t>
      </w:r>
      <w:r>
        <w:t xml:space="preserve">, and changes in greenhouse gas concentrations</w:t>
      </w:r>
      <w:r>
        <w:t xml:space="preserve"> </w:t>
      </w:r>
      <w:r>
        <w:t xml:space="preserve">(Foster et al., 2017)</w:t>
      </w:r>
      <w:r>
        <w:t xml:space="preserve">. Moreover, palaeoclimatic reconstructions are vital for contextualising current global warming, enabling evaluation of the magnitude and significance in a broader historical perspective</w:t>
      </w:r>
      <w:r>
        <w:t xml:space="preserve"> </w:t>
      </w:r>
      <w:r>
        <w:t xml:space="preserve">(</w:t>
      </w:r>
      <w:r>
        <w:rPr>
          <w:bCs/>
          <w:b/>
        </w:rPr>
        <w:t xml:space="preserve">royer2004?</w:t>
      </w:r>
      <w:r>
        <w:t xml:space="preserve">; Burke et al., 2018)</w:t>
      </w:r>
      <w:r>
        <w:t xml:space="preserve">, as well as understanding ecosystem response to environmental change</w:t>
      </w:r>
      <w:r>
        <w:t xml:space="preserve"> </w:t>
      </w:r>
      <w:r>
        <w:t xml:space="preserve">(Jones et al., 2022; Woodhouse et al., 2023)</w:t>
      </w:r>
      <w:r>
        <w:t xml:space="preserve">.</w:t>
      </w:r>
    </w:p>
    <w:p>
      <w:pPr>
        <w:pStyle w:val="BodyText"/>
      </w:pPr>
      <w:r>
        <w:t xml:space="preserve">To reconstruct palaeoclimatic conditions, researchers use a range of approaches including geochemical proxies, geological evidence, and Earth System Models</w:t>
      </w:r>
      <w:r>
        <w:t xml:space="preserve"> </w:t>
      </w:r>
      <w:r>
        <w:t xml:space="preserve">(see Burgener et al., 2023)</w:t>
      </w:r>
      <w:r>
        <w:t xml:space="preserve">. Geochemical proxies such as oxygen isotopes (</w:t>
      </w:r>
      <m:oMath>
        <m:sSup>
          <m:e>
            <m:r>
              <m:t>δ</m:t>
            </m:r>
          </m:e>
          <m:sup>
            <m:sSup>
              <m:e>
                <m:r>
                  <m:t>18</m:t>
                </m:r>
              </m:e>
              <m:sup>
                <m:r>
                  <m:t>O</m:t>
                </m:r>
              </m:sup>
            </m:sSup>
          </m:sup>
        </m:sSup>
      </m:oMath>
      <w:r>
        <w:t xml:space="preserve">) are used to provide quantitative palaeotemperature estimates by applying transfer functions derived from experimental work and field observations</w:t>
      </w:r>
      <w:r>
        <w:t xml:space="preserve"> </w:t>
      </w:r>
      <w:r>
        <w:t xml:space="preserve">(e.g. Liu et al., 2009; Wuchter et al., 2004)</w:t>
      </w:r>
      <w:r>
        <w:t xml:space="preserve">. Geological evidence such as lithological and fossil data are used to qualitatively infer past climatic conditions based on analogous modern sediments</w:t>
      </w:r>
      <w:r>
        <w:t xml:space="preserve"> </w:t>
      </w:r>
      <w:r>
        <w:t xml:space="preserve">(Chandra et al., 2021)</w:t>
      </w:r>
      <w:r>
        <w:t xml:space="preserve">, or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Finally, Earth System Models (ESMs)–such as the HadCM3 climate model</w:t>
      </w:r>
      <w:r>
        <w:t xml:space="preserve"> </w:t>
      </w:r>
      <w:r>
        <w:t xml:space="preserve">(Valdes et al., 2017)</w:t>
      </w:r>
      <w:r>
        <w:t xml:space="preserve">–are used to model the main processes of the Earth system to provide spatially and temporally explicit quantitative estimates of palaeoclimatic conditions. Nevertheless, ESMs ultimately rely on constraints provided by the geological and fossil record</w:t>
      </w:r>
      <w:r>
        <w:t xml:space="preserve"> </w:t>
      </w:r>
      <w:r>
        <w:t xml:space="preserve">(Lunt et al., 2021)</w:t>
      </w:r>
      <w:r>
        <w:t xml:space="preserve">.</w:t>
      </w:r>
    </w:p>
    <w:p>
      <w:pPr>
        <w:pStyle w:val="BodyText"/>
      </w:pPr>
      <w:r>
        <w:t xml:space="preserve">Recent advances in deep-time climate reconstructions</w:t>
      </w:r>
      <w:r>
        <w:t xml:space="preserve"> </w:t>
      </w:r>
      <w:r>
        <w:t xml:space="preserve">(e.g. Burgener et al., 2023; Chevalier, 2022)</w:t>
      </w:r>
      <w:r>
        <w:t xml:space="preserve">, including improvements in proxy data quantification</w:t>
      </w:r>
      <w:r>
        <w:t xml:space="preserve"> </w:t>
      </w:r>
      <w:r>
        <w:t xml:space="preserve">(e.g. Bao et al., 2023)</w:t>
      </w:r>
      <w:r>
        <w:t xml:space="preserve"> </w:t>
      </w:r>
      <w:r>
        <w:t xml:space="preserve">and data synthesis</w:t>
      </w:r>
      <w:r>
        <w:t xml:space="preserve"> </w:t>
      </w:r>
      <w:r>
        <w:t xml:space="preserve">(e.g. Veizer and Prokoph, 2015; Hollis et al., 2019; Scotese et al., 2021; Grossman and Joachimski, 2022; Judd et al., 2022)</w:t>
      </w:r>
      <w:r>
        <w:t xml:space="preserve">, are enabling researchers to better understand the complex and dynamic nature of the Earth’s climate system over geologic time. However, a fundamental challenge remains which must be addressed to exploit the full potential of these advances: the proxy record of past climate is spatially biased, impacted by incomplete preservation and uneven sampling</w:t>
      </w:r>
      <w:r>
        <w:t xml:space="preserve"> </w:t>
      </w:r>
      <w:r>
        <w:t xml:space="preserve">(Judd et al., 2020; Jones and Eichenseer, 2022; Judd et al., 2022)</w:t>
      </w:r>
      <w:r>
        <w:t xml:space="preserve">. Recent work has demonstrated that this bias can lead to spurious estimates of latitudinal temperature gradients and global temperatures</w:t>
      </w:r>
      <w:r>
        <w:t xml:space="preserve"> </w:t>
      </w:r>
      <w:r>
        <w:t xml:space="preserve">(Judd et al., 2020; Jones and Eichenseer, 2022)</w:t>
      </w:r>
      <w:r>
        <w:t xml:space="preserve">.</w:t>
      </w:r>
    </w:p>
    <w:p>
      <w:pPr>
        <w:pStyle w:val="BodyText"/>
      </w:pPr>
      <w:r>
        <w:t xml:space="preserve">Inferring regional or global-scale patterns from an incomplete record relies on the bridging of spatial gaps. A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modeled parameters means that such models can produce unrealistic temperature estimates when extrapolating from sparsely sampled data. Statistical modelling in the Bayesian framework helps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w:t>
      </w:r>
    </w:p>
    <w:bookmarkEnd w:id="21"/>
    <w:bookmarkStart w:id="34"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four different geochemical proxies for reconstructing seawater temperature:</w:t>
      </w:r>
      <w:r>
        <w:t xml:space="preserve"> </w:t>
      </w:r>
      <m:oMath>
        <m:sSup>
          <m:e>
            <m:r>
              <m:t>δ</m:t>
            </m:r>
          </m:e>
          <m:sup>
            <m:r>
              <m:t>18</m:t>
            </m:r>
          </m:sup>
        </m:sSup>
        <m:r>
          <m:t>O</m:t>
        </m:r>
      </m:oMath>
      <w:r>
        <w:t xml:space="preserve">,</w:t>
      </w:r>
      <w:r>
        <w:t xml:space="preserve"> </w:t>
      </w:r>
      <m:oMath>
        <m:sSub>
          <m:e>
            <m:r>
              <m:t>Δ</m:t>
            </m:r>
          </m:e>
          <m:sub>
            <m:r>
              <m:t>47</m:t>
            </m:r>
          </m:sub>
        </m:sSub>
      </m:oMath>
      <w:r>
        <w:t xml:space="preserve">, Mg/Ca and</w:t>
      </w:r>
      <w:r>
        <w:t xml:space="preserve"> </w:t>
      </w:r>
      <m:oMath>
        <m:r>
          <m:t>T</m:t>
        </m:r>
        <m:r>
          <m:t>E</m:t>
        </m:r>
        <m:sSub>
          <m:e>
            <m:r>
              <m:t>X</m:t>
            </m:r>
          </m:e>
          <m:sub>
            <m:r>
              <m:t>86</m:t>
            </m:r>
          </m:sub>
        </m:sSub>
      </m:oMath>
      <w:r>
        <w:t xml:space="preserve">. For our analyses, this dataset was restricted to the EECO and samples from the continental shelf. Recrystallised</w:t>
      </w:r>
      <w:r>
        <w:t xml:space="preserve"> </w:t>
      </w:r>
      <m:oMath>
        <m:sSup>
          <m:e>
            <m:r>
              <m:t>δ</m:t>
            </m:r>
          </m:e>
          <m:sup>
            <m:sSup>
              <m:e>
                <m:r>
                  <m:t>18</m:t>
                </m:r>
              </m:e>
              <m:sup>
                <m:r>
                  <m:t>O</m:t>
                </m:r>
              </m:sup>
            </m:sSup>
          </m:sup>
        </m:sSup>
      </m:oMath>
      <w:r>
        <w:t xml:space="preserve"> </w:t>
      </w:r>
      <w:r>
        <w:t xml:space="preserve">samples were also excluded as secondary diagenetic calcite precipitated after deposition can bias isotope measurements and offset temperature values</w:t>
      </w:r>
      <w:r>
        <w:t xml:space="preserve"> </w:t>
      </w:r>
      <w:r>
        <w:t xml:space="preserve">(Schrag, 1999)</w:t>
      </w:r>
      <w:r>
        <w:t xml:space="preserve">. This resulted in most $</w:t>
      </w:r>
      <w:r>
        <w:rPr>
          <w:vertAlign w:val="superscript"/>
        </w:rPr>
        <w:t xml:space="preserve">18</w:t>
      </w:r>
      <w:r>
        <w:t xml:space="preserve">O samples being excluded from the dataset (x out of x). After data filtering, x geochemical proxy samples remained. For a detailed description of each proxy see</w:t>
      </w:r>
      <w:r>
        <w:t xml:space="preserve"> </w:t>
      </w:r>
      <w:r>
        <w:t xml:space="preserve">(Hollis et al., 2019)</w:t>
      </w:r>
      <w:r>
        <w:t xml:space="preserve">.</w:t>
      </w:r>
    </w:p>
    <w:bookmarkEnd w:id="23"/>
    <w:bookmarkStart w:id="28" w:name="geoecological-data"/>
    <w:p>
      <w:pPr>
        <w:pStyle w:val="Heading2"/>
      </w:pPr>
      <w:r>
        <w:t xml:space="preserve">Geoecological data</w:t>
      </w:r>
    </w:p>
    <w:p>
      <w:pPr>
        <w:pStyle w:val="FirstParagraph"/>
      </w:pPr>
      <w:r>
        <w:rPr>
          <w:bCs/>
          <w:b/>
        </w:rPr>
        <w:t xml:space="preserve">Coral reefs.</w:t>
      </w:r>
      <w:r>
        <w:t xml:space="preserve"> </w:t>
      </w:r>
      <w:r>
        <w:t xml:space="preserve">Today, shallow warm-water coral reefs are limited to tropical and subtropical latitudes (~34°N–32 degS), with minimum sea surface temperature (~18 degC)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 degC in the geological past</w:t>
      </w:r>
      <w:r>
        <w:t xml:space="preserve"> </w:t>
      </w:r>
      <w:r>
        <w:t xml:space="preserve">(Jones et al., 2022)</w:t>
      </w:r>
      <w:r>
        <w:t xml:space="preserve">. Nevertheless, the distribution of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 degC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inferred to be Ilerdian (early Eocene) coral reefs from the compilation,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 deg N). Subsequently, we use statistically derived temperature limits (minimum = 21 degC, average = 27.6 degC, maximum = 29.5 degC)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 degC, allowing for the possibility that Eocene coral reefs were adapted to warmer conditions than modern-day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 degC) and</w:t>
      </w:r>
      <w:r>
        <w:t xml:space="preserve"> </w:t>
      </w:r>
      <w:r>
        <w:rPr>
          <w:iCs/>
          <w:i/>
        </w:rPr>
        <w:t xml:space="preserve">Rhizophora</w:t>
      </w:r>
      <w:r>
        <w:t xml:space="preserve"> </w:t>
      </w:r>
      <w:r>
        <w:t xml:space="preserve">(20.7 degC)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 degC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 degC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degC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 degC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 degC)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geoecological data compilation used in this study. Palaeocoordinates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geoecological data, were used for palaeorotation.</w:t>
      </w:r>
    </w:p>
    <w:bookmarkEnd w:id="29"/>
    <w:bookmarkStart w:id="3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w:t>
      </w:r>
      <w:r>
        <w:rPr>
          <w:rStyle w:val="VerbatimChar"/>
        </w:rPr>
        <w:t xml:space="preserve">growth curve</w:t>
      </w:r>
      <w:r>
        <w:t xml:space="preserve"> </w:t>
      </w:r>
      <w:r>
        <w:t xml:space="preserve">or</w:t>
      </w:r>
      <w:r>
        <w:t xml:space="preserve"> </w:t>
      </w:r>
      <w:r>
        <w:rPr>
          <w:rStyle w:val="VerbatimChar"/>
        </w:rPr>
        <w:t xml:space="preserve">Richard's curve</w:t>
      </w:r>
      <w:r>
        <w:t xml:space="preserve">) of the form:</w:t>
      </w:r>
    </w:p>
    <w:p>
      <w:pPr>
        <w:pStyle w:val="BodyText"/>
      </w:pPr>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oMath>
      </m:oMathPara>
    </w:p>
    <w:p>
      <w:pPr>
        <w:pStyle w:val="FirstParagraph"/>
      </w:pPr>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the most quickly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oMath>
      </m:oMathPara>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oMath>
      </m:oMathPara>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 (Fig2x).</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oMath>
      </m:oMathPara>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oMath>
      </m:oMathPara>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m:oMathPara>
        <m:oMathParaPr>
          <m:jc m:val="center"/>
        </m:oMathParaPr>
        <m:oMath>
          <m:r>
            <m:t>M</m:t>
          </m:r>
          <m:r>
            <m:rPr>
              <m:sty m:val="p"/>
            </m:rPr>
            <m:t>∼</m:t>
          </m:r>
          <m:r>
            <m:t>N</m:t>
          </m:r>
          <m:d>
            <m:dPr>
              <m:begChr m:val="("/>
              <m:endChr m:val=")"/>
              <m:sepChr m:val=""/>
              <m:grow/>
            </m:dPr>
            <m:e>
              <m:r>
                <m:t>42</m:t>
              </m:r>
              <m:r>
                <m:rPr>
                  <m:sty m:val="p"/>
                </m:rPr>
                <m:t>,</m:t>
              </m:r>
              <m:r>
                <m:t>10</m:t>
              </m:r>
            </m:e>
          </m:d>
        </m:oMath>
      </m:oMathPara>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oMath>
      </m:oMathPara>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p>
      <w:pPr>
        <w:pStyle w:val="BodyText"/>
      </w:pPr>
      <w:r>
        <w:t xml:space="preserve">[Fig. 2: Model structure and visualisation of parameters and priors]</w:t>
      </w:r>
    </w:p>
    <w:bookmarkEnd w:id="30"/>
    <w:bookmarkStart w:id="3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a decreasing sample size (50, 20, 10, and 5) and reconstructed the latitudinal temperature gradient using our model for each of these sample sizes and gradient types (</w:t>
      </w:r>
      <w:r>
        <w:rPr>
          <w:bCs/>
          <w:b/>
        </w:rPr>
        <w:t xml:space="preserve">Should we be using some kind of statistic here to say that the curves are similar, perhaps the Kolmogorov-Smirnoff (K-S) Statistic?</w:t>
      </w:r>
      <w:r>
        <w:t xml:space="preserve">). Subsequently, we test whether our model could accurately reconstruct latitudinal temperature gradients using the palaeogeographic distribution of Eocene samples, providing an empirical example distribution that captures both limited sample size and skewed geographic distributions.</w:t>
      </w:r>
    </w:p>
    <w:p>
      <w:pPr>
        <w:pStyle w:val="BodyText"/>
      </w:pPr>
      <w:r>
        <w:t xml:space="preserve">To verify that the modern gradient can be approximated with limited sampling, we resampled modern sea surface temperatures at modern latitudes corresponding the palaeolatitudes of the Eocene samples. This process was repeated 100 times, randomly chosing a longitude for each latitude in each repetition. The parameters of the non-hierarchical temperature model were estimated for each of the 100 samples, and the iterations after burn-in from the posterior of the parameters were pooled to generate the resulting median temperature gradient with 95 % credible intervals (</w:t>
      </w:r>
      <m:oMath>
        <m:sSup>
          <m:e>
            <m:r>
              <m:t>2.5</m:t>
            </m:r>
          </m:e>
          <m:sup>
            <m:r>
              <m:t>t</m:t>
            </m:r>
            <m:r>
              <m:t>h</m:t>
            </m:r>
          </m:sup>
        </m:sSup>
      </m:oMath>
      <w:r>
        <w:t xml:space="preserve"> </w:t>
      </w:r>
      <w:r>
        <w:t xml:space="preserve">to</w:t>
      </w:r>
      <w:r>
        <w:t xml:space="preserve"> </w:t>
      </w:r>
      <m:oMath>
        <m:sSup>
          <m:e>
            <m:r>
              <m:t>97.5</m:t>
            </m:r>
          </m:e>
          <m:sup>
            <m:r>
              <m:t>t</m:t>
            </m:r>
            <m:r>
              <m:t>h</m:t>
            </m:r>
          </m:sup>
        </m:sSup>
      </m:oMath>
      <w:r>
        <w:t xml:space="preserve"> </w:t>
      </w:r>
      <w:r>
        <w:t xml:space="preserve">percentile).</w:t>
      </w:r>
    </w:p>
    <w:p>
      <w:pPr>
        <w:pStyle w:val="BodyText"/>
      </w:pPr>
      <w:r>
        <w:t xml:space="preserve">we applied a simplified version of the model to modern sea surface temperatures from Bio-Oracle [@…]. As these modern, annual sea surface temperatures estimates are associated with little uncertainty, there is no need for a hierarchical model structure, and we substituted temperature (</w:t>
      </w:r>
      <m:oMath>
        <m:r>
          <m:t>t</m:t>
        </m:r>
      </m:oMath>
      <w:r>
        <w:t xml:space="preserve">) for</w:t>
      </w:r>
      <w:r>
        <w:t xml:space="preserve"> </w:t>
      </w:r>
      <m:oMath>
        <m:r>
          <m:t>μ</m:t>
        </m:r>
      </m:oMath>
      <w:r>
        <w:t xml:space="preserve"> </w:t>
      </w:r>
      <w:r>
        <w:t xml:space="preserve">in eq. ? and ?. To verify that the modern gradient can be approximated with limited sampling, we resampled modern sea surface temperatures at modern latitudes corresponding the palaeolatitudes of the Eocene samples. This process was repeated 100 times, randomly chosing a longitude for each latitude in each repetition. The parameters of the non-hierarchical temperature model were estimated for each of the 100 samples, and the iterations after burn-in from the posterior of the parameters were pooled to generate the resulting median temperature gradient with 95 % credible intervals (</w:t>
      </w:r>
      <m:oMath>
        <m:sSup>
          <m:e>
            <m:r>
              <m:t>2.5</m:t>
            </m:r>
          </m:e>
          <m:sup>
            <m:r>
              <m:t>t</m:t>
            </m:r>
            <m:r>
              <m:t>h</m:t>
            </m:r>
          </m:sup>
        </m:sSup>
      </m:oMath>
      <w:r>
        <w:t xml:space="preserve"> </w:t>
      </w:r>
      <w:r>
        <w:t xml:space="preserve">to</w:t>
      </w:r>
      <w:r>
        <w:t xml:space="preserve"> </w:t>
      </w:r>
      <m:oMath>
        <m:sSup>
          <m:e>
            <m:r>
              <m:t>97.5</m:t>
            </m:r>
          </m:e>
          <m:sup>
            <m:r>
              <m:t>t</m:t>
            </m:r>
            <m:r>
              <m:t>h</m:t>
            </m:r>
          </m:sup>
        </m:sSup>
      </m:oMath>
      <w:r>
        <w:t xml:space="preserve"> </w:t>
      </w:r>
      <w:r>
        <w:t xml:space="preserve">percentile).</w:t>
      </w:r>
    </w:p>
    <w:bookmarkEnd w:id="31"/>
    <w:bookmarkStart w:id="3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 Posterior inference on the modern gradient is based on four chains with 60,000 iterations each, 10,000 of which were discarded as burn-in, and keeping every 10th iteration, resulting in a total of 20,000 iterations. The modern temperature gradient with the Eocene sampling distribution was estimated in one chain with 25,000 iterations for each of the 100 temperature samples. 5,000 iterations each were discarded as burn-in, and every 10th iteration was kept, resulting in a total of 200,000 iterations across all 100 model runs.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32"/>
    <w:bookmarkStart w:id="33" w:name="processing-of-model-results"/>
    <w:p>
      <w:pPr>
        <w:pStyle w:val="Heading2"/>
      </w:pPr>
      <w:r>
        <w:t xml:space="preserve">Processing of model results</w:t>
      </w:r>
    </w:p>
    <w:p>
      <w:pPr>
        <w:pStyle w:val="FirstParagraph"/>
      </w:pPr>
      <w:r>
        <w:t xml:space="preserve">Modelled sea surface temperature estimates were generated with eq. ?,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 of temperatures where then taken from all temperature estimates obtained at the latitude of interest.</w:t>
      </w:r>
    </w:p>
    <w:p>
      <w:pPr>
        <w:pStyle w:val="BodyText"/>
      </w:pPr>
      <w:r>
        <w:t xml:space="preserve">The latitudinal gradient is calculated as the difference between the modeled temperature at the equator (0 deg latitude) and at the poles (90 deg 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r>
        <w:br/>
      </w: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 degree latitudinal bins. The weights were set to the proportion of global surface area in each latitudinal bin, i.e. decreasing with increasing latitude as:</w:t>
      </w:r>
    </w:p>
    <w:p>
      <w:pPr>
        <w:pStyle w:val="BodyText"/>
      </w:pPr>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oMath>
      </m:oMathPara>
    </w:p>
    <w:p>
      <w:pPr>
        <w:pStyle w:val="FirstParagraph"/>
      </w:pPr>
      <w:r>
        <w:t xml:space="preserve">where</w:t>
      </w:r>
      <w:r>
        <w:t xml:space="preserve"> </w:t>
      </w:r>
      <m:oMath>
        <m:r>
          <m:t>α</m:t>
        </m:r>
        <m:r>
          <m:t>1</m:t>
        </m:r>
      </m:oMath>
      <w:r>
        <w:t xml:space="preserve"> </w:t>
      </w:r>
      <w:r>
        <w:t xml:space="preserve">is the upper, and</w:t>
      </w:r>
      <w:r>
        <w:t xml:space="preserve"> </w:t>
      </w:r>
      <m:oMath>
        <m:r>
          <m:t>α</m:t>
        </m:r>
        <m:r>
          <m:t>2</m:t>
        </m:r>
      </m:oMath>
      <w:r>
        <w:t xml:space="preserve"> </w:t>
      </w:r>
      <w:r>
        <w:t xml:space="preserve">is the lower latitudinal boundary of bin</w:t>
      </w:r>
      <w:r>
        <w:t xml:space="preserve"> </w:t>
      </w:r>
      <m:oMath>
        <m:r>
          <m:t>i</m:t>
        </m:r>
      </m:oMath>
      <w:r>
        <w:t xml:space="preserve">.</w:t>
      </w:r>
    </w:p>
    <w:bookmarkEnd w:id="33"/>
    <w:bookmarkEnd w:id="34"/>
    <w:bookmarkStart w:id="50" w:name="results"/>
    <w:p>
      <w:pPr>
        <w:pStyle w:val="Heading1"/>
      </w:pPr>
      <w:r>
        <w:t xml:space="preserve">Results</w:t>
      </w:r>
    </w:p>
    <w:bookmarkStart w:id="43"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38" w:name="fig-2"/>
          <w:p>
            <w:pPr>
              <w:jc w:val="center"/>
            </w:pPr>
            <w:r>
              <w:drawing>
                <wp:inline>
                  <wp:extent cx="5399999" cy="5399999"/>
                  <wp:effectExtent b="0" l="0" r="0" t="0"/>
                  <wp:docPr descr="" title="" id="36" name="Picture"/>
                  <a:graphic>
                    <a:graphicData uri="http://schemas.openxmlformats.org/drawingml/2006/picture">
                      <pic:pic>
                        <pic:nvPicPr>
                          <pic:cNvPr descr="../figures/fig_2.png" id="37" name="Picture"/>
                          <pic:cNvPicPr>
                            <a:picLocks noChangeArrowheads="1" noChangeAspect="1"/>
                          </pic:cNvPicPr>
                        </pic:nvPicPr>
                        <pic:blipFill>
                          <a:blip r:embed="rId35"/>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(sample size for the EECO).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The blue shading depicts the 90%, 95%, and 99% credible intervals. Each gradient is depicted in absolute latitude.</w:t>
            </w:r>
          </w:p>
          <w:bookmarkEnd w:id="38"/>
        </w:tc>
      </w:tr>
    </w:tbl>
    <w:p>
      <w:pPr>
        <w:pStyle w:val="BodyText"/>
      </w:pPr>
      <w:r>
        <w:t xml:space="preserve">[Fig 3 - Modern gradient]</w:t>
      </w:r>
    </w:p>
    <w:tbl>
      <w:tblPr>
        <w:tblStyle w:val="Table"/>
        <w:tblW w:type="pct" w:w="5000"/>
        <w:tblLook w:firstRow="0" w:lastRow="0" w:firstColumn="0" w:lastColumn="0" w:noHBand="0" w:noVBand="0" w:val="0000"/>
      </w:tblPr>
      <w:tblGrid>
        <w:gridCol w:w="7920"/>
      </w:tblGrid>
      <w:tr>
        <w:tc>
          <w:tcPr/>
          <w:bookmarkStart w:id="42" w:name="fig-3"/>
          <w:p>
            <w:pPr>
              <w:jc w:val="center"/>
            </w:pPr>
            <w:r>
              <w:drawing>
                <wp:inline>
                  <wp:extent cx="3599999" cy="3599999"/>
                  <wp:effectExtent b="0" l="0" r="0" t="0"/>
                  <wp:docPr descr="" title="" id="40" name="Picture"/>
                  <a:graphic>
                    <a:graphicData uri="http://schemas.openxmlformats.org/drawingml/2006/picture">
                      <pic:pic>
                        <pic:nvPicPr>
                          <pic:cNvPr descr="../figures/fig_3.png" id="41" name="Picture"/>
                          <pic:cNvPicPr>
                            <a:picLocks noChangeArrowheads="1" noChangeAspect="1"/>
                          </pic:cNvPicPr>
                        </pic:nvPicPr>
                        <pic:blipFill>
                          <a:blip r:embed="rId3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w:t>
            </w:r>
          </w:p>
          <w:bookmarkEnd w:id="42"/>
        </w:tc>
      </w:tr>
    </w:tbl>
    <w:p>
      <w:pPr>
        <w:pStyle w:val="BodyText"/>
      </w:pPr>
      <w:r>
        <w:t xml:space="preserve">The average modern temperature gradient can be closely approximated with our model when using the full modern SST dataset (Fig. 3a); almost all of the variation in the empirical median temperatures in bins of 1 deg absolute latitude is explained by the modeled gradient (</w:t>
      </w:r>
      <m:oMath>
        <m:sSup>
          <m:e>
            <m:r>
              <m:t>R</m:t>
            </m:r>
          </m:e>
          <m:sup>
            <m:r>
              <m:t>2</m:t>
            </m:r>
          </m:sup>
        </m:sSup>
        <m:r>
          <m:rPr>
            <m:sty m:val="p"/>
          </m:rPr>
          <m:t>=</m:t>
        </m:r>
        <m:r>
          <m:t>0.997</m:t>
        </m:r>
      </m:oMath>
      <w:r>
        <w:t xml:space="preserve">). Reducing the amount and the spatial coverage of data points to match the early Eocene sampling distribution (</w:t>
      </w:r>
      <m:oMath>
        <m:r>
          <m:t>n</m:t>
        </m:r>
        <m:r>
          <m:rPr>
            <m:sty m:val="p"/>
          </m:rPr>
          <m:t>=</m:t>
        </m:r>
        <m:r>
          <m:t>34</m:t>
        </m:r>
      </m:oMath>
      <w:r>
        <w:t xml:space="preserve">) still results in a close match of the modeled gradient with the empirical gradient (Fig. 3b). The 95% credible interval (CI) of reconstructed gradients (Fig. 3b) is noticeably narrower than the spread of empirical temperature values (Fig. 3a). The modern, latitudinal gradient, modeled with all data, spans 29.6 degC from the equator to the poles. When modeled with only the early Eocene sampling locations, the median temeprature gradient is 29.3 (95% CI: 27.0 - 31.6) degC. A random sampling of modern temperatures at latitudes corresponding to the sampled Eocene palaeolatitudes would thus allow the reconstruction of the modern latitudinal temperature gradient with good accuracy, with expected deviations from the actual gradient as low as -2.6 to 2.1 degC (95 % CI).</w:t>
      </w:r>
    </w:p>
    <w:p>
      <w:pPr>
        <w:pStyle w:val="BodyText"/>
      </w:pPr>
      <w:r>
        <w:t xml:space="preserve">Additional model runs with simulated SST data show that latitudinal gradients following a flat, linear or quadratic function can also be adequately reconstructed by our model (Fig. S4). The generalised logistic function underlying the reconstruction leads to the inferred gradient being pushed towards a sigmoidal shape in the absence of proxies (see very high latitudes in Fig. S4a,c). This is intended, as in the absence of data, the shape of the reconstructed gradient should be broadly similar to the sigmoidal shape of the modern SST gradient, as it is the only empirically observed SST gradient.</w:t>
      </w:r>
    </w:p>
    <w:p>
      <w:pPr>
        <w:pStyle w:val="BodyText"/>
      </w:pPr>
      <w:r>
        <w:t xml:space="preserve">Modeling the latitudinal temperature gradient facilitates accurate reconstruction of global mean surface temperatures (GMST). The modern, global mean sea surface temperature (GMsST) estimate is 17.6 degC when using the full, modern data set. When reduced to the early Eocene sampling distribution, the modern GMsST is estimated at 17.8 (16.8 - 18.8) degC. The deviations from the full modern estimate are again very low, with a 95 % credible interval of -0.8 to 1.3 degC.</w:t>
      </w:r>
    </w:p>
    <w:bookmarkEnd w:id="43"/>
    <w:bookmarkStart w:id="44"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 degC higher for the EECO, and polar temperatures are higher by 25.0 (17.0 - 29.1) degC. This results in a flattened latitudinal temperature gradient of 9.0 ( 2.5 - 17.8) degC for the EECO, as opposed to 29.6 degC for the modern. To facilitate the comparison with latitudinal gradients reported in the literature, which sometimes do not report temperatures in very high latitudes, we report also the EECO gradient between the equator and the modern-day polar circle (66.6 deg), which is slightly lower at 7.8 ( 2.2 - 13.7).</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 degC,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 degC, 11.1 degC higher than the modern. A model run excluding the ecological proxies results in a GMsST that is higher by 1.6 (-1.8 - 4.8) degC. The median latitudinal gradient is similar when excluding the ecological proxies, with a median of 9.2 degC,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 degC. The inferred latitudinal gradient is somewhat steeper in the northern hemisphere ( 4.8 degC, although the 95% CI spans -6.6 to 14.3 degC), but the large uncertainties associated with both gradients, and the lack of polar proxy data in the southern hemisphere preclude a more precise statement (Fig. S3).)</w:t>
      </w:r>
    </w:p>
    <w:bookmarkEnd w:id="44"/>
    <w:bookmarkStart w:id="49" w:name="X7f5e544d1bcac3bd2271b6293bb498979c343b1"/>
    <w:p>
      <w:pPr>
        <w:pStyle w:val="Heading2"/>
      </w:pPr>
      <w:r>
        <w:t xml:space="preserve">Fig 4 - compare Eocene gradient with modern gradient, also with previous reconstructions / ES models?</w:t>
      </w:r>
    </w:p>
    <w:tbl>
      <w:tblPr>
        <w:tblStyle w:val="Table"/>
        <w:tblW w:type="pct" w:w="5000"/>
        <w:tblLook w:firstRow="0" w:lastRow="0" w:firstColumn="0" w:lastColumn="0" w:noHBand="0" w:noVBand="0" w:val="0000"/>
      </w:tblPr>
      <w:tblGrid>
        <w:gridCol w:w="7920"/>
      </w:tblGrid>
      <w:tr>
        <w:tc>
          <w:tcPr/>
          <w:bookmarkStart w:id="48" w:name="fig-4"/>
          <w:p>
            <w:pPr>
              <w:jc w:val="center"/>
            </w:pPr>
            <w:r>
              <w:drawing>
                <wp:inline>
                  <wp:extent cx="3599999" cy="3599999"/>
                  <wp:effectExtent b="0" l="0" r="0" t="0"/>
                  <wp:docPr descr="" title="" id="46" name="Picture"/>
                  <a:graphic>
                    <a:graphicData uri="http://schemas.openxmlformats.org/drawingml/2006/picture">
                      <pic:pic>
                        <pic:nvPicPr>
                          <pic:cNvPr descr="../figures/fig_4.png" id="47" name="Picture"/>
                          <pic:cNvPicPr>
                            <a:picLocks noChangeArrowheads="1" noChangeAspect="1"/>
                          </pic:cNvPicPr>
                        </pic:nvPicPr>
                        <pic:blipFill>
                          <a:blip r:embed="rId4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present-day and early Eocene climatic optimum latitudinal temperature gradient using the Bayesian hierarchical model. The estimated present-day (green line) and early Eocene climatic optimum (purple line) latitudinal temperature gradient. The respective ribbons (green and purple shading) depict the 95% credible intervals of the estimated gradients. Points within the plot depict the palaeolatitudinal distribution of geochemical (e.g. </w:t>
            </w:r>
            <m:oMath>
              <m:sSup>
                <m:e>
                  <m:r>
                    <m:t>δ</m:t>
                  </m:r>
                </m:e>
                <m:sup>
                  <m:sSup>
                    <m:e>
                      <m:r>
                        <m:t>18</m:t>
                      </m:r>
                    </m:e>
                    <m:sup>
                      <m:r>
                        <m:t>O</m:t>
                      </m:r>
                    </m:sup>
                  </m:sSup>
                </m:sup>
              </m:sSup>
            </m:oMath>
            <w:r>
              <w:t xml:space="preserve">) and ecological (e.g. mangroves) data. Geochemical data are plotted by their point estimate temperature value. Ecological data are plotted by their mean temperature values sampled from their respective normal distributions.</w:t>
            </w:r>
          </w:p>
          <w:bookmarkEnd w:id="48"/>
        </w:tc>
      </w:tr>
    </w:tbl>
    <w:p>
      <w:pPr>
        <w:numPr>
          <w:ilvl w:val="0"/>
          <w:numId w:val="1002"/>
        </w:numPr>
      </w:pPr>
      <w:r>
        <w:t xml:space="preserve">x1 Draw samples from the posterior gradient to get a latitudinal gradient of deg C / deg lat with uncertainty (intercept gradient at 0 and 90 deg lat)</w:t>
      </w:r>
    </w:p>
    <w:p>
      <w:pPr>
        <w:numPr>
          <w:ilvl w:val="0"/>
          <w:numId w:val="1002"/>
        </w:numPr>
      </w:pPr>
      <w:r>
        <w:t xml:space="preserve">x2 generate global average temperature, and tropical, temperate, polar temperatures in a similar way, accounting for area</w:t>
      </w:r>
    </w:p>
    <w:bookmarkEnd w:id="49"/>
    <w:bookmarkEnd w:id="50"/>
    <w:bookmarkStart w:id="54" w:name="discussion"/>
    <w:p>
      <w:pPr>
        <w:pStyle w:val="Heading1"/>
      </w:pPr>
      <w:r>
        <w:t xml:space="preserve">Discussion</w:t>
      </w:r>
    </w:p>
    <w:bookmarkStart w:id="51"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51"/>
    <w:bookmarkStart w:id="52"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52"/>
    <w:bookmarkStart w:id="5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~20+- 3degC, using the difference between the mean tropical and deep ocean data. The modeled SST of</w:t>
      </w:r>
      <w:r>
        <w:t xml:space="preserve"> </w:t>
      </w:r>
      <w:r>
        <w:t xml:space="preserve">Tierney et al. (2017)</w:t>
      </w:r>
      <w:r>
        <w:t xml:space="preserve"> </w:t>
      </w:r>
      <w:r>
        <w:t xml:space="preserve">using TEX86 is ~ 12 degC,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13degC. All of those estimates are significantly lower than the SST gradient predicted by an EECO climate model ensemble</w:t>
      </w:r>
      <w:r>
        <w:t xml:space="preserve"> </w:t>
      </w:r>
      <w:r>
        <w:t xml:space="preserve">Tierney et al. (2017)</w:t>
      </w:r>
      <w:r>
        <w:t xml:space="preserve">, which predicts a polar circle to equatorial gradient of 26degC.</w:t>
      </w:r>
      <w:r>
        <w:t xml:space="preserve"> </w:t>
      </w:r>
      <w:r>
        <w:t xml:space="preserve">Keating-Bitonti et al. (2011)</w:t>
      </w:r>
      <w:r>
        <w:t xml:space="preserve"> </w:t>
      </w:r>
      <w:r>
        <w:t xml:space="preserve">show a proxy-based SST gradient of ~ 13degC, and</w:t>
      </w:r>
      <w:r>
        <w:t xml:space="preserve"> </w:t>
      </w:r>
      <w:r>
        <w:t xml:space="preserve">Bijl et al. (2009)</w:t>
      </w:r>
      <w:r>
        <w:t xml:space="preserve"> </w:t>
      </w:r>
      <w:r>
        <w:t xml:space="preserve">model a gradient of ~9degC in the northern and only ~5degC in the southern hemisphere for the early Eocene. Our polar circle to equatorial gradient is lower than most previous estimates at 7.8degC,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 deg latitudes forces the modeled median temperature curve to be too high at ~ 24 degC, relative to the temperatures indicated by the high-latitude mangrove communities (15.6 - 22.5 degC).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d18O measurements from recrystallised fossils, systematic offsets remain between mostly warm temperatures derived from TEX86, and cooler temperatures derived from d18O, delta47,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 degC,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 degC</w:t>
      </w:r>
      <w:r>
        <w:t xml:space="preserve"> </w:t>
      </w:r>
      <w:r>
        <w:t xml:space="preserve">(Hansen et al., 2013; Caballero and Huber, 2013; Cramwinckel et al., 2018; Zhu et al., 2019)</w:t>
      </w:r>
      <w:r>
        <w:t xml:space="preserve">, similar to our GMsST estimate of 28.7 degC.</w:t>
      </w:r>
    </w:p>
    <w:bookmarkEnd w:id="53"/>
    <w:bookmarkEnd w:id="54"/>
    <w:bookmarkStart w:id="55"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55"/>
    <w:bookmarkStart w:id="5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56"/>
    <w:bookmarkStart w:id="5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57"/>
    <w:bookmarkStart w:id="58" w:name="competing-interests"/>
    <w:p>
      <w:pPr>
        <w:pStyle w:val="Heading1"/>
      </w:pPr>
      <w:r>
        <w:t xml:space="preserve">Competing Interests</w:t>
      </w:r>
    </w:p>
    <w:p>
      <w:pPr>
        <w:pStyle w:val="FirstParagraph"/>
      </w:pPr>
      <w:r>
        <w:t xml:space="preserve">The authors declare that they have no conflicts of interest.</w:t>
      </w:r>
    </w:p>
    <w:bookmarkEnd w:id="58"/>
    <w:bookmarkStart w:id="60" w:name="data-accessibility"/>
    <w:p>
      <w:pPr>
        <w:pStyle w:val="Heading1"/>
      </w:pPr>
      <w:r>
        <w:t xml:space="preserve">Data accessibility</w:t>
      </w:r>
    </w:p>
    <w:p>
      <w:pPr>
        <w:pStyle w:val="FirstParagraph"/>
      </w:pPr>
      <w:r>
        <w:t xml:space="preserve">The data and code used to produce the results of this study are available via GitHub (</w:t>
      </w:r>
      <w:hyperlink r:id="rId59">
        <w:r>
          <w:rPr>
            <w:rStyle w:val="Hyperlink"/>
          </w:rPr>
          <w:t xml:space="preserve">https://github.com/KEichenseer/PalaeoClimateGradient</w:t>
        </w:r>
      </w:hyperlink>
      <w:r>
        <w:t xml:space="preserve">) and the linked Zenodo repository (XXX).</w:t>
      </w:r>
    </w:p>
    <w:bookmarkEnd w:id="60"/>
    <w:bookmarkStart w:id="146" w:name="references"/>
    <w:p>
      <w:pPr>
        <w:pStyle w:val="Heading1"/>
      </w:pPr>
      <w:r>
        <w:t xml:space="preserve">References</w:t>
      </w:r>
    </w:p>
    <w:bookmarkStart w:id="145" w:name="refs"/>
    <w:bookmarkStart w:id="62" w:name="ref-bao2023"/>
    <w:p>
      <w:pPr>
        <w:pStyle w:val="Bibliography"/>
      </w:pPr>
      <w:r>
        <w:t xml:space="preserve">Bao, X., Hu, Y., Scotese, C. R., Li, X., Guo, J., Lan, J., Lin, Q., Yuan, S., Wei, M., Li, Z., Man, K., Yin, Z., Han, J., Zhang, J., Wei, Q., Liu, Y., Yang, J., and Nie, J.: Quantifying climate conditions for the formation of coals and evaporites, National Science Review, nwad051,</w:t>
      </w:r>
      <w:r>
        <w:t xml:space="preserve"> </w:t>
      </w:r>
      <w:hyperlink r:id="rId61">
        <w:r>
          <w:rPr>
            <w:rStyle w:val="Hyperlink"/>
          </w:rPr>
          <w:t xml:space="preserve">https://doi.org/10.1093/nsr/nwad051</w:t>
        </w:r>
      </w:hyperlink>
      <w:r>
        <w:t xml:space="preserve">, 2023.</w:t>
      </w:r>
    </w:p>
    <w:bookmarkEnd w:id="62"/>
    <w:bookmarkStart w:id="63" w:name="ref-Beer2008"/>
    <w:p>
      <w:pPr>
        <w:pStyle w:val="Bibliography"/>
      </w:pPr>
      <w:r>
        <w:t xml:space="preserve">Beer, J., Abreu, J., and Steinhilber, F.: Sun and planets from a climate point of view, Proceedings of the International Astronomical Union, 4, 29–43, 2008.</w:t>
      </w:r>
    </w:p>
    <w:bookmarkEnd w:id="63"/>
    <w:bookmarkStart w:id="6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64">
        <w:r>
          <w:rPr>
            <w:rStyle w:val="Hyperlink"/>
          </w:rPr>
          <w:t xml:space="preserve">https://doi.org/10.1038/nature08399</w:t>
        </w:r>
      </w:hyperlink>
      <w:r>
        <w:t xml:space="preserve">, 2009.</w:t>
      </w:r>
    </w:p>
    <w:bookmarkEnd w:id="65"/>
    <w:bookmarkStart w:id="6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66"/>
    <w:bookmarkStart w:id="6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67">
        <w:r>
          <w:rPr>
            <w:rStyle w:val="Hyperlink"/>
          </w:rPr>
          <w:t xml:space="preserve">https://doi.org/10.1073/pnas.1809600115</w:t>
        </w:r>
      </w:hyperlink>
      <w:r>
        <w:t xml:space="preserve">, 2018.</w:t>
      </w:r>
    </w:p>
    <w:bookmarkEnd w:id="68"/>
    <w:bookmarkStart w:id="6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69"/>
    <w:bookmarkStart w:id="7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0">
        <w:r>
          <w:rPr>
            <w:rStyle w:val="Hyperlink"/>
          </w:rPr>
          <w:t xml:space="preserve">https://doi.org/10.1016/j.envsoft.2021.105002</w:t>
        </w:r>
      </w:hyperlink>
      <w:r>
        <w:t xml:space="preserve">, 2021.</w:t>
      </w:r>
    </w:p>
    <w:bookmarkEnd w:id="71"/>
    <w:bookmarkStart w:id="73" w:name="ref-chevalier2022"/>
    <w:p>
      <w:pPr>
        <w:pStyle w:val="Bibliography"/>
      </w:pPr>
      <w:r>
        <w:t xml:space="preserve">Chevalier, M.:</w:t>
      </w:r>
      <w:r>
        <w:t xml:space="preserve"> </w:t>
      </w:r>
      <w:r>
        <w:rPr>
          <w:iCs/>
          <w:i/>
        </w:rPr>
        <w:t xml:space="preserve">crestr</w:t>
      </w:r>
      <w:r>
        <w:t xml:space="preserve">: An r package to perform probabilistic climate reconstructions from palaeoecological datasets, Climate of the Past, 18, 821–844,</w:t>
      </w:r>
      <w:r>
        <w:t xml:space="preserve"> </w:t>
      </w:r>
      <w:hyperlink r:id="rId72">
        <w:r>
          <w:rPr>
            <w:rStyle w:val="Hyperlink"/>
          </w:rPr>
          <w:t xml:space="preserve">https://doi.org/10.5194/cp-18-821-2022</w:t>
        </w:r>
      </w:hyperlink>
      <w:r>
        <w:t xml:space="preserve">, 2022.</w:t>
      </w:r>
    </w:p>
    <w:bookmarkEnd w:id="73"/>
    <w:bookmarkStart w:id="75" w:name="ref-chiarenza2020"/>
    <w:p>
      <w:pPr>
        <w:pStyle w:val="Bibliography"/>
      </w:pPr>
      <w:r>
        <w:t xml:space="preserve">Chiarenza, A. A., Farnsworth, A., Mannion, P. D., Lunt, D. J., Valdes, P. J., Morgan, J. V., and Allison, P. A.: Asteroid impact, not volcanism, caused the end-Cretaceous dinosaur extinction, Proceedings of the National Academy of Sciences, 117, 17084–17093,</w:t>
      </w:r>
      <w:r>
        <w:t xml:space="preserve"> </w:t>
      </w:r>
      <w:hyperlink r:id="rId74">
        <w:r>
          <w:rPr>
            <w:rStyle w:val="Hyperlink"/>
          </w:rPr>
          <w:t xml:space="preserve">https://doi.org/10.1073/pnas.2006087117</w:t>
        </w:r>
      </w:hyperlink>
      <w:r>
        <w:t xml:space="preserve">, 2020.</w:t>
      </w:r>
    </w:p>
    <w:bookmarkEnd w:id="75"/>
    <w:bookmarkStart w:id="76"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76"/>
    <w:bookmarkStart w:id="77"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77"/>
    <w:bookmarkStart w:id="78"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78"/>
    <w:bookmarkStart w:id="80" w:name="ref-foster2017"/>
    <w:p>
      <w:pPr>
        <w:pStyle w:val="Bibliography"/>
      </w:pPr>
      <w:r>
        <w:t xml:space="preserve">Foster, G. L., Royer, D. L., and Lunt, D. J.: Future climate forcing potentially without precedent in the last 420 million years, Nature Communications, 8, 1–8,</w:t>
      </w:r>
      <w:r>
        <w:t xml:space="preserve"> </w:t>
      </w:r>
      <w:hyperlink r:id="rId79">
        <w:r>
          <w:rPr>
            <w:rStyle w:val="Hyperlink"/>
          </w:rPr>
          <w:t xml:space="preserve">https://doi.org/10.1038/ncomms14845</w:t>
        </w:r>
      </w:hyperlink>
      <w:r>
        <w:t xml:space="preserve">, 2017.</w:t>
      </w:r>
    </w:p>
    <w:bookmarkEnd w:id="80"/>
    <w:bookmarkStart w:id="81" w:name="ref-Greenwood2017"/>
    <w:p>
      <w:pPr>
        <w:pStyle w:val="Bibliography"/>
      </w:pPr>
      <w:r>
        <w:t xml:space="preserve">Greenwood, D., Keefe, R., Reichgelt, T., and Webb, J.: Eocene paleobotanical altimetry of victoria’s eastern uplands, Australian Journal of Earth Sciences, 64, 625–637, 2017.</w:t>
      </w:r>
    </w:p>
    <w:bookmarkEnd w:id="81"/>
    <w:bookmarkStart w:id="83" w:name="ref-Greenwood1995"/>
    <w:p>
      <w:pPr>
        <w:pStyle w:val="Bibliography"/>
      </w:pPr>
      <w:r>
        <w:t xml:space="preserve">Greenwood, D. R. and Wing, S. L.: Eocene continental climates and latitudinal temperature gradients, Geology, 23, 1044,</w:t>
      </w:r>
      <w:r>
        <w:t xml:space="preserve"> </w:t>
      </w:r>
      <w:hyperlink r:id="rId82">
        <w:r>
          <w:rPr>
            <w:rStyle w:val="Hyperlink"/>
          </w:rPr>
          <w:t xml:space="preserve">https://doi.org/10.1130/0091-7613(1995)023&lt;1044:ECCALT&gt;2.3.CO;2</w:t>
        </w:r>
      </w:hyperlink>
      <w:r>
        <w:t xml:space="preserve">, 1995.</w:t>
      </w:r>
    </w:p>
    <w:bookmarkEnd w:id="83"/>
    <w:bookmarkStart w:id="84" w:name="ref-Grossman2022"/>
    <w:p>
      <w:pPr>
        <w:pStyle w:val="Bibliography"/>
      </w:pPr>
      <w:r>
        <w:t xml:space="preserve">Grossman, E. L. and Joachimski, M. M.: Ocean temperatures through the phanerozoic reassessed, Scientific Reports, 12, 8938, 2022.</w:t>
      </w:r>
    </w:p>
    <w:bookmarkEnd w:id="84"/>
    <w:bookmarkStart w:id="85"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85"/>
    <w:bookmarkStart w:id="8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86"/>
    <w:bookmarkStart w:id="87" w:name="ref-Huber2011"/>
    <w:p>
      <w:pPr>
        <w:pStyle w:val="Bibliography"/>
      </w:pPr>
      <w:r>
        <w:t xml:space="preserve">Huber, M. and Caballero, R.: The early eocene equable climate problem revisited, Climate of the Past, 7, 603–633, 2011.</w:t>
      </w:r>
    </w:p>
    <w:bookmarkEnd w:id="87"/>
    <w:bookmarkStart w:id="8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88">
        <w:r>
          <w:rPr>
            <w:rStyle w:val="Hyperlink"/>
          </w:rPr>
          <w:t xml:space="preserve">https://doi.org/10.5194/cp-16-1953-2020</w:t>
        </w:r>
      </w:hyperlink>
      <w:r>
        <w:t xml:space="preserve">, 2020.</w:t>
      </w:r>
    </w:p>
    <w:bookmarkEnd w:id="89"/>
    <w:bookmarkStart w:id="90" w:name="ref-johannes1983"/>
    <w:p>
      <w:pPr>
        <w:pStyle w:val="Bibliography"/>
      </w:pPr>
      <w:r>
        <w:t xml:space="preserve">Johannes, R., Wiebe, W., Crossland, C., Rimmer, D., and Smith, S.: Latitudinal limits of coral reef growth., Marine ecology progress series. Oldendorf, 11, 105–111, 1983.</w:t>
      </w:r>
    </w:p>
    <w:bookmarkEnd w:id="90"/>
    <w:bookmarkStart w:id="92"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1">
        <w:r>
          <w:rPr>
            <w:rStyle w:val="Hyperlink"/>
          </w:rPr>
          <w:t xml:space="preserve">https://doi.org/10.1130/G49132.1</w:t>
        </w:r>
      </w:hyperlink>
      <w:r>
        <w:t xml:space="preserve">, 2022.</w:t>
      </w:r>
    </w:p>
    <w:bookmarkEnd w:id="92"/>
    <w:bookmarkStart w:id="93" w:name="ref-jones2022reef"/>
    <w:p>
      <w:pPr>
        <w:pStyle w:val="Bibliography"/>
      </w:pPr>
      <w:r>
        <w:t xml:space="preserve">Jones, L. A., Mannion, P. D., Farnsworth, A., Bragg, F., and Lunt, D. J.: Climatic and tectonic drivers shaped the tropical distribution of coral reefs, Nature communications, 13, 1–10, 2022.</w:t>
      </w:r>
    </w:p>
    <w:bookmarkEnd w:id="93"/>
    <w:bookmarkStart w:id="95"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94">
        <w:r>
          <w:rPr>
            <w:rStyle w:val="Hyperlink"/>
          </w:rPr>
          <w:t xml:space="preserve">https://doi.org/10.31223/X5Z94Q</w:t>
        </w:r>
      </w:hyperlink>
      <w:r>
        <w:t xml:space="preserve">, 2023.</w:t>
      </w:r>
    </w:p>
    <w:bookmarkEnd w:id="95"/>
    <w:bookmarkStart w:id="97"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96">
        <w:r>
          <w:rPr>
            <w:rStyle w:val="Hyperlink"/>
          </w:rPr>
          <w:t xml:space="preserve">https://doi.org/10.1029/2020GL089044</w:t>
        </w:r>
      </w:hyperlink>
      <w:r>
        <w:t xml:space="preserve">, 2020.</w:t>
      </w:r>
    </w:p>
    <w:bookmarkEnd w:id="97"/>
    <w:bookmarkStart w:id="98"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98"/>
    <w:bookmarkStart w:id="100"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99">
        <w:r>
          <w:rPr>
            <w:rStyle w:val="Hyperlink"/>
          </w:rPr>
          <w:t xml:space="preserve">https://doi.org/10.1130/G32054.1</w:t>
        </w:r>
      </w:hyperlink>
      <w:r>
        <w:t xml:space="preserve">, 2011.</w:t>
      </w:r>
    </w:p>
    <w:bookmarkEnd w:id="100"/>
    <w:bookmarkStart w:id="101" w:name="ref-kiessling2001"/>
    <w:p>
      <w:pPr>
        <w:pStyle w:val="Bibliography"/>
      </w:pPr>
      <w:r>
        <w:t xml:space="preserve">Kiessling, W.: Paleoclimatic significance of phanerozoic reefs, Geology, 29, 751–754, 2001.</w:t>
      </w:r>
    </w:p>
    <w:bookmarkEnd w:id="101"/>
    <w:bookmarkStart w:id="102" w:name="ref-kleypas1999"/>
    <w:p>
      <w:pPr>
        <w:pStyle w:val="Bibliography"/>
      </w:pPr>
      <w:r>
        <w:t xml:space="preserve">Kleypas, J. A., McManus, J. W., and Meñez, L. A.: Environmental limits to coral reef development: Where do we draw the line?, American zoologist, 39, 146–159, 1999.</w:t>
      </w:r>
    </w:p>
    <w:bookmarkEnd w:id="102"/>
    <w:bookmarkStart w:id="104"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103">
        <w:r>
          <w:rPr>
            <w:rStyle w:val="Hyperlink"/>
          </w:rPr>
          <w:t xml:space="preserve">https://doi.org/10.1126/science.1166368</w:t>
        </w:r>
      </w:hyperlink>
      <w:r>
        <w:t xml:space="preserve">, 2009.</w:t>
      </w:r>
    </w:p>
    <w:bookmarkEnd w:id="104"/>
    <w:bookmarkStart w:id="105"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105"/>
    <w:bookmarkStart w:id="106"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06"/>
    <w:bookmarkStart w:id="10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07"/>
    <w:bookmarkStart w:id="108"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08"/>
    <w:bookmarkStart w:id="110"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09">
        <w:r>
          <w:rPr>
            <w:rStyle w:val="Hyperlink"/>
          </w:rPr>
          <w:t xml:space="preserve">https://doi.org/10.1111/jbi.14238</w:t>
        </w:r>
      </w:hyperlink>
      <w:r>
        <w:t xml:space="preserve">, 2021.</w:t>
      </w:r>
    </w:p>
    <w:bookmarkEnd w:id="110"/>
    <w:bookmarkStart w:id="112"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1">
        <w:r>
          <w:rPr>
            <w:rStyle w:val="Hyperlink"/>
          </w:rPr>
          <w:t xml:space="preserve">https://doi.org/10.1038/nature11300</w:t>
        </w:r>
      </w:hyperlink>
      <w:r>
        <w:t xml:space="preserve">, 2012.</w:t>
      </w:r>
    </w:p>
    <w:bookmarkEnd w:id="112"/>
    <w:bookmarkStart w:id="114"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13">
        <w:r>
          <w:rPr>
            <w:rStyle w:val="Hyperlink"/>
          </w:rPr>
          <w:t xml:space="preserve">https://doi.org/10.1007/s00468-012-0760-1</w:t>
        </w:r>
      </w:hyperlink>
      <w:r>
        <w:t xml:space="preserve">, 2012.</w:t>
      </w:r>
    </w:p>
    <w:bookmarkEnd w:id="114"/>
    <w:bookmarkStart w:id="115" w:name="ref-Rasmussen2004"/>
    <w:p>
      <w:pPr>
        <w:pStyle w:val="Bibliography"/>
      </w:pPr>
      <w:r>
        <w:t xml:space="preserve">Rasmussen, C. E. and Williams, C. K.: Gaussian processes in machine learning, Lecture notes in computer science, 3176, 63–71, 2004.</w:t>
      </w:r>
    </w:p>
    <w:bookmarkEnd w:id="115"/>
    <w:bookmarkStart w:id="116" w:name="ref-Reynolds1994"/>
    <w:p>
      <w:pPr>
        <w:pStyle w:val="Bibliography"/>
      </w:pPr>
      <w:r>
        <w:t xml:space="preserve">Reynolds, R. W. and Smith, T. M.: Improved global sea surface temperature analyses using optimum interpolation, Journal of climate, 7, 929–948, 1994.</w:t>
      </w:r>
    </w:p>
    <w:bookmarkEnd w:id="116"/>
    <w:bookmarkStart w:id="117" w:name="ref-Royer2012"/>
    <w:p>
      <w:pPr>
        <w:pStyle w:val="Bibliography"/>
      </w:pPr>
      <w:r>
        <w:t xml:space="preserve">Royer, D. L.: Climate reconstruction from leaf size and shape: New developments and challenges, The Paleontological Society Papers, 18, 195–212, 2012.</w:t>
      </w:r>
    </w:p>
    <w:bookmarkEnd w:id="117"/>
    <w:bookmarkStart w:id="118" w:name="ref-Royer2004"/>
    <w:p>
      <w:pPr>
        <w:pStyle w:val="Bibliography"/>
      </w:pPr>
      <w:r>
        <w:t xml:space="preserve">Royer, D. L., Berner, R. A., Montañez, I. P., Tabor, N. J., Beerling, D. J., et al.: Co~ 2 as a primary driver of phanerozoic climate, GSA today, 14, 4–10, 2004.</w:t>
      </w:r>
    </w:p>
    <w:bookmarkEnd w:id="118"/>
    <w:bookmarkStart w:id="119"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19"/>
    <w:bookmarkStart w:id="120" w:name="ref-Schrag1999"/>
    <w:p>
      <w:pPr>
        <w:pStyle w:val="Bibliography"/>
      </w:pPr>
      <w:r>
        <w:t xml:space="preserve">Schrag, D. P.: Effects of diagenesis on the isotopic record of late paleogene tropical sea surface temperatures, Chemical Geology, 161, 215–224, 1999.</w:t>
      </w:r>
    </w:p>
    <w:bookmarkEnd w:id="120"/>
    <w:bookmarkStart w:id="122"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1">
        <w:r>
          <w:rPr>
            <w:rStyle w:val="Hyperlink"/>
          </w:rPr>
          <w:t xml:space="preserve">https://doi.org/10.1016/j.earscirev.2021.103503</w:t>
        </w:r>
      </w:hyperlink>
      <w:r>
        <w:t xml:space="preserve">, 2021.</w:t>
      </w:r>
    </w:p>
    <w:bookmarkEnd w:id="122"/>
    <w:bookmarkStart w:id="124"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23">
        <w:r>
          <w:rPr>
            <w:rStyle w:val="Hyperlink"/>
          </w:rPr>
          <w:t xml:space="preserve">https://doi.org/10.1130/G38547.1</w:t>
        </w:r>
      </w:hyperlink>
      <w:r>
        <w:t xml:space="preserve">, 2017.</w:t>
      </w:r>
    </w:p>
    <w:bookmarkEnd w:id="124"/>
    <w:bookmarkStart w:id="126"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25">
        <w:r>
          <w:rPr>
            <w:rStyle w:val="Hyperlink"/>
          </w:rPr>
          <w:t xml:space="preserve">https://doi.org/10.1016/j.quascirev.2003.12.003</w:t>
        </w:r>
      </w:hyperlink>
      <w:r>
        <w:t xml:space="preserve">, 2004.</w:t>
      </w:r>
    </w:p>
    <w:bookmarkEnd w:id="126"/>
    <w:bookmarkStart w:id="127" w:name="ref-Tierney2017"/>
    <w:p>
      <w:pPr>
        <w:pStyle w:val="Bibliography"/>
      </w:pPr>
      <w:r>
        <w:t xml:space="preserve">Tierney, J. E., Sinninghe Damsté, J. S., Pancost, R. D., Sluijs, A., and Zachos, J. C.: Eocene temperature gradients, Nature Geoscience, 10, 538–539, 2017.</w:t>
      </w:r>
    </w:p>
    <w:bookmarkEnd w:id="127"/>
    <w:bookmarkStart w:id="129" w:name="ref-valdes2017"/>
    <w:p>
      <w:pPr>
        <w:pStyle w:val="Bibliography"/>
      </w:pPr>
      <w:r>
        <w:t xml:space="preserve">Valdes, P. J., Armstrong, E., Badger, M. P. S., Bradshaw, C. D., Bragg, F., Davies-Barnard, T., Day, J. J., Farnsworth, A., Hopcroft, P. O., Kennedy, A. T., Lord, N. S., Lunt, D. J., Marzocchi, A., Parry, L. M., Roberts, W. H. G., Stone, E. J., Tourte, G. J. L., and Williams, J. H. T.: The BRIDGE HadCM3 family of climate models:HadCM3@Bristol v1.0, Geoscientific Model Development, 10, 3715–3743,</w:t>
      </w:r>
      <w:r>
        <w:t xml:space="preserve"> </w:t>
      </w:r>
      <w:hyperlink r:id="rId128">
        <w:r>
          <w:rPr>
            <w:rStyle w:val="Hyperlink"/>
          </w:rPr>
          <w:t xml:space="preserve">https://doi.org/10.5194/gmd-2017-16</w:t>
        </w:r>
      </w:hyperlink>
      <w:r>
        <w:t xml:space="preserve">, 2017.</w:t>
      </w:r>
    </w:p>
    <w:bookmarkEnd w:id="129"/>
    <w:bookmarkStart w:id="131"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0">
        <w:r>
          <w:rPr>
            <w:rStyle w:val="Hyperlink"/>
          </w:rPr>
          <w:t xml:space="preserve">https://doi.org/10.1016/j.earscirev.2015.03.008</w:t>
        </w:r>
      </w:hyperlink>
      <w:r>
        <w:t xml:space="preserve">, 2015.</w:t>
      </w:r>
    </w:p>
    <w:bookmarkEnd w:id="131"/>
    <w:bookmarkStart w:id="132"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32"/>
    <w:bookmarkStart w:id="133"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33"/>
    <w:bookmarkStart w:id="135" w:name="ref-woodhouse2023"/>
    <w:p>
      <w:pPr>
        <w:pStyle w:val="Bibliography"/>
      </w:pPr>
      <w:r>
        <w:t xml:space="preserve">Woodhouse, A., Swain, A., Fagan, W. F., Fraass, A. J., and Lowery, C. M.: Late Cenozoic cooling restructured global marine plankton communities, Nature, 614, 713–718,</w:t>
      </w:r>
      <w:r>
        <w:t xml:space="preserve"> </w:t>
      </w:r>
      <w:hyperlink r:id="rId134">
        <w:r>
          <w:rPr>
            <w:rStyle w:val="Hyperlink"/>
          </w:rPr>
          <w:t xml:space="preserve">https://doi.org/10.1038/s41586-023-05694-5</w:t>
        </w:r>
      </w:hyperlink>
      <w:r>
        <w:t xml:space="preserve">, 2023.</w:t>
      </w:r>
    </w:p>
    <w:bookmarkEnd w:id="135"/>
    <w:bookmarkStart w:id="136"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36"/>
    <w:bookmarkStart w:id="137" w:name="ref-yamano2001"/>
    <w:p>
      <w:pPr>
        <w:pStyle w:val="Bibliography"/>
      </w:pPr>
      <w:r>
        <w:t xml:space="preserve">Yamano, H., Hori, K., Yamauchi, M., Yamagawa, O., and Ohmura, A.: Highest-latitude coral reef at iki island, japan, Coral Reefs, 20, 9–12, 2001.</w:t>
      </w:r>
    </w:p>
    <w:bookmarkEnd w:id="137"/>
    <w:bookmarkStart w:id="139" w:name="ref-zachos2008"/>
    <w:p>
      <w:pPr>
        <w:pStyle w:val="Bibliography"/>
      </w:pPr>
      <w:r>
        <w:t xml:space="preserve">Zachos, J. C., Dickens, G. R., and Zeebe, R. E.: An early Cenozoic perspective on greenhouse warming and carbon-cycle dynamics, Nature, 451, 279–283,</w:t>
      </w:r>
      <w:r>
        <w:t xml:space="preserve"> </w:t>
      </w:r>
      <w:hyperlink r:id="rId138">
        <w:r>
          <w:rPr>
            <w:rStyle w:val="Hyperlink"/>
          </w:rPr>
          <w:t xml:space="preserve">https://doi.org/10.1038/nature06588</w:t>
        </w:r>
      </w:hyperlink>
      <w:r>
        <w:t xml:space="preserve">, 2008.</w:t>
      </w:r>
    </w:p>
    <w:bookmarkEnd w:id="139"/>
    <w:bookmarkStart w:id="14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0"/>
    <w:bookmarkStart w:id="14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1">
        <w:r>
          <w:rPr>
            <w:rStyle w:val="Hyperlink"/>
          </w:rPr>
          <w:t xml:space="preserve">https://doi.org/10.1016/j.earscirev.2019.01.025</w:t>
        </w:r>
      </w:hyperlink>
      <w:r>
        <w:t xml:space="preserve">, 2019.</w:t>
      </w:r>
    </w:p>
    <w:bookmarkEnd w:id="142"/>
    <w:bookmarkStart w:id="143" w:name="ref-Zhu2019"/>
    <w:p>
      <w:pPr>
        <w:pStyle w:val="Bibliography"/>
      </w:pPr>
      <w:r>
        <w:t xml:space="preserve">Zhu, J., Poulsen, C. J., and Tierney, J. E.: Simulation of eocene extreme warmth and high climate sensitivity through cloud feedbacks, Science advances, 5, eaax1874, 2019.</w:t>
      </w:r>
    </w:p>
    <w:bookmarkEnd w:id="143"/>
    <w:bookmarkStart w:id="14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4"/>
    <w:bookmarkEnd w:id="145"/>
    <w:bookmarkEnd w:id="146"/>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113" Target="https://doi.org/10.1007/s00468-012-0760-1" TargetMode="External" /><Relationship Type="http://schemas.openxmlformats.org/officeDocument/2006/relationships/hyperlink" Id="rId130" Target="https://doi.org/10.1016/j.earscirev.2015.03.008" TargetMode="External" /><Relationship Type="http://schemas.openxmlformats.org/officeDocument/2006/relationships/hyperlink" Id="rId141" Target="https://doi.org/10.1016/j.earscirev.2019.01.025" TargetMode="External" /><Relationship Type="http://schemas.openxmlformats.org/officeDocument/2006/relationships/hyperlink" Id="rId121" Target="https://doi.org/10.1016/j.earscirev.2021.103503" TargetMode="External" /><Relationship Type="http://schemas.openxmlformats.org/officeDocument/2006/relationships/hyperlink" Id="rId70" Target="https://doi.org/10.1016/j.envsoft.2021.105002" TargetMode="External" /><Relationship Type="http://schemas.openxmlformats.org/officeDocument/2006/relationships/hyperlink" Id="rId125" Target="https://doi.org/10.1016/j.quascirev.2003.12.003" TargetMode="External" /><Relationship Type="http://schemas.openxmlformats.org/officeDocument/2006/relationships/hyperlink" Id="rId96" Target="https://doi.org/10.1029/2020GL089044" TargetMode="External" /><Relationship Type="http://schemas.openxmlformats.org/officeDocument/2006/relationships/hyperlink" Id="rId138" Target="https://doi.org/10.1038/nature06588" TargetMode="External" /><Relationship Type="http://schemas.openxmlformats.org/officeDocument/2006/relationships/hyperlink" Id="rId64" Target="https://doi.org/10.1038/nature08399" TargetMode="External" /><Relationship Type="http://schemas.openxmlformats.org/officeDocument/2006/relationships/hyperlink" Id="rId111" Target="https://doi.org/10.1038/nature11300" TargetMode="External" /><Relationship Type="http://schemas.openxmlformats.org/officeDocument/2006/relationships/hyperlink" Id="rId79" Target="https://doi.org/10.1038/ncomms14845" TargetMode="External" /><Relationship Type="http://schemas.openxmlformats.org/officeDocument/2006/relationships/hyperlink" Id="rId134" Target="https://doi.org/10.1038/s41586-023-05694-5" TargetMode="External" /><Relationship Type="http://schemas.openxmlformats.org/officeDocument/2006/relationships/hyperlink" Id="rId67" Target="https://doi.org/10.1073/pnas.1809600115" TargetMode="External" /><Relationship Type="http://schemas.openxmlformats.org/officeDocument/2006/relationships/hyperlink" Id="rId74" Target="https://doi.org/10.1073/pnas.2006087117" TargetMode="External" /><Relationship Type="http://schemas.openxmlformats.org/officeDocument/2006/relationships/hyperlink" Id="rId61" Target="https://doi.org/10.1093/nsr/nwad051" TargetMode="External" /><Relationship Type="http://schemas.openxmlformats.org/officeDocument/2006/relationships/hyperlink" Id="rId109" Target="https://doi.org/10.1111/jbi.14238" TargetMode="External" /><Relationship Type="http://schemas.openxmlformats.org/officeDocument/2006/relationships/hyperlink" Id="rId103" Target="https://doi.org/10.1126/science.1166368" TargetMode="External" /><Relationship Type="http://schemas.openxmlformats.org/officeDocument/2006/relationships/hyperlink" Id="rId82" Target="https://doi.org/10.1130/0091-7613(1995)023&lt;1044:ECCALT&gt;2.3.CO;2" TargetMode="External" /><Relationship Type="http://schemas.openxmlformats.org/officeDocument/2006/relationships/hyperlink" Id="rId99" Target="https://doi.org/10.1130/G32054.1" TargetMode="External" /><Relationship Type="http://schemas.openxmlformats.org/officeDocument/2006/relationships/hyperlink" Id="rId123" Target="https://doi.org/10.1130/G38547.1" TargetMode="External" /><Relationship Type="http://schemas.openxmlformats.org/officeDocument/2006/relationships/hyperlink" Id="rId91" Target="https://doi.org/10.1130/G49132.1" TargetMode="External" /><Relationship Type="http://schemas.openxmlformats.org/officeDocument/2006/relationships/hyperlink" Id="rId94" Target="https://doi.org/10.31223/X5Z94Q" TargetMode="External" /><Relationship Type="http://schemas.openxmlformats.org/officeDocument/2006/relationships/hyperlink" Id="rId88" Target="https://doi.org/10.5194/cp-16-1953-2020" TargetMode="External" /><Relationship Type="http://schemas.openxmlformats.org/officeDocument/2006/relationships/hyperlink" Id="rId72" Target="https://doi.org/10.5194/cp-18-821-2022" TargetMode="External" /><Relationship Type="http://schemas.openxmlformats.org/officeDocument/2006/relationships/hyperlink" Id="rId128" Target="https://doi.org/10.5194/gmd-2017-16" TargetMode="External" /><Relationship Type="http://schemas.openxmlformats.org/officeDocument/2006/relationships/hyperlink" Id="rId5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7/s00468-012-0760-1" TargetMode="External" /><Relationship Type="http://schemas.openxmlformats.org/officeDocument/2006/relationships/hyperlink" Id="rId130" Target="https://doi.org/10.1016/j.earscirev.2015.03.008" TargetMode="External" /><Relationship Type="http://schemas.openxmlformats.org/officeDocument/2006/relationships/hyperlink" Id="rId141" Target="https://doi.org/10.1016/j.earscirev.2019.01.025" TargetMode="External" /><Relationship Type="http://schemas.openxmlformats.org/officeDocument/2006/relationships/hyperlink" Id="rId121" Target="https://doi.org/10.1016/j.earscirev.2021.103503" TargetMode="External" /><Relationship Type="http://schemas.openxmlformats.org/officeDocument/2006/relationships/hyperlink" Id="rId70" Target="https://doi.org/10.1016/j.envsoft.2021.105002" TargetMode="External" /><Relationship Type="http://schemas.openxmlformats.org/officeDocument/2006/relationships/hyperlink" Id="rId125" Target="https://doi.org/10.1016/j.quascirev.2003.12.003" TargetMode="External" /><Relationship Type="http://schemas.openxmlformats.org/officeDocument/2006/relationships/hyperlink" Id="rId96" Target="https://doi.org/10.1029/2020GL089044" TargetMode="External" /><Relationship Type="http://schemas.openxmlformats.org/officeDocument/2006/relationships/hyperlink" Id="rId138" Target="https://doi.org/10.1038/nature06588" TargetMode="External" /><Relationship Type="http://schemas.openxmlformats.org/officeDocument/2006/relationships/hyperlink" Id="rId64" Target="https://doi.org/10.1038/nature08399" TargetMode="External" /><Relationship Type="http://schemas.openxmlformats.org/officeDocument/2006/relationships/hyperlink" Id="rId111" Target="https://doi.org/10.1038/nature11300" TargetMode="External" /><Relationship Type="http://schemas.openxmlformats.org/officeDocument/2006/relationships/hyperlink" Id="rId79" Target="https://doi.org/10.1038/ncomms14845" TargetMode="External" /><Relationship Type="http://schemas.openxmlformats.org/officeDocument/2006/relationships/hyperlink" Id="rId134" Target="https://doi.org/10.1038/s41586-023-05694-5" TargetMode="External" /><Relationship Type="http://schemas.openxmlformats.org/officeDocument/2006/relationships/hyperlink" Id="rId67" Target="https://doi.org/10.1073/pnas.1809600115" TargetMode="External" /><Relationship Type="http://schemas.openxmlformats.org/officeDocument/2006/relationships/hyperlink" Id="rId74" Target="https://doi.org/10.1073/pnas.2006087117" TargetMode="External" /><Relationship Type="http://schemas.openxmlformats.org/officeDocument/2006/relationships/hyperlink" Id="rId61" Target="https://doi.org/10.1093/nsr/nwad051" TargetMode="External" /><Relationship Type="http://schemas.openxmlformats.org/officeDocument/2006/relationships/hyperlink" Id="rId109" Target="https://doi.org/10.1111/jbi.14238" TargetMode="External" /><Relationship Type="http://schemas.openxmlformats.org/officeDocument/2006/relationships/hyperlink" Id="rId103" Target="https://doi.org/10.1126/science.1166368" TargetMode="External" /><Relationship Type="http://schemas.openxmlformats.org/officeDocument/2006/relationships/hyperlink" Id="rId82" Target="https://doi.org/10.1130/0091-7613(1995)023&lt;1044:ECCALT&gt;2.3.CO;2" TargetMode="External" /><Relationship Type="http://schemas.openxmlformats.org/officeDocument/2006/relationships/hyperlink" Id="rId99" Target="https://doi.org/10.1130/G32054.1" TargetMode="External" /><Relationship Type="http://schemas.openxmlformats.org/officeDocument/2006/relationships/hyperlink" Id="rId123" Target="https://doi.org/10.1130/G38547.1" TargetMode="External" /><Relationship Type="http://schemas.openxmlformats.org/officeDocument/2006/relationships/hyperlink" Id="rId91" Target="https://doi.org/10.1130/G49132.1" TargetMode="External" /><Relationship Type="http://schemas.openxmlformats.org/officeDocument/2006/relationships/hyperlink" Id="rId94" Target="https://doi.org/10.31223/X5Z94Q" TargetMode="External" /><Relationship Type="http://schemas.openxmlformats.org/officeDocument/2006/relationships/hyperlink" Id="rId88" Target="https://doi.org/10.5194/cp-16-1953-2020" TargetMode="External" /><Relationship Type="http://schemas.openxmlformats.org/officeDocument/2006/relationships/hyperlink" Id="rId72" Target="https://doi.org/10.5194/cp-18-821-2022" TargetMode="External" /><Relationship Type="http://schemas.openxmlformats.org/officeDocument/2006/relationships/hyperlink" Id="rId128" Target="https://doi.org/10.5194/gmd-2017-16" TargetMode="External" /><Relationship Type="http://schemas.openxmlformats.org/officeDocument/2006/relationships/hyperlink" Id="rId5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2023-04-17T10:20:12Z</dcterms:created>
  <dcterms:modified xsi:type="dcterms:W3CDTF">2023-04-17T10:20:12Z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