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png" ContentType="image/png"/>
  <Override PartName="/word/media/rId46.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br/>
      </w:r>
      <w:r>
        <w:t xml:space="preserve">Abstract</w:t>
      </w:r>
    </w:p>
    <w:p>
      <w:pPr>
        <w:pStyle w:val="FirstParagraph"/>
      </w:pPr>
      <w:r>
        <w:t xml:space="preserve">Accurately reconstructing large-scale palaeoclimate patterns from sparse local records is critical for understanding the evolution of Earth’s climate. Particular challenges arise from the patchiness, uneven spatial distribution, and disparate nature of palaeoclimatic proxy records. Geochemical data typically provide temperature estimates via transfer functions derived from experiments. Similarly, transfer functions based on the climatic requirements of modern taxa exist for some fossil groups, such as pollen assemblages. In contrast, most ecological and lithological data (e.g. coral reefs and evaporites) only convey information on broad climatic requirements. Historically, most large-scale proxy-based reconstructions have used either geochemical or ecological data, but few studies have combined multiple proxy types into a single quantitative reconstruction. Large spatial gaps in existing proxy records have often been bridged by simple averaging, without taking into account the spatial distribution of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of the EECO. Our results confirm the presence of a flattened latitudinal temperature gradient and unusually high polar temperatures during the EECO, which is supported by high-latitude ecological data. We show that integrating multiple types of proxy data, and adequate prior information, has the potential to enhance quantiative palaeoclimate reconstructions, allowing for more accurate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2"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 Tierney et al., 2020)</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yet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Acknowledging the assumptions and limitations inherent in geochemical temperature proxies, e.g. experimentally derived calibrations, influences from seasonality, dissolution effects and differential preservation</w:t>
      </w:r>
      <w:r>
        <w:t xml:space="preserve"> </w:t>
      </w:r>
      <w:r>
        <w:t xml:space="preserve">(e.g. Tierney et al., 2017)</w:t>
      </w:r>
      <w:r>
        <w:t xml:space="preserve">, can allow for robust estimates of palaeotemperatures at a local scale. However,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Principally,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w:t>
      </w:r>
      <w:r>
        <w:t xml:space="preserve"> </w:t>
      </w:r>
      <w:r>
        <w:t xml:space="preserve">(e.g. 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modelled parameters means that such models can produce unrealistic temperature estimates when extrapolating from sparse data. Statistical modelling in a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The Bayesian approach offers a powerful framework for integrating various sources of uncertainty and modelling complex hierarchical relationships, and is increasingly used in palaeoclimatic reconstructions</w:t>
      </w:r>
      <w:r>
        <w:t xml:space="preserve"> </w:t>
      </w:r>
      <w:r>
        <w:t xml:space="preserve">(e.g. Weitzel et al., 2019; Yang and Bowen, 2022; Burgener et al., 2023)</w:t>
      </w:r>
      <w:r>
        <w:t xml:space="preserve">. This model expands upon existing, spatially explicit palaeoclimatic reconstructions by allowing for the integration of (1) prior information based on physical principles and the observed modern sea surface temperature distribution, and of (2) geochemical and ecological climate proxies in a common, quantitative framework. We chose a generalised logistic function to accurately infer the shape of the temperature gradient despite a patchy latitudinal coverage. This choice is motivated by the flexibility and ability of this function to approximate a variety of nonlinear patterns in the underlying temperature gradients, that other parametric approaches, such as lower order polynomials</w:t>
      </w:r>
      <w:r>
        <w:t xml:space="preserve"> </w:t>
      </w:r>
      <w:r>
        <w:t xml:space="preserve">(e.g. Bijl et al., 2009;</w:t>
      </w:r>
      <w:r>
        <w:t xml:space="preserve"> </w:t>
      </w:r>
      <w:r>
        <w:rPr>
          <w:bCs/>
          <w:b/>
        </w:rPr>
        <w:t xml:space="preserve">Keating-Bitoni2011?</w:t>
      </w:r>
      <w:r>
        <w:t xml:space="preserve">)</w:t>
      </w:r>
      <w:r>
        <w:t xml:space="preserve">, lack. We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(e.g. Greenwood et al., 2017)</w:t>
      </w:r>
      <w:r>
        <w:t xml:space="preserve"> </w:t>
      </w:r>
      <w:r>
        <w:t xml:space="preserve">to establish broad temperature ranges for the ecological data. We choose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(Table 1; Sloan and Barron, 1990; Markwick, 1994; Huber and Caballero, 2011; Tierney et al., 2017; Inglis et al., 2020)</w:t>
      </w:r>
      <w:r>
        <w:t xml:space="preserve">.</w:t>
      </w:r>
    </w:p>
    <w:bookmarkStart w:id="21" w:name="table-1"/>
    <w:p>
      <w:pPr>
        <w:pStyle w:val="BodyText"/>
      </w:pPr>
      <w:r>
        <w:t xml:space="preserve">Table 1: Inferred latitudinal sea surface temperature (SST) gradients for the early Eocene (EE) or the EECO, as shown in earlier, proxy-based studies. The gradient values denote the SST difference between the equator and the polar circle, or other types of gradients. For comparison, a gradient derived from an atmosphere-ocean general circulation model (GCM) ensemble is also shown.</w:t>
      </w:r>
    </w:p>
    <w:tbl>
      <w:tblPr>
        <w:tblStyle w:val="Table"/>
        <w:tblW w:type="pct" w:w="5000"/>
        <w:tblLook w:firstRow="1" w:lastRow="0" w:firstColumn="0" w:lastColumn="0" w:noHBand="0" w:noVBand="0" w:val="0020"/>
        <w:jc w:val="start"/>
      </w:tblPr>
      <w:tblGrid>
        <w:gridCol w:w="2245"/>
        <w:gridCol w:w="204"/>
        <w:gridCol w:w="367"/>
        <w:gridCol w:w="979"/>
        <w:gridCol w:w="1061"/>
        <w:gridCol w:w="3061"/>
      </w:tblGrid>
      <w:tr>
        <w:trPr>
          <w:tblHeader w:val="true"/>
        </w:trPr>
        <w:tc>
          <w:tcPr/>
          <w:p>
            <w:pPr>
              <w:pStyle w:val="Compact"/>
              <w:jc w:val="left"/>
            </w:pPr>
            <w:r>
              <w:t xml:space="preserve">Source</w:t>
            </w:r>
          </w:p>
        </w:tc>
        <w:tc>
          <w:tcPr/>
          <w:p>
            <w:pPr>
              <w:pStyle w:val="Compact"/>
              <w:jc w:val="left"/>
            </w:pPr>
            <w:r>
              <w:t xml:space="preserve">Time</w:t>
            </w:r>
          </w:p>
        </w:tc>
        <w:tc>
          <w:tcPr/>
          <w:p>
            <w:pPr>
              <w:pStyle w:val="Compact"/>
              <w:jc w:val="left"/>
            </w:pPr>
            <w:r>
              <w:t xml:space="preserve">Gradient</w:t>
            </w:r>
          </w:p>
        </w:tc>
        <w:tc>
          <w:tcPr/>
          <w:p>
            <w:pPr>
              <w:pStyle w:val="Compact"/>
              <w:jc w:val="left"/>
            </w:pPr>
            <w:r>
              <w:t xml:space="preserve">Type_of_gradient</w:t>
            </w:r>
          </w:p>
        </w:tc>
        <w:tc>
          <w:tcPr/>
          <w:p>
            <w:pPr>
              <w:pStyle w:val="Compact"/>
              <w:jc w:val="left"/>
            </w:pPr>
            <w:r>
              <w:t xml:space="preserve">Model</w:t>
            </w:r>
          </w:p>
        </w:tc>
        <w:tc>
          <w:tcPr/>
          <w:p>
            <w:pPr>
              <w:pStyle w:val="Compact"/>
              <w:jc w:val="left"/>
            </w:pPr>
            <w:r>
              <w:t xml:space="preserve">Proxy_system</w:t>
            </w:r>
          </w:p>
        </w:tc>
      </w:tr>
      <w:tr>
        <w:tc>
          <w:tcPr/>
          <w:p>
            <w:pPr>
              <w:pStyle w:val="Compact"/>
              <w:jc w:val="left"/>
            </w:pPr>
            <w:r>
              <w:t xml:space="preserve">Bijl et al. (2009)</w:t>
            </w:r>
          </w:p>
        </w:tc>
        <w:tc>
          <w:tcPr/>
          <w:p>
            <w:pPr>
              <w:pStyle w:val="Compact"/>
              <w:jc w:val="left"/>
            </w:pPr>
            <w:r>
              <w:t xml:space="preserve">EE</w:t>
            </w:r>
          </w:p>
        </w:tc>
        <w:tc>
          <w:tcPr/>
          <w:p>
            <w:pPr>
              <w:pStyle w:val="Compact"/>
              <w:jc w:val="left"/>
            </w:pPr>
            <w:r>
              <w:t xml:space="preserve">7</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w:t>
            </w:r>
            <w:r>
              <w:t xml:space="preserve"> </w:t>
            </w:r>
            <m:oMath>
              <m:r>
                <m:t>U</m:t>
              </m:r>
              <m:sSubSup>
                <m:e>
                  <m:r>
                    <m:t>K</m:t>
                  </m:r>
                </m:e>
                <m:sub>
                  <m:r>
                    <m:t>37</m:t>
                  </m:r>
                </m:sub>
                <m:sup>
                  <m:r>
                    <m:t>K</m:t>
                  </m:r>
                  <m:r>
                    <m:rPr>
                      <m:sty m:val="p"/>
                    </m:rPr>
                    <m:t>′</m:t>
                  </m:r>
                </m:sup>
              </m:sSubSup>
            </m:oMath>
          </w:p>
        </w:tc>
      </w:tr>
      <w:tr>
        <w:tc>
          <w:tcPr/>
          <w:p>
            <w:pPr>
              <w:pStyle w:val="Compact"/>
              <w:jc w:val="left"/>
            </w:pPr>
            <w:r>
              <w:t xml:space="preserve">Keating-Bitoni et al. (2011)</w:t>
            </w:r>
          </w:p>
        </w:tc>
        <w:tc>
          <w:tcPr/>
          <w:p>
            <w:pPr>
              <w:pStyle w:val="Compact"/>
              <w:jc w:val="left"/>
            </w:pPr>
            <w:r>
              <w:t xml:space="preserve">EECO</w:t>
            </w:r>
          </w:p>
        </w:tc>
        <w:tc>
          <w:tcPr/>
          <w:p>
            <w:pPr>
              <w:pStyle w:val="Compact"/>
              <w:jc w:val="left"/>
            </w:pPr>
            <w:r>
              <w:t xml:space="preserve">13</w:t>
            </w:r>
          </w:p>
        </w:tc>
        <w:tc>
          <w:tcPr/>
          <w:p>
            <w:pPr>
              <w:pStyle w:val="Compact"/>
              <w:jc w:val="left"/>
            </w:pPr>
            <w:r>
              <w:t xml:space="preserve">equator - polar circle</w:t>
            </w:r>
          </w:p>
        </w:tc>
        <w:tc>
          <w:tcPr/>
          <w:p>
            <w:pPr>
              <w:pStyle w:val="Compact"/>
              <w:jc w:val="left"/>
            </w:pPr>
            <m:oMath>
              <m:sSup>
                <m:e>
                  <m:r>
                    <m:t>2</m:t>
                  </m:r>
                </m:e>
                <m:sup>
                  <m:r>
                    <m:t>n</m:t>
                  </m:r>
                  <m:r>
                    <m:t>d</m:t>
                  </m:r>
                </m:sup>
              </m:sSup>
            </m:oMath>
            <w:r>
              <w:t xml:space="preserve"> </w:t>
            </w:r>
            <w:r>
              <w:t xml:space="preserve">order polynomial</w:t>
            </w:r>
          </w:p>
        </w:tc>
        <w:tc>
          <w:tcPr/>
          <w:p>
            <w:pPr>
              <w:pStyle w:val="Compact"/>
              <w:jc w:val="left"/>
            </w:pPr>
            <m:oMath>
              <m:r>
                <m:t>T</m:t>
              </m:r>
              <m:r>
                <m:t>E</m:t>
              </m:r>
              <m:sSub>
                <m:e>
                  <m:r>
                    <m:t>X</m:t>
                  </m:r>
                </m:e>
                <m:sub>
                  <m:r>
                    <m:t>86</m:t>
                  </m:r>
                </m:sub>
              </m:sSub>
            </m:oMath>
            <w:r>
              <w:t xml:space="preserve">, MBT/CBT,</w:t>
            </w:r>
            <w:r>
              <w:t xml:space="preserve"> </w:t>
            </w:r>
            <m:oMath>
              <m:sSub>
                <m:e>
                  <m:r>
                    <m:t>Δ</m:t>
                  </m:r>
                </m:e>
                <m:sub>
                  <m:r>
                    <m:t>47</m:t>
                  </m:r>
                </m:sub>
              </m:sSub>
            </m:oMath>
            <w:r>
              <w:t xml:space="preserve">, Mg/Ca,</w:t>
            </w:r>
            <w:r>
              <w:t xml:space="preserve"> </w:t>
            </w:r>
            <m:oMath>
              <m:sSup>
                <m:e>
                  <m:r>
                    <m:t>δ</m:t>
                  </m:r>
                </m:e>
                <m:sup>
                  <m:r>
                    <m:t>18</m:t>
                  </m:r>
                </m:sup>
              </m:sSup>
              <m:r>
                <m:t>O</m:t>
              </m:r>
            </m:oMath>
          </w:p>
        </w:tc>
      </w:tr>
      <w:tr>
        <w:tc>
          <w:tcPr/>
          <w:p>
            <w:pPr>
              <w:pStyle w:val="Compact"/>
              <w:jc w:val="left"/>
            </w:pPr>
            <w:r>
              <w:t xml:space="preserve">Tierney et al. (2017)</w:t>
            </w:r>
          </w:p>
        </w:tc>
        <w:tc>
          <w:tcPr/>
          <w:p>
            <w:pPr>
              <w:pStyle w:val="Compact"/>
              <w:jc w:val="left"/>
            </w:pPr>
            <w:r>
              <w:t xml:space="preserve">EE</w:t>
            </w:r>
          </w:p>
        </w:tc>
        <w:tc>
          <w:tcPr/>
          <w:p>
            <w:pPr>
              <w:pStyle w:val="Compact"/>
              <w:jc w:val="left"/>
            </w:pPr>
            <w:r>
              <w:t xml:space="preserve">12</w:t>
            </w:r>
          </w:p>
        </w:tc>
        <w:tc>
          <w:tcPr/>
          <w:p>
            <w:pPr>
              <w:pStyle w:val="Compact"/>
              <w:jc w:val="left"/>
            </w:pPr>
            <w:r>
              <w:t xml:space="preserve">equator - polar circle</w:t>
            </w:r>
          </w:p>
        </w:tc>
        <w:tc>
          <w:tcPr/>
          <w:p>
            <w:pPr>
              <w:pStyle w:val="Compact"/>
              <w:jc w:val="left"/>
            </w:pPr>
            <w:r>
              <w:t xml:space="preserve">Gaussian function</w:t>
            </w:r>
          </w:p>
        </w:tc>
        <w:tc>
          <w:tcPr/>
          <w:p>
            <w:pPr>
              <w:pStyle w:val="Compact"/>
              <w:jc w:val="left"/>
            </w:pPr>
            <m:oMath>
              <m:r>
                <m:t>T</m:t>
              </m:r>
              <m:r>
                <m:t>E</m:t>
              </m:r>
              <m:sSub>
                <m:e>
                  <m:r>
                    <m:t>X</m:t>
                  </m:r>
                </m:e>
                <m:sub>
                  <m:r>
                    <m:t>86</m:t>
                  </m:r>
                </m:sub>
              </m:sSub>
            </m:oMath>
          </w:p>
        </w:tc>
      </w:tr>
      <w:tr>
        <w:tc>
          <w:tcPr/>
          <w:p>
            <w:pPr>
              <w:pStyle w:val="Compact"/>
              <w:jc w:val="left"/>
            </w:pPr>
            <w:r>
              <w:t xml:space="preserve">Cramwinckel et al. (2018)</w:t>
            </w:r>
          </w:p>
        </w:tc>
        <w:tc>
          <w:tcPr/>
          <w:p>
            <w:pPr>
              <w:pStyle w:val="Compact"/>
              <w:jc w:val="left"/>
            </w:pPr>
            <w:r>
              <w:t xml:space="preserve">EECO</w:t>
            </w:r>
          </w:p>
        </w:tc>
        <w:tc>
          <w:tcPr/>
          <w:p>
            <w:pPr>
              <w:pStyle w:val="Compact"/>
              <w:jc w:val="left"/>
            </w:pPr>
            <w:r>
              <w:t xml:space="preserve">21 (±1)</w:t>
            </w:r>
          </w:p>
        </w:tc>
        <w:tc>
          <w:tcPr/>
          <w:p>
            <w:pPr>
              <w:pStyle w:val="Compact"/>
              <w:jc w:val="left"/>
            </w:pPr>
            <w:r>
              <w:t xml:space="preserve">equator - deep water</w:t>
            </w:r>
          </w:p>
        </w:tc>
        <w:tc>
          <w:tcPr/>
          <w:p>
            <w:pPr>
              <w:pStyle w:val="Compact"/>
              <w:jc w:val="left"/>
            </w:pPr>
            <w:r>
              <w:t xml:space="preserve">-</w:t>
            </w:r>
          </w:p>
        </w:tc>
        <w:tc>
          <w:tcPr/>
          <w:p>
            <w:pPr>
              <w:pStyle w:val="Compact"/>
              <w:jc w:val="left"/>
            </w:pPr>
            <m:oMath>
              <m:r>
                <m:t>T</m:t>
              </m:r>
              <m:r>
                <m:t>E</m:t>
              </m:r>
              <m:sSub>
                <m:e>
                  <m:r>
                    <m:t>X</m:t>
                  </m:r>
                </m:e>
                <m:sub>
                  <m:r>
                    <m:t>86</m:t>
                  </m:r>
                </m:sub>
              </m:sSub>
            </m:oMath>
            <w:r>
              <w:t xml:space="preserve">,</w:t>
            </w:r>
            <w:r>
              <w:t xml:space="preserve"> </w:t>
            </w:r>
            <m:oMath>
              <m:sSub>
                <m:e>
                  <m:r>
                    <m:t>Δ</m:t>
                  </m:r>
                </m:e>
                <m:sub>
                  <m:r>
                    <m:t>47</m:t>
                  </m:r>
                </m:sub>
              </m:sSub>
            </m:oMath>
            <w:r>
              <w:t xml:space="preserve">, Mg/Ca,</w:t>
            </w:r>
            <w:r>
              <w:t xml:space="preserve"> </w:t>
            </w:r>
            <m:oMath>
              <m:sSup>
                <m:e>
                  <m:r>
                    <m:t>δ</m:t>
                  </m:r>
                </m:e>
                <m:sup>
                  <m:r>
                    <m:t>18</m:t>
                  </m:r>
                </m:sup>
              </m:sSup>
              <m:r>
                <m:t>O</m:t>
              </m:r>
            </m:oMath>
            <w:r>
              <w:t xml:space="preserve">, deepwater</w:t>
            </w:r>
            <w:r>
              <w:t xml:space="preserve"> </w:t>
            </w:r>
            <m:oMath>
              <m:sSup>
                <m:e>
                  <m:r>
                    <m:t>δ</m:t>
                  </m:r>
                </m:e>
                <m:sup>
                  <m:r>
                    <m:t>18</m:t>
                  </m:r>
                </m:sup>
              </m:sSup>
              <m:r>
                <m:t>O</m:t>
              </m:r>
            </m:oMath>
          </w:p>
        </w:tc>
      </w:tr>
      <w:tr>
        <w:tc>
          <w:tcPr/>
          <w:p>
            <w:pPr>
              <w:pStyle w:val="Compact"/>
              <w:jc w:val="left"/>
            </w:pPr>
            <w:r>
              <w:t xml:space="preserve">Evans et al. (2018)</w:t>
            </w:r>
          </w:p>
        </w:tc>
        <w:tc>
          <w:tcPr/>
          <w:p>
            <w:pPr>
              <w:pStyle w:val="Compact"/>
              <w:jc w:val="left"/>
            </w:pPr>
            <w:r>
              <w:t xml:space="preserve">EE</w:t>
            </w:r>
          </w:p>
        </w:tc>
        <w:tc>
          <w:tcPr/>
          <w:p>
            <w:pPr>
              <w:pStyle w:val="Compact"/>
              <w:jc w:val="left"/>
            </w:pPr>
            <w:r>
              <w:t xml:space="preserve">20 (±3)</w:t>
            </w:r>
          </w:p>
        </w:tc>
        <w:tc>
          <w:tcPr/>
          <w:p>
            <w:pPr>
              <w:pStyle w:val="Compact"/>
              <w:jc w:val="left"/>
            </w:pPr>
            <w:r>
              <w:t xml:space="preserve">tropics - deep water</w:t>
            </w:r>
          </w:p>
        </w:tc>
        <w:tc>
          <w:tcPr/>
          <w:p>
            <w:pPr>
              <w:pStyle w:val="Compact"/>
              <w:jc w:val="left"/>
            </w:pPr>
            <w:r>
              <w:t xml:space="preserve">-</w:t>
            </w:r>
          </w:p>
        </w:tc>
        <w:tc>
          <w:tcPr/>
          <w:p>
            <w:pPr>
              <w:pStyle w:val="Compact"/>
              <w:jc w:val="left"/>
            </w:pPr>
            <m:oMath>
              <m:sSub>
                <m:e>
                  <m:r>
                    <m:t>Δ</m:t>
                  </m:r>
                </m:e>
                <m:sub>
                  <m:r>
                    <m:t>47</m:t>
                  </m:r>
                </m:sub>
              </m:sSub>
            </m:oMath>
            <w:r>
              <w:t xml:space="preserve">, deepwater Mg/Ca</w:t>
            </w:r>
          </w:p>
        </w:tc>
      </w:tr>
      <w:tr>
        <w:tc>
          <w:tcPr/>
          <w:p>
            <w:pPr>
              <w:pStyle w:val="Compact"/>
              <w:jc w:val="left"/>
            </w:pPr>
            <w:r>
              <w:t xml:space="preserve">Pross et al. (2012), as shown in Tierney et al. (2017)</w:t>
            </w:r>
          </w:p>
        </w:tc>
        <w:tc>
          <w:tcPr/>
          <w:p>
            <w:pPr>
              <w:pStyle w:val="Compact"/>
              <w:jc w:val="left"/>
            </w:pPr>
            <w:r>
              <w:t xml:space="preserve">EE</w:t>
            </w:r>
          </w:p>
        </w:tc>
        <w:tc>
          <w:tcPr/>
          <w:p>
            <w:pPr>
              <w:pStyle w:val="Compact"/>
              <w:jc w:val="left"/>
            </w:pPr>
            <w:r>
              <w:t xml:space="preserve">26</w:t>
            </w:r>
          </w:p>
        </w:tc>
        <w:tc>
          <w:tcPr/>
          <w:p>
            <w:pPr>
              <w:pStyle w:val="Compact"/>
              <w:jc w:val="left"/>
            </w:pPr>
            <w:r>
              <w:t xml:space="preserve">equator - polar circle</w:t>
            </w:r>
          </w:p>
        </w:tc>
        <w:tc>
          <w:tcPr/>
          <w:p>
            <w:pPr>
              <w:pStyle w:val="Compact"/>
              <w:jc w:val="left"/>
            </w:pPr>
            <w:r>
              <w:t xml:space="preserve">climate model ensemble</w:t>
            </w:r>
          </w:p>
        </w:tc>
        <w:tc>
          <w:tcPr/>
          <w:p>
            <w:pPr>
              <w:pStyle w:val="Compact"/>
              <w:jc w:val="left"/>
            </w:pPr>
            <w:r>
              <w:t xml:space="preserve">none (GCM simulations)</w:t>
            </w:r>
          </w:p>
        </w:tc>
      </w:tr>
      <w:tr>
        <w:tc>
          <w:tcPr/>
          <w:p>
            <w:pPr>
              <w:pStyle w:val="Compact"/>
              <w:jc w:val="left"/>
            </w:pPr>
            <w:r>
              <w:t xml:space="preserve">Lunt et al. (2021)</w:t>
            </w:r>
          </w:p>
        </w:tc>
        <w:tc>
          <w:tcPr/>
          <w:p>
            <w:pPr>
              <w:pStyle w:val="Compact"/>
              <w:jc w:val="left"/>
            </w:pPr>
            <w:r>
              <w:t xml:space="preserve">EECO</w:t>
            </w:r>
          </w:p>
        </w:tc>
        <w:tc>
          <w:tcPr/>
          <w:p>
            <w:pPr>
              <w:pStyle w:val="Compact"/>
              <w:jc w:val="left"/>
            </w:pPr>
            <w:r>
              <w:t xml:space="preserve">18 - 26</w:t>
            </w:r>
          </w:p>
        </w:tc>
        <w:tc>
          <w:tcPr/>
          <w:p>
            <w:pPr>
              <w:pStyle w:val="Compact"/>
              <w:jc w:val="left"/>
            </w:pPr>
            <w:r>
              <w:t xml:space="preserve">tropics - high latitude</w:t>
            </w:r>
          </w:p>
        </w:tc>
        <w:tc>
          <w:tcPr/>
          <w:p>
            <w:pPr>
              <w:pStyle w:val="Compact"/>
              <w:jc w:val="left"/>
            </w:pPr>
            <w:r>
              <w:t xml:space="preserve">DeepMIP climate models</w:t>
            </w:r>
          </w:p>
        </w:tc>
        <w:tc>
          <w:tcPr/>
          <w:p>
            <w:pPr>
              <w:pStyle w:val="Compact"/>
              <w:jc w:val="left"/>
            </w:pPr>
            <w:r>
              <w:t xml:space="preserve">none (GCM simulations)</w:t>
            </w:r>
          </w:p>
        </w:tc>
      </w:tr>
    </w:tbl>
    <w:bookmarkEnd w:id="21"/>
    <w:bookmarkEnd w:id="22"/>
    <w:bookmarkStart w:id="45" w:name="materials-methods"/>
    <w:p>
      <w:pPr>
        <w:pStyle w:val="Heading1"/>
      </w:pPr>
      <w:r>
        <w:t xml:space="preserve">Materials &amp; Methods</w:t>
      </w:r>
    </w:p>
    <w:bookmarkStart w:id="23"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sea surface temperature data on four different geochemical proxies for reconstructing seawater temperature: δ</w:t>
      </w:r>
      <w:r>
        <w:rPr>
          <w:vertAlign w:val="superscript"/>
        </w:rPr>
        <w:t xml:space="preserve">18</w:t>
      </w:r>
      <w:r>
        <w:t xml:space="preserve">O, Δ</w:t>
      </w:r>
      <w:r>
        <w:rPr>
          <w:vertAlign w:val="subscript"/>
        </w:rPr>
        <w:t xml:space="preserve">47</w:t>
      </w:r>
      <w:r>
        <w:t xml:space="preserve">, Mg/Ca and TEX</w:t>
      </w:r>
      <w:r>
        <w:rPr>
          <w:vertAlign w:val="subscript"/>
        </w:rPr>
        <w:t xml:space="preserve">86</w:t>
      </w:r>
      <w:r>
        <w:t xml:space="preserve">. For our analyses, this dataset was restricted to the EECO (defined as 53.8 – 49.1 Ma) and samples originating from near the ocean surface or mixed layer. Samples labelled as</w:t>
      </w:r>
      <w:r>
        <w:t xml:space="preserve"> </w:t>
      </w:r>
      <w:r>
        <w:t xml:space="preserve">“</w:t>
      </w:r>
      <w:r>
        <w:t xml:space="preserve">thermocline</w:t>
      </w:r>
      <w:r>
        <w:t xml:space="preserve">”</w:t>
      </w:r>
      <w:r>
        <w:t xml:space="preserve"> </w:t>
      </w:r>
      <w:r>
        <w:t xml:space="preserve">or</w:t>
      </w:r>
      <w:r>
        <w:t xml:space="preserve"> </w:t>
      </w:r>
      <w:r>
        <w:t xml:space="preserve">“</w:t>
      </w:r>
      <w:r>
        <w:t xml:space="preserve">sub-thermocline</w:t>
      </w:r>
      <w:r>
        <w:t xml:space="preserve">”</w:t>
      </w:r>
      <w:r>
        <w:t xml:space="preserve"> </w:t>
      </w:r>
      <w:r>
        <w:t xml:space="preserve">were excluded.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3"/>
    <w:bookmarkStart w:id="28"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 N – 32° S), with minimum sea surface temperature tolerances (~18°C)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communities found up to palaeolatitudes of 43 ° N</w:t>
      </w:r>
      <w:r>
        <w:t xml:space="preserve"> </w:t>
      </w:r>
      <w:r>
        <w:t xml:space="preserve">(Zamagni et al., 2012)</w:t>
      </w:r>
      <w:r>
        <w:t xml:space="preserve">. Using a compilation of Paleocene – 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warm-water coral reef ecosystems. This filtering resulted in four unique coral reef localities remaining for the EECO, all of which conform to the modern latitudinal range of coral reefs (&lt;34° N). Subsequently, we used statistically derived temperature limits (minimum = 21°C, average = 27.6°C, maximum = 29.5°C)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besides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(15.6°C) and</w:t>
      </w:r>
      <w:r>
        <w:t xml:space="preserve"> </w:t>
      </w:r>
      <w:r>
        <w:rPr>
          <w:iCs/>
          <w:i/>
        </w:rPr>
        <w:t xml:space="preserve">Rhizophora</w:t>
      </w:r>
      <w:r>
        <w:t xml:space="preserve"> </w:t>
      </w:r>
      <w:r>
        <w:t xml:space="preserve">(20.7°C)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and co-occurred across tropical and temperate latitudes in the early Eocene. Only</w:t>
      </w:r>
      <w:r>
        <w:t xml:space="preserve"> </w:t>
      </w:r>
      <w:r>
        <w:rPr>
          <w:iCs/>
          <w:i/>
        </w:rPr>
        <w:t xml:space="preserve">Avicennia</w:t>
      </w:r>
      <w:r>
        <w:t xml:space="preserve">, however, 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15.6°C (lower temperature limt of</w:t>
      </w:r>
      <w:r>
        <w:t xml:space="preserve"> </w:t>
      </w:r>
      <w:r>
        <w:rPr>
          <w:iCs/>
          <w:i/>
        </w:rPr>
        <w:t xml:space="preserve">Avicennia</w:t>
      </w:r>
      <w:r>
        <w:t xml:space="preserve">) and 20.7°C (lower temperature limit of</w:t>
      </w:r>
      <w:r>
        <w:t xml:space="preserve"> </w:t>
      </w:r>
      <w:r>
        <w:rPr>
          <w:iCs/>
          <w:i/>
        </w:rPr>
        <w:t xml:space="preserve">Rhizophora</w:t>
      </w:r>
      <w:r>
        <w:t xml:space="preserve">). However, a value of 22.5°C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jc w:val="start"/>
      </w:tblPr>
      <w:tblGrid>
        <w:gridCol w:w="7920"/>
      </w:tblGrid>
      <w:tr>
        <w:tc>
          <w:tcPr/>
          <w:bookmarkStart w:id="27" w:name="fig-1"/>
          <w:p>
            <w:pPr>
              <w:jc w:val="center"/>
            </w:pPr>
            <w:r>
              <w:drawing>
                <wp:inline>
                  <wp:extent cx="5399999" cy="3239542"/>
                  <wp:effectExtent b="0" l="0" r="0" t="0"/>
                  <wp:docPr descr="" title="" id="25" name="Picture"/>
                  <a:graphic>
                    <a:graphicData uri="http://schemas.openxmlformats.org/drawingml/2006/picture">
                      <pic:pic>
                        <pic:nvPicPr>
                          <pic:cNvPr descr="../figures/fig_1_revised.png" id="26" name="Picture"/>
                          <pic:cNvPicPr>
                            <a:picLocks noChangeArrowheads="1" noChangeAspect="1"/>
                          </pic:cNvPicPr>
                        </pic:nvPicPr>
                        <pic:blipFill>
                          <a:blip r:embed="rId24"/>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27"/>
        </w:tc>
      </w:tr>
    </w:tbl>
    <w:bookmarkEnd w:id="28"/>
    <w:bookmarkStart w:id="29"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29"/>
    <w:bookmarkStart w:id="40" w:name="bayesian-framework"/>
    <w:p>
      <w:pPr>
        <w:pStyle w:val="Heading2"/>
      </w:pPr>
      <w:r>
        <w:t xml:space="preserve">Bayesian framework</w:t>
      </w:r>
    </w:p>
    <w:p>
      <w:pPr>
        <w:pStyle w:val="FirstParagraph"/>
      </w:pPr>
      <w:r>
        <w:rPr>
          <w:bCs/>
          <w:b/>
        </w:rPr>
        <w:t xml:space="preserve">Model structure.</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0"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0"/>
    </w:p>
    <w:p>
      <w:pPr>
        <w:pStyle w:val="FirstParagraph"/>
      </w:pPr>
      <w:bookmarkStart w:id="31"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r>
                <m:t>1</m:t>
              </m:r>
              <m:r>
                <m:rPr>
                  <m:sty m:val="p"/>
                </m:rPr>
                <m:t>+</m:t>
              </m:r>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1"/>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use this generalised logistic function because it can follow the equatorial and polar asymptotes observed in the modern, latitudinal SST gradient, but can also accommodate a variety of other shapes, while consisting of only four shape parameters. This flexibility is primarily achieved by shifting the location of the curve along the latitudinal axis by varying</w:t>
      </w:r>
      <w:r>
        <w:t xml:space="preserve"> </w:t>
      </w:r>
      <m:oMath>
        <m:r>
          <m:t>M</m:t>
        </m:r>
      </m:oMath>
      <w:r>
        <w:t xml:space="preserve">, and by altering the steepness of the curve by varying</w:t>
      </w:r>
      <w:r>
        <w:t xml:space="preserve"> </w:t>
      </w:r>
      <m:oMath>
        <m:r>
          <m:t>B</m:t>
        </m:r>
      </m:oMath>
      <w:r>
        <w:t xml:space="preserve">. For example, one limb of a second-order polynomial as in</w:t>
      </w:r>
      <w:r>
        <w:t xml:space="preserve"> </w:t>
      </w:r>
      <w:r>
        <w:t xml:space="preserve">Bijl et al. (2009)</w:t>
      </w:r>
      <w:r>
        <w:t xml:space="preserve"> </w:t>
      </w:r>
      <w:r>
        <w:t xml:space="preserve">can be approximated by increasing</w:t>
      </w:r>
      <w:r>
        <w:t xml:space="preserve"> </w:t>
      </w:r>
      <m:oMath>
        <m:r>
          <m:t>M</m:t>
        </m:r>
      </m:oMath>
      <w:r>
        <w:t xml:space="preserve"> </w:t>
      </w:r>
      <w:r>
        <w:t xml:space="preserve">towards high latitudes, and decreasing</w:t>
      </w:r>
      <w:r>
        <w:t xml:space="preserve"> </w:t>
      </w:r>
      <m:oMath>
        <m:r>
          <m:t>B</m:t>
        </m:r>
      </m:oMath>
      <w:r>
        <w:t xml:space="preserve"> </w:t>
      </w:r>
      <w:r>
        <w:t xml:space="preserve">to reduce the steepness of the curve. The model is designed for modelling the average gradient across both hemispheres, but can also be applied to individual hemispheres, to assess hemispherical differences (Supplementary Material).</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2"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2"/>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3"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3"/>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strong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reconstructed temperatures.</w:t>
      </w:r>
    </w:p>
    <w:p>
      <w:pPr>
        <w:pStyle w:val="BodyText"/>
      </w:pPr>
      <w:r>
        <w:t xml:space="preserve">We show an expanded model that includes uncertainties on individual temperature observations in the Supplementary Material.</w:t>
      </w:r>
    </w:p>
    <w:p>
      <w:pPr>
        <w:pStyle w:val="BodyText"/>
      </w:pPr>
      <w:r>
        <w:rPr>
          <w:bCs/>
          <w:b/>
        </w:rPr>
        <w:t xml:space="preserve">Priors.</w:t>
      </w:r>
      <w:r>
        <w:t xml:space="preserve"> </w:t>
      </w:r>
      <w:r>
        <w:t xml:space="preserve">In a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4"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4"/>
    </w:p>
    <w:p>
      <w:pPr>
        <w:pStyle w:val="FirstParagraph"/>
      </w:pPr>
      <w:bookmarkStart w:id="35"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5"/>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loosely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36"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36"/>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37"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37"/>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 42, i.e. </w:t>
      </w:r>
      <m:oMath>
        <m:r>
          <m:t>M</m:t>
        </m:r>
      </m:oMath>
      <w:r>
        <w:t xml:space="preserve"> </w:t>
      </w:r>
      <w:r>
        <w:t xml:space="preserve">of the modern SST gradient, and a moderately wide standard deviation of 10:</w:t>
      </w:r>
    </w:p>
    <w:p>
      <w:pPr>
        <w:pStyle w:val="BodyText"/>
      </w:pPr>
      <w:bookmarkStart w:id="38"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38"/>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limit very abrupt SST changes across latitudes on a global scale. A gamma-distributed prior of the form</w:t>
      </w:r>
    </w:p>
    <w:p>
      <w:pPr>
        <w:pStyle w:val="BodyText"/>
      </w:pPr>
      <w:bookmarkStart w:id="39"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39"/>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 We informed the prior distributions on</w:t>
      </w:r>
      <w:r>
        <w:t xml:space="preserve"> </w:t>
      </w:r>
      <m:oMath>
        <m:r>
          <m:t>M</m:t>
        </m:r>
      </m:oMath>
      <w:r>
        <w:t xml:space="preserve"> </w:t>
      </w:r>
      <w:r>
        <w:t xml:space="preserve">and</w:t>
      </w:r>
      <w:r>
        <w:t xml:space="preserve"> </w:t>
      </w:r>
      <m:oMath>
        <m:r>
          <m:t>B</m:t>
        </m:r>
      </m:oMath>
      <w:r>
        <w:t xml:space="preserve"> </w:t>
      </w:r>
      <w:r>
        <w:t xml:space="preserve">based on a provisional model run with the modern SST data.</w:t>
      </w:r>
    </w:p>
    <w:bookmarkEnd w:id="40"/>
    <w:bookmarkStart w:id="41"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used the empirical, modern gradient, representative of an icehouse climate, and generated three idealised gradients that emulate potential climatic states throughout Earth’s geological history: extreme icehouse, icehouse (modern), greenhouse, and extreme greenhouse</w:t>
      </w:r>
      <w:r>
        <w:t xml:space="preserve"> </w:t>
      </w:r>
      <w:r>
        <w:t xml:space="preserve">(Frakes et al., 1992)</w:t>
      </w:r>
      <w:r>
        <w:t xml:space="preserve">. The idealised gradients serve to test whether our model setup is able to infer gradients that are strongly different from the modern from a varying amount of samples.</w:t>
      </w:r>
    </w:p>
    <w:p>
      <w:pPr>
        <w:pStyle w:val="BodyText"/>
      </w:pPr>
      <w:r>
        <w:t xml:space="preserve">We created test data from these gradients as follows: We randomly sampled (1000 iterations) latitudes at sample sizes of 5, 10 and 20, with the probability of a latitude being sampled scaling with the decreasing surface area towards higher latitudes; i.e. lower latitudes are sampled more frequently. For the largest sample size (n = 34), we used the latitudes of the EECO data set of this study in all iterations. For each latitude, we inferred a location mean temperature from the gradients, adding random noise from a normal distribution with a standard deviation of 3.8, which is the average standard deviation of the EECO geochemical proxy data. With that, we aim to simulate randomly distributed errors in the proxy data, which could arise from miscalibrations, measurement errors, seasonal effects, ect. We acknowledge that this approach cannot quantify the potential impact of systematic offsets that may bias all proxy data in the same direction, nor do we know whether a standard deviation of 3.8 is actual, average magnitude of uncertainty that the proxy compilation is afflicted with.</w:t>
      </w:r>
    </w:p>
    <w:p>
      <w:pPr>
        <w:pStyle w:val="BodyText"/>
      </w:pPr>
      <w:r>
        <w:t xml:space="preserve">To evaluate how well the model performed in reconstructing the idealised gradients from limited sampling, we calculated the coefficient of determination (</w:t>
      </w:r>
      <m:oMath>
        <m:sSup>
          <m:e>
            <m:r>
              <m:t>R</m:t>
            </m:r>
          </m:e>
          <m:sup>
            <m:r>
              <m:t>2</m:t>
            </m:r>
          </m:sup>
        </m:sSup>
      </m:oMath>
      <w:r>
        <w:t xml:space="preserve">) for Bayesian regression models</w:t>
      </w:r>
      <w:r>
        <w:t xml:space="preserve"> </w:t>
      </w:r>
      <w:r>
        <w:t xml:space="preserve">(Gelman et al., 2019)</w:t>
      </w:r>
      <w:r>
        <w:t xml:space="preserve">. For every iteration from the posterior, we intercepted the modelled and the idealised gradient in intervals of 1° latitude and calculated the</w:t>
      </w:r>
      <w:r>
        <w:t xml:space="preserve"> </w:t>
      </w:r>
      <m:oMath>
        <m:sSup>
          <m:e>
            <m:r>
              <m:t>R</m:t>
            </m:r>
          </m:e>
          <m:sup>
            <m:r>
              <m:t>2</m:t>
            </m:r>
          </m:sup>
        </m:sSup>
      </m:oMath>
      <w:r>
        <w:t xml:space="preserve"> </w:t>
      </w:r>
      <w:r>
        <w:t xml:space="preserve">based on these values. We report the median, and 95% credible intervals (CI) of the resulting</w:t>
      </w:r>
      <w:r>
        <w:t xml:space="preserve"> </w:t>
      </w:r>
      <m:oMath>
        <m:sSup>
          <m:e>
            <m:r>
              <m:t>R</m:t>
            </m:r>
          </m:e>
          <m:sup>
            <m:r>
              <m:t>2</m:t>
            </m:r>
          </m:sup>
        </m:sSup>
      </m:oMath>
      <w:r>
        <w:t xml:space="preserve"> </w:t>
      </w:r>
      <w:r>
        <w:t xml:space="preserve">values. Here and in all other instances, the 95% CI refer to the interval between the 2.5% point and the 97.5% point of the samples or sampled posterior distribution.</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aggregated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modelled gradient and the empirical temperature averages in 1° 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1"/>
    <w:bookmarkStart w:id="42"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(Fig. S1).</w:t>
      </w:r>
    </w:p>
    <w:bookmarkEnd w:id="42"/>
    <w:bookmarkStart w:id="44" w:name="processing-of-model-results"/>
    <w:p>
      <w:pPr>
        <w:pStyle w:val="Heading2"/>
      </w:pPr>
      <w:r>
        <w:t xml:space="preserve">Processing of model results</w:t>
      </w:r>
    </w:p>
    <w:p>
      <w:pPr>
        <w:pStyle w:val="FirstParagraph"/>
      </w:pPr>
      <w:r>
        <w:t xml:space="preserve">modelled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 and 95% CI of temperatures where then taken from all temperature estimates obtained at the latitudes of interest.</w:t>
      </w:r>
    </w:p>
    <w:p>
      <w:pPr>
        <w:pStyle w:val="BodyText"/>
      </w:pPr>
      <w:r>
        <w:t xml:space="preserve">The latitudinal gradient is calculated as the difference between the modelled temperature at the equator (0° latitude) and at the poles (90° absolute latitude). To facilitate comparison with earlier estimates, we also calculate the gradient with the temperature at the polar circle (66.6° absolute latitude) being used instead of the temperature at the poles. Given the sigmoidal shape of the modern as well as the Eocene gradient (see Fig. 4), these results are broadly comparable to a gradient inferred from the zonal average of equatorial and high-latitude temperatures, as has been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(95% CI) from all pairs of iterations.</w:t>
      </w:r>
    </w:p>
    <w:p>
      <w:pPr>
        <w:pStyle w:val="BodyText"/>
      </w:pPr>
      <w:r>
        <w:t xml:space="preserve">Global average temperatures with 95% credible intervals were calculated by taking the weighted mean of the median (95% CI) of temperature estimates in 1° latitudinal bins. The weights were set to the proportion of global surface area in each latitudinal bin, i.e. decreasing with increasing latitude as:</w:t>
      </w:r>
    </w:p>
    <w:p>
      <w:pPr>
        <w:pStyle w:val="BodyText"/>
      </w:pPr>
      <w:bookmarkStart w:id="43"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3"/>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 i.e. we approximated the shape of the globe as a spheroid.</w:t>
      </w:r>
    </w:p>
    <w:bookmarkEnd w:id="44"/>
    <w:bookmarkEnd w:id="45"/>
    <w:bookmarkStart w:id="60" w:name="results"/>
    <w:p>
      <w:pPr>
        <w:pStyle w:val="Heading1"/>
      </w:pPr>
      <w:r>
        <w:t xml:space="preserve">Results</w:t>
      </w:r>
    </w:p>
    <w:bookmarkStart w:id="54" w:name="model-validation-1"/>
    <w:p>
      <w:pPr>
        <w:pStyle w:val="Heading2"/>
      </w:pPr>
      <w:r>
        <w:t xml:space="preserve">Model validation</w:t>
      </w:r>
    </w:p>
    <w:tbl>
      <w:tblPr>
        <w:tblStyle w:val="Table"/>
        <w:tblW w:type="pct" w:w="5000"/>
        <w:tblLook w:firstRow="0" w:lastRow="0" w:firstColumn="0" w:lastColumn="0" w:noHBand="0" w:noVBand="0" w:val="0000"/>
        <w:jc w:val="start"/>
      </w:tblPr>
      <w:tblGrid>
        <w:gridCol w:w="7920"/>
      </w:tblGrid>
      <w:tr>
        <w:tc>
          <w:tcPr/>
          <w:bookmarkStart w:id="49" w:name="fig-2"/>
          <w:p>
            <w:pPr>
              <w:jc w:val="center"/>
            </w:pPr>
            <w:r>
              <w:drawing>
                <wp:inline>
                  <wp:extent cx="5399999" cy="5399999"/>
                  <wp:effectExtent b="0" l="0" r="0" t="0"/>
                  <wp:docPr descr="" title="" id="47" name="Picture"/>
                  <a:graphic>
                    <a:graphicData uri="http://schemas.openxmlformats.org/drawingml/2006/picture">
                      <pic:pic>
                        <pic:nvPicPr>
                          <pic:cNvPr descr="../figures/fig_2_revised_final.png" id="48" name="Picture"/>
                          <pic:cNvPicPr>
                            <a:picLocks noChangeArrowheads="1" noChangeAspect="1"/>
                          </pic:cNvPicPr>
                        </pic:nvPicPr>
                        <pic:blipFill>
                          <a:blip r:embed="rId46"/>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and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To generate the random samples, noise from a normal distribution with a standard deviation of 3.8 was added to all temperatures.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modelled gradient. The median (50%)</w:t>
            </w:r>
            <w:r>
              <w:t xml:space="preserve"> </w:t>
            </w:r>
            <m:oMath>
              <m:sSup>
                <m:e>
                  <m:r>
                    <m:t>R</m:t>
                  </m:r>
                </m:e>
                <m:sup>
                  <m:r>
                    <m:t>2</m:t>
                  </m:r>
                </m:sup>
              </m:sSup>
            </m:oMath>
            <w:r>
              <w:t xml:space="preserve"> </w:t>
            </w:r>
            <w:r>
              <w:t xml:space="preserve">value along with the 95% credible intervals from all model runs are shown. Each gradient is depicted in absolute latitude.</w:t>
            </w:r>
          </w:p>
          <w:bookmarkEnd w:id="49"/>
        </w:tc>
      </w:tr>
    </w:tbl>
    <w:p/>
    <w:tbl>
      <w:tblPr>
        <w:tblStyle w:val="Table"/>
        <w:tblW w:type="pct" w:w="5000"/>
        <w:tblLook w:firstRow="0" w:lastRow="0" w:firstColumn="0" w:lastColumn="0" w:noHBand="0" w:noVBand="0" w:val="0000"/>
        <w:jc w:val="start"/>
      </w:tblPr>
      <w:tblGrid>
        <w:gridCol w:w="7920"/>
      </w:tblGrid>
      <w:tr>
        <w:tc>
          <w:tcPr/>
          <w:bookmarkStart w:id="53" w:name="fig-3"/>
          <w:p>
            <w:pPr>
              <w:jc w:val="center"/>
            </w:pPr>
            <w:r>
              <w:drawing>
                <wp:inline>
                  <wp:extent cx="3599999" cy="3599999"/>
                  <wp:effectExtent b="0" l="0" r="0" t="0"/>
                  <wp:docPr descr="" title="" id="51" name="Picture"/>
                  <a:graphic>
                    <a:graphicData uri="http://schemas.openxmlformats.org/drawingml/2006/picture">
                      <pic:pic>
                        <pic:nvPicPr>
                          <pic:cNvPr descr="../figures/fig_3_revised.png" id="52" name="Picture"/>
                          <pic:cNvPicPr>
                            <a:picLocks noChangeArrowheads="1" noChangeAspect="1"/>
                          </pic:cNvPicPr>
                        </pic:nvPicPr>
                        <pic:blipFill>
                          <a:blip r:embed="rId50"/>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(median sea surface temperature) is depicted as a black line, and the gradient estimated by the Bayesian model is shown in turquoise (</w:t>
            </w:r>
            <m:oMath>
              <m:sSup>
                <m:e>
                  <m:r>
                    <m:t>R</m:t>
                  </m:r>
                </m:e>
                <m:sup>
                  <m:r>
                    <m:t>2</m:t>
                  </m:r>
                </m:sup>
              </m:sSup>
              <m:r>
                <m:rPr>
                  <m:sty m:val="p"/>
                </m:rPr>
                <m:t>=</m:t>
              </m:r>
              <m:r>
                <m:t>0.97</m:t>
              </m:r>
              <m:r>
                <m:rPr>
                  <m:sty m:val="p"/>
                </m:rPr>
                <m:t>,</m:t>
              </m:r>
              <m:r>
                <m:t>N</m:t>
              </m:r>
              <m:r>
                <m:rPr>
                  <m:sty m:val="p"/>
                </m:rPr>
                <m:t>=</m:t>
              </m:r>
              <m:r>
                <m:t>42</m:t>
              </m:r>
              <m:r>
                <m:rPr>
                  <m:sty m:val="p"/>
                </m:rPr>
                <m:t>,</m:t>
              </m:r>
              <m:r>
                <m:t>896</m:t>
              </m:r>
              <m:r>
                <m:rPr>
                  <m:sty m:val="p"/>
                </m:rPr>
                <m:t>)</m:t>
              </m:r>
            </m:oMath>
            <w:r>
              <w:t xml:space="preserve">. Grey points depict the individual cell values of the Bio-ORACLE grid of mean sea surface temperatures, which were used to infer the empirical and the modelled gradient. The darkness of the background shading indicates the point density.</w:t>
            </w:r>
          </w:p>
          <w:bookmarkEnd w:id="53"/>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at a sample sizes as low as 10 for the icehouse scenarios (95 % CI of</w:t>
      </w:r>
      <w:r>
        <w:t xml:space="preserve"> </w:t>
      </w:r>
      <m:oMath>
        <m:sSup>
          <m:e>
            <m:r>
              <m:t>R</m:t>
            </m:r>
          </m:e>
          <m:sup>
            <m:r>
              <m:t>2</m:t>
            </m:r>
          </m:sup>
        </m:sSup>
      </m:oMath>
      <w:r>
        <w:t xml:space="preserve"> </w:t>
      </w:r>
      <w:r>
        <w:t xml:space="preserve">&gt; 0.9). Greenhouse scenarios require additional samples to accurately predict high-latitude temperatures. This is because in the absence of high-latitude samples, the modelled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 absolute latitude (black line) is explained by the modelled gradient (</w:t>
      </w:r>
      <m:oMath>
        <m:r>
          <m:t>99.7</m:t>
        </m:r>
        <m:r>
          <m:rPr>
            <m:sty m:val="p"/>
          </m:rPr>
          <m:t>%</m:t>
        </m:r>
      </m:oMath>
      <w:r>
        <w:t xml:space="preserve">). The empirical gradient spans 29.3°C from the equator to the poles, the modelled gradient is only slightly higher at 29.6°C. The modern, global mean temperature (GMST) based on our modelled, median gradient is 17.6°C, very similar to the GMST derived from the empirical median gradient (17.5°C).</w:t>
      </w:r>
    </w:p>
    <w:bookmarkEnd w:id="54"/>
    <w:bookmarkStart w:id="59" w:name="eeco-reconstruction"/>
    <w:p>
      <w:pPr>
        <w:pStyle w:val="Heading2"/>
      </w:pPr>
      <w:r>
        <w:t xml:space="preserve">EECO reconstruction</w:t>
      </w:r>
    </w:p>
    <w:p>
      <w:pPr>
        <w:pStyle w:val="FirstParagraph"/>
      </w:pPr>
      <w:r>
        <w:t xml:space="preserve">The Eocene temperature gradient reconstructed with our Bayesian model is starkly different from the modern (Fig. 4). Modelled, median equatorial temperatures are 2.2 (95% CI: -0.8 – 8.5)°C higher for the EECO, and polar temperatures are 18.9 (5.3 – 28.9)°C higher. This results in a flattened latitudinal temperature gradient of 13.3 (3.9 – 25.2)°C for the EECO, as opposed to 29.6°C for the modern. To facilitate the comparison with latitudinal gradients reported in the literature, which sometimes do not report temperatures at very high latitudes, we report also the EECO gradient between the equator and the modern-day polar circle (66.6°), which is a lot lower at 5.8 (0.5 – 12.8)°C.</w:t>
      </w:r>
    </w:p>
    <w:p>
      <w:pPr>
        <w:pStyle w:val="BodyText"/>
      </w:pPr>
      <w:r>
        <w:t xml:space="preserve">The high variability of EECO palaeotemperature proxies, particularly in the mid-latitudes, and the scarcity of high-latitude data, result in substantial uncertainties in the modelled temperature gradient. This is reflected in the residual standard deviation (</w:t>
      </w:r>
      <m:oMath>
        <m:r>
          <m:t>σ</m:t>
        </m:r>
      </m:oMath>
      <w:r>
        <w:t xml:space="preserve">) of the EECO gradient – 4.9 (3.9 – 6.5)°C – which is more than double the</w:t>
      </w:r>
      <w:r>
        <w:t xml:space="preserve"> </w:t>
      </w:r>
      <m:oMath>
        <m:r>
          <m:t>σ</m:t>
        </m:r>
      </m:oMath>
      <w:r>
        <w:t xml:space="preserve"> </w:t>
      </w:r>
      <w:r>
        <w:t xml:space="preserve">for the modern gradient, 2.2. This is illustrated by the drastic departure of some of the proxy data from the gradient estimates (Fig. 4).</w:t>
      </w:r>
    </w:p>
    <w:p>
      <w:pPr>
        <w:pStyle w:val="BodyText"/>
      </w:pPr>
      <w:r>
        <w:t xml:space="preserve">The early Eocene GMST is estimated at 28.3 (26.3 – 30.3)°C, 10.7°C higher than the modern. A model run excluding the ecological proxies increases the GMST by 1.7 (-1.8 – 5.0)°C. The median modelled temperature is higher near the equator and in high latitudes when excluding the ecological proxies, with a flattened median gradient of 10.9°C (Fig. S2). In contrast, including ecological proxies, but widening the uncertainty around the low-latitude ecological proxy data does not significantly change the resulting gradient (Fig. S3).</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within each hemisphere results in substantial differences in hemispherical, average temperatures, with the Southern Hemisphere being warmer by 6.1 (2.9 – 9.2)°C. The inferred latitudinal gradient is somewhat steeper in the Northern Hemisphere (steeper by 1.8°C, although the 95% CI spans -18.0 – 14.5°C), but the large uncertainties associated with both gradients, and the lack of polar proxy data in the Southern Hemisphere preclude a more precise statement (see Fig. S4).</w:t>
      </w:r>
    </w:p>
    <w:tbl>
      <w:tblPr>
        <w:tblStyle w:val="Table"/>
        <w:tblW w:type="pct" w:w="5000"/>
        <w:tblLook w:firstRow="0" w:lastRow="0" w:firstColumn="0" w:lastColumn="0" w:noHBand="0" w:noVBand="0" w:val="0000"/>
        <w:jc w:val="start"/>
      </w:tblPr>
      <w:tblGrid>
        <w:gridCol w:w="7920"/>
      </w:tblGrid>
      <w:tr>
        <w:tc>
          <w:tcPr/>
          <w:bookmarkStart w:id="58" w:name="fig-4"/>
          <w:p>
            <w:pPr>
              <w:jc w:val="center"/>
            </w:pPr>
            <w:r>
              <w:drawing>
                <wp:inline>
                  <wp:extent cx="3599999" cy="3599999"/>
                  <wp:effectExtent b="0" l="0" r="0" t="0"/>
                  <wp:docPr descr="" title="" id="56" name="Picture"/>
                  <a:graphic>
                    <a:graphicData uri="http://schemas.openxmlformats.org/drawingml/2006/picture">
                      <pic:pic>
                        <pic:nvPicPr>
                          <pic:cNvPr descr="../figures/fig_4_revised.png" id="57" name="Picture"/>
                          <pic:cNvPicPr>
                            <a:picLocks noChangeArrowheads="1" noChangeAspect="1"/>
                          </pic:cNvPicPr>
                        </pic:nvPicPr>
                        <pic:blipFill>
                          <a:blip r:embed="rId55"/>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sea surface temperature gradients of the early Eocene climatic optimum (purple line) and of the present-day (turquoise), both estimated with the Bayesian model. The purple ribbon (shading) depict the 95% credible interval of the Eocene gradient, the uncertainty of the modern gradient is too low to be visible. Points within the plot depict the geochemical (e.g. TEX</w:t>
            </w:r>
            <w:r>
              <w:rPr>
                <w:vertAlign w:val="subscript"/>
              </w:rPr>
              <w:t xml:space="preserve">86</w:t>
            </w:r>
            <w:r>
              <w:t xml:space="preserve">) and ecological (e.g. mangroves) data. Geochemical data are plotted by their point estimate temperature value. Ecological data are plotted at the mean temperature values of their respective normal distributions.</w:t>
            </w:r>
          </w:p>
          <w:bookmarkEnd w:id="58"/>
        </w:tc>
      </w:tr>
    </w:tbl>
    <w:bookmarkEnd w:id="59"/>
    <w:bookmarkEnd w:id="60"/>
    <w:bookmarkStart w:id="64" w:name="discussion"/>
    <w:p>
      <w:pPr>
        <w:pStyle w:val="Heading1"/>
      </w:pPr>
      <w:r>
        <w:t xml:space="preserve">Discussion</w:t>
      </w:r>
    </w:p>
    <w:bookmarkStart w:id="61" w:name="X87850c7f8078d5a53b5c68844c4020d552a98a4"/>
    <w:p>
      <w:pPr>
        <w:pStyle w:val="Heading2"/>
      </w:pPr>
      <w:r>
        <w:t xml:space="preserve">Improved estimation of latitudinal and global palaeotemperatures</w:t>
      </w:r>
    </w:p>
    <w:p>
      <w:pPr>
        <w:pStyle w:val="FirstParagraph"/>
      </w:pPr>
      <w:r>
        <w:t xml:space="preserve">Our results show that our Bayesian model can be used to reconstruct different types of latitudinal SST gradients from proxy data with moderate sample sizes (</w:t>
      </w:r>
      <w:r>
        <w:rPr>
          <w:iCs/>
          <w:i/>
        </w:rPr>
        <w:t xml:space="preserve">n</w:t>
      </w:r>
      <w:r>
        <w:t xml:space="preserve"> </w:t>
      </w:r>
      <w:r>
        <w:t xml:space="preserve">= 10 – 34) and patchy sampling distributions (Fig. 2).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dictate the reconstruction of large-scale climate patterns, without the option of including additional knowledge (e.g. that latitudinal temperature gradients should be broadly negative).</w:t>
      </w:r>
    </w:p>
    <w:p>
      <w:pPr>
        <w:pStyle w:val="BodyText"/>
      </w:pPr>
      <w:r>
        <w:t xml:space="preserve">In contrast, our Bayesian, parametric model allows for the inclusion of informative priors on the model parameters. The modelled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1"/>
    <w:bookmarkStart w:id="62"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variably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coral reefs, but the predicted temperatures for the reef and mangrove sites still lie below the temperatures indicated by the geochemical proxy record (Fig. 4, Fig. S2).</w:t>
      </w:r>
    </w:p>
    <w:bookmarkEnd w:id="62"/>
    <w:bookmarkStart w:id="63"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 7 – 21°C (Table 1); a more recent reconstruction that includes terrestrial air and sea surface temperatures arrives at a gradient of ~13°C</w:t>
      </w:r>
      <w:r>
        <w:t xml:space="preserve"> </w:t>
      </w:r>
      <w:r>
        <w:t xml:space="preserve">(Inglis et al., 2020)</w:t>
      </w:r>
      <w:r>
        <w:t xml:space="preserve">. Our median poles-to-equator gradient estimate is similar at 13.3°C, but a lot less steep when taking the equator-to-polar-circle estimate, 5.8, as the geochemical proxy data suggest high temperatures up to latitudes of ~ 60&amp;deg. Both geochemical and ecological shallow water data indicate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 Likewise, climate simulations using general circulation or Earth system models tend to estimate steeper gradients than most proxy records</w:t>
      </w:r>
      <w:r>
        <w:t xml:space="preserve"> </w:t>
      </w:r>
      <w:r>
        <w:t xml:space="preserve">(Table 1; Pross et al., 2012; Lunt et al., 2021)</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 TEX</w:t>
      </w:r>
      <w:r>
        <w:rPr>
          <w:vertAlign w:val="subscript"/>
        </w:rPr>
        <w:t xml:space="preserve">86</w:t>
      </w:r>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w:t>
      </w:r>
    </w:p>
    <w:p>
      <w:pPr>
        <w:pStyle w:val="BodyText"/>
      </w:pPr>
      <w:r>
        <w:t xml:space="preserve">Temporal changes within the EECO</w:t>
      </w:r>
      <w:r>
        <w:t xml:space="preserve"> </w:t>
      </w:r>
      <w:r>
        <w:t xml:space="preserve">(Westerhold et al., 2018)</w:t>
      </w:r>
      <w:r>
        <w:t xml:space="preserve">, and seasonality</w:t>
      </w:r>
      <w:r>
        <w:t xml:space="preserve"> </w:t>
      </w:r>
      <w:r>
        <w:t xml:space="preserve">(Keating-Bitonti et al., 2011; Ivany and Judd, 2022)</w:t>
      </w:r>
      <w:r>
        <w:t xml:space="preserve"> </w:t>
      </w:r>
      <w:r>
        <w:t xml:space="preserve">may also contribute to the large variability of the EECO proxy data. Based on the occurrence of heterotrophic carbonates,</w:t>
      </w:r>
      <w:r>
        <w:t xml:space="preserve"> </w:t>
      </w:r>
      <w:r>
        <w:t xml:space="preserve">Davies et al. (2019)</w:t>
      </w:r>
      <w:r>
        <w:t xml:space="preserve"> </w:t>
      </w:r>
      <w:r>
        <w:t xml:space="preserve">suggest that mid- and high-latitude geochemical proxy data from the EECO may be biased towards summer temperatures. Some of the geochemical mid-latitude geochemical proxy data from</w:t>
      </w:r>
      <w:r>
        <w:t xml:space="preserve"> </w:t>
      </w:r>
      <w:r>
        <w:t xml:space="preserve">Hollis et al. (2019)</w:t>
      </w:r>
      <w:r>
        <w:t xml:space="preserve"> </w:t>
      </w:r>
      <w:r>
        <w:t xml:space="preserve">may therefore suggest higher than actual mean annual temperatures, and the variability of temperature estimates from individual localities is higher in mid - high latitudes (Fig. S6). Critically, however, the mangrove data strongly supports our inference of a flattened gradient independent of the geochemical proxy record.</w:t>
      </w:r>
    </w:p>
    <w:p>
      <w:pPr>
        <w:pStyle w:val="BodyText"/>
      </w:pPr>
      <w:r>
        <w:t xml:space="preserve">Recent, marine GMST estimates of the EECO and of the early Eocene range from 23.4 – 37.1°C, with the lowest GMSTs being derived from δ</w:t>
      </w:r>
      <w:r>
        <w:rPr>
          <w:vertAlign w:val="superscript"/>
        </w:rPr>
        <w:t xml:space="preserve">18</w:t>
      </w:r>
      <w:r>
        <w:t xml:space="preserve">O, and the higher estimates including TEX</w:t>
      </w:r>
      <w:r>
        <w:rPr>
          <w:vertAlign w:val="subscript"/>
        </w:rPr>
        <w:t xml:space="preserve">86</w:t>
      </w:r>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27 - 29.5°C</w:t>
      </w:r>
      <w:r>
        <w:t xml:space="preserve"> </w:t>
      </w:r>
      <w:r>
        <w:t xml:space="preserve">(Hansen et al., 2013; Caballero and Huber, 2013; Cramwinckel et al., 2018; Zhu et al., 2019)</w:t>
      </w:r>
      <w:r>
        <w:t xml:space="preserve">, similar to our median GMST estimate of 28.3°C.</w:t>
      </w:r>
    </w:p>
    <w:bookmarkEnd w:id="63"/>
    <w:bookmarkEnd w:id="64"/>
    <w:bookmarkStart w:id="65" w:name="conclusions"/>
    <w:p>
      <w:pPr>
        <w:pStyle w:val="Heading1"/>
      </w:pPr>
      <w:r>
        <w:t xml:space="preserve">Conclusions</w:t>
      </w:r>
    </w:p>
    <w:p>
      <w:pPr>
        <w:pStyle w:val="FirstParagraph"/>
      </w:pPr>
      <w:r>
        <w:t xml:space="preserve">The Bayesian hierarchical model presented here is able to reconstruct latitudinal gradients from both geochemical and ecological proxy data, while reflecting the uncertainty associated with the ecological temperature proxies, and accounting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previous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reconstructions and Phanerozoic temperature curves, particularly in intervals with a patchy and unenvenly sampled record. Finally, the flexibility of our approach means that estimates can be efficiently updated when new data are made available.</w:t>
      </w:r>
    </w:p>
    <w:bookmarkEnd w:id="65"/>
    <w:bookmarkStart w:id="66"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 For the purpose of open access, the authors have applied a Creative Commons Attribution (CC BY) licence to any Author Accepted Manuscript version arising from this submission.</w:t>
      </w:r>
      <w:r>
        <w:t xml:space="preserve"> </w:t>
      </w:r>
    </w:p>
    <w:bookmarkEnd w:id="66"/>
    <w:bookmarkStart w:id="67"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and K.E. generated the figures. Both authors contributed to the writing of the manuscript.</w:t>
      </w:r>
    </w:p>
    <w:bookmarkEnd w:id="67"/>
    <w:bookmarkStart w:id="68" w:name="competing-interests"/>
    <w:p>
      <w:pPr>
        <w:pStyle w:val="Heading1"/>
      </w:pPr>
      <w:r>
        <w:t xml:space="preserve">Competing Interests</w:t>
      </w:r>
    </w:p>
    <w:p>
      <w:pPr>
        <w:pStyle w:val="FirstParagraph"/>
      </w:pPr>
      <w:r>
        <w:t xml:space="preserve">The authors declare that they have no conflicts of interest.</w:t>
      </w:r>
    </w:p>
    <w:bookmarkEnd w:id="68"/>
    <w:bookmarkStart w:id="71" w:name="data-accessibility"/>
    <w:p>
      <w:pPr>
        <w:pStyle w:val="Heading1"/>
      </w:pPr>
      <w:r>
        <w:t xml:space="preserve">Data accessibility</w:t>
      </w:r>
    </w:p>
    <w:p>
      <w:pPr>
        <w:pStyle w:val="FirstParagraph"/>
      </w:pPr>
      <w:r>
        <w:t xml:space="preserve">The data and code used to produce the results of this study are available via GitHub (</w:t>
      </w:r>
      <w:hyperlink r:id="rId69">
        <w:r>
          <w:rPr>
            <w:rStyle w:val="Hyperlink"/>
          </w:rPr>
          <w:t xml:space="preserve">https://github.com/KEichenseer/PalaeoClimateGradient</w:t>
        </w:r>
      </w:hyperlink>
      <w:r>
        <w:t xml:space="preserve">) and the linked Zenodo repository (</w:t>
      </w:r>
      <w:hyperlink r:id="rId70">
        <w:r>
          <w:rPr>
            <w:rStyle w:val="Hyperlink"/>
          </w:rPr>
          <w:t xml:space="preserve">https://zenodo.org/record/7995969</w:t>
        </w:r>
      </w:hyperlink>
      <w:r>
        <w:t xml:space="preserve">).</w:t>
      </w:r>
    </w:p>
    <w:bookmarkEnd w:id="71"/>
    <w:bookmarkStart w:id="156" w:name="references"/>
    <w:p>
      <w:pPr>
        <w:pStyle w:val="Heading1"/>
      </w:pPr>
      <w:r>
        <w:t xml:space="preserve">References</w:t>
      </w:r>
    </w:p>
    <w:bookmarkStart w:id="155" w:name="refs"/>
    <w:bookmarkStart w:id="72"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2"/>
    <w:bookmarkStart w:id="73" w:name="ref-Beer2008"/>
    <w:p>
      <w:pPr>
        <w:pStyle w:val="Bibliography"/>
      </w:pPr>
      <w:r>
        <w:t xml:space="preserve">Beer, J., Abreu, J., and Steinhilber, F.: Sun and planets from a climate point of view, Proceedings of the International Astronomical Union, 4, 29–43, 2008.</w:t>
      </w:r>
    </w:p>
    <w:bookmarkEnd w:id="73"/>
    <w:bookmarkStart w:id="75"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4">
        <w:r>
          <w:rPr>
            <w:rStyle w:val="Hyperlink"/>
          </w:rPr>
          <w:t xml:space="preserve">https://doi.org/10.1038/nature08399</w:t>
        </w:r>
      </w:hyperlink>
      <w:r>
        <w:t xml:space="preserve">, 2009.</w:t>
      </w:r>
    </w:p>
    <w:bookmarkEnd w:id="75"/>
    <w:bookmarkStart w:id="76"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6"/>
    <w:bookmarkStart w:id="78"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77">
        <w:r>
          <w:rPr>
            <w:rStyle w:val="Hyperlink"/>
          </w:rPr>
          <w:t xml:space="preserve">https://doi.org/10.1073/pnas.1809600115</w:t>
        </w:r>
      </w:hyperlink>
      <w:r>
        <w:t xml:space="preserve">, 2018.</w:t>
      </w:r>
    </w:p>
    <w:bookmarkEnd w:id="78"/>
    <w:bookmarkStart w:id="79"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79"/>
    <w:bookmarkStart w:id="81"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0">
        <w:r>
          <w:rPr>
            <w:rStyle w:val="Hyperlink"/>
          </w:rPr>
          <w:t xml:space="preserve">https://doi.org/10.1016/j.envsoft.2021.105002</w:t>
        </w:r>
      </w:hyperlink>
      <w:r>
        <w:t xml:space="preserve">, 2021.</w:t>
      </w:r>
    </w:p>
    <w:bookmarkEnd w:id="81"/>
    <w:bookmarkStart w:id="82"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2"/>
    <w:bookmarkStart w:id="83" w:name="ref-Davies2019"/>
    <w:p>
      <w:pPr>
        <w:pStyle w:val="Bibliography"/>
      </w:pPr>
      <w:r>
        <w:t xml:space="preserve">Davies, A., Hunter, S. J., Gréselle, B., Haywood, A. M., and Robson, C.: Evidence for seasonality in early eocene high latitude sea-surface temperatures, Earth and Planetary Science Letters, 519, 274–283, 2019.</w:t>
      </w:r>
    </w:p>
    <w:bookmarkEnd w:id="83"/>
    <w:bookmarkStart w:id="84"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4"/>
    <w:bookmarkStart w:id="85"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5"/>
    <w:bookmarkStart w:id="86" w:name="ref-Frakes1992"/>
    <w:p>
      <w:pPr>
        <w:pStyle w:val="Bibliography"/>
      </w:pPr>
      <w:r>
        <w:t xml:space="preserve">Frakes, L. A., Francis, J. E., and Syktus, J. I.: Climate modes of the phanerozoic, 1992.</w:t>
      </w:r>
    </w:p>
    <w:bookmarkEnd w:id="86"/>
    <w:bookmarkStart w:id="87" w:name="ref-Gelman2013"/>
    <w:p>
      <w:pPr>
        <w:pStyle w:val="Bibliography"/>
      </w:pPr>
      <w:r>
        <w:t xml:space="preserve">Gelman, A., Carlin, J. B., Stern, H. S., Dunson, D. B., Vehtari, A., and Rubin, D. B.: Bayesian data analysis, CRC press, 2013.</w:t>
      </w:r>
    </w:p>
    <w:bookmarkEnd w:id="87"/>
    <w:bookmarkStart w:id="88" w:name="ref-Gelman2019"/>
    <w:p>
      <w:pPr>
        <w:pStyle w:val="Bibliography"/>
      </w:pPr>
      <w:r>
        <w:t xml:space="preserve">Gelman, A., Goodrich, B., Gabry, J., and Vehtari, A.: R-squared for bayesian regression models, The American Statistician, 2019.</w:t>
      </w:r>
    </w:p>
    <w:bookmarkEnd w:id="88"/>
    <w:bookmarkStart w:id="89" w:name="ref-Gilks1995"/>
    <w:p>
      <w:pPr>
        <w:pStyle w:val="Bibliography"/>
      </w:pPr>
      <w:r>
        <w:t xml:space="preserve">Gilks, W. R., Richardson, S., and Spiegelhalter, D.: Markov chain monte carlo in practice, CRC press, 1995.</w:t>
      </w:r>
    </w:p>
    <w:bookmarkEnd w:id="89"/>
    <w:bookmarkStart w:id="90" w:name="ref-Greenwood2017"/>
    <w:p>
      <w:pPr>
        <w:pStyle w:val="Bibliography"/>
      </w:pPr>
      <w:r>
        <w:t xml:space="preserve">Greenwood, D., Keefe, R., Reichgelt, T., and Webb, J.: Eocene paleobotanical altimetry of victoria’s eastern uplands, Australian Journal of Earth Sciences, 64, 625–637, 2017.</w:t>
      </w:r>
    </w:p>
    <w:bookmarkEnd w:id="90"/>
    <w:bookmarkStart w:id="92" w:name="ref-Greenwood1995"/>
    <w:p>
      <w:pPr>
        <w:pStyle w:val="Bibliography"/>
      </w:pPr>
      <w:r>
        <w:t xml:space="preserve">Greenwood, D. R. and Wing, S. L.: Eocene continental climates and latitudinal temperature gradients, Geology, 23, 1044,</w:t>
      </w:r>
      <w:r>
        <w:t xml:space="preserve"> </w:t>
      </w:r>
      <w:hyperlink r:id="rId91">
        <w:r>
          <w:rPr>
            <w:rStyle w:val="Hyperlink"/>
          </w:rPr>
          <w:t xml:space="preserve">https://doi.org/10.1130/0091-7613(1995)023&lt;1044:ECCALT&gt;2.3.CO;2</w:t>
        </w:r>
      </w:hyperlink>
      <w:r>
        <w:t xml:space="preserve">, 1995.</w:t>
      </w:r>
    </w:p>
    <w:bookmarkEnd w:id="92"/>
    <w:bookmarkStart w:id="93" w:name="ref-Grossman2022"/>
    <w:p>
      <w:pPr>
        <w:pStyle w:val="Bibliography"/>
      </w:pPr>
      <w:r>
        <w:t xml:space="preserve">Grossman, E. L. and Joachimski, M. M.: Ocean temperatures through the phanerozoic reassessed, Scientific Reports, 12, 8938, 2022.</w:t>
      </w:r>
    </w:p>
    <w:bookmarkEnd w:id="93"/>
    <w:bookmarkStart w:id="94"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4"/>
    <w:bookmarkStart w:id="95" w:name="ref-Hoegh2011"/>
    <w:p>
      <w:pPr>
        <w:pStyle w:val="Bibliography"/>
      </w:pPr>
      <w:r>
        <w:t xml:space="preserve">Hoegh-Guldberg, O.: Coral reef ecosystems and anthropogenic climate change, Regional Environmental Change, 11, 215–227, 2011.</w:t>
      </w:r>
    </w:p>
    <w:bookmarkEnd w:id="95"/>
    <w:bookmarkStart w:id="96"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6"/>
    <w:bookmarkStart w:id="97" w:name="ref-Huber2011"/>
    <w:p>
      <w:pPr>
        <w:pStyle w:val="Bibliography"/>
      </w:pPr>
      <w:r>
        <w:t xml:space="preserve">Huber, M. and Caballero, R.: The early eocene equable climate problem revisited, Climate of the Past, 7, 603–633, 2011.</w:t>
      </w:r>
    </w:p>
    <w:bookmarkEnd w:id="97"/>
    <w:bookmarkStart w:id="99"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98">
        <w:r>
          <w:rPr>
            <w:rStyle w:val="Hyperlink"/>
          </w:rPr>
          <w:t xml:space="preserve">https://doi.org/10.5194/cp-16-1953-2020</w:t>
        </w:r>
      </w:hyperlink>
      <w:r>
        <w:t xml:space="preserve">, 2020.</w:t>
      </w:r>
    </w:p>
    <w:bookmarkEnd w:id="99"/>
    <w:bookmarkStart w:id="100" w:name="ref-Ivany2022"/>
    <w:p>
      <w:pPr>
        <w:pStyle w:val="Bibliography"/>
      </w:pPr>
      <w:r>
        <w:t xml:space="preserve">Ivany, L. C. and Judd, E. J.: Deciphering temperature seasonality in earth’s ancient oceans, Annual Review of Earth and Planetary Sciences, 50, 123–152, 2022.</w:t>
      </w:r>
    </w:p>
    <w:bookmarkEnd w:id="100"/>
    <w:bookmarkStart w:id="101" w:name="ref-johannes1983"/>
    <w:p>
      <w:pPr>
        <w:pStyle w:val="Bibliography"/>
      </w:pPr>
      <w:r>
        <w:t xml:space="preserve">Johannes, R., Wiebe, W., Crossland, C., Rimmer, D., and Smith, S.: Latitudinal limits of coral reef growth., Marine ecology progress series. Oldendorf, 11, 105–111, 1983.</w:t>
      </w:r>
    </w:p>
    <w:bookmarkEnd w:id="101"/>
    <w:bookmarkStart w:id="103"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2">
        <w:r>
          <w:rPr>
            <w:rStyle w:val="Hyperlink"/>
          </w:rPr>
          <w:t xml:space="preserve">https://doi.org/10.1130/G49132.1</w:t>
        </w:r>
      </w:hyperlink>
      <w:r>
        <w:t xml:space="preserve">, 2022.</w:t>
      </w:r>
    </w:p>
    <w:bookmarkEnd w:id="103"/>
    <w:bookmarkStart w:id="104" w:name="ref-jones2022reef"/>
    <w:p>
      <w:pPr>
        <w:pStyle w:val="Bibliography"/>
      </w:pPr>
      <w:r>
        <w:t xml:space="preserve">Jones, L. A., Mannion, P. D., Farnsworth, A., Bragg, F., and Lunt, D. J.: Climatic and tectonic drivers shaped the tropical distribution of coral reefs, Nature communications, 13, 1–10, 2022.</w:t>
      </w:r>
    </w:p>
    <w:bookmarkEnd w:id="104"/>
    <w:bookmarkStart w:id="106"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5">
        <w:r>
          <w:rPr>
            <w:rStyle w:val="Hyperlink"/>
          </w:rPr>
          <w:t xml:space="preserve">https://doi.org/10.31223/X5Z94Q</w:t>
        </w:r>
      </w:hyperlink>
      <w:r>
        <w:t xml:space="preserve">, 2023.</w:t>
      </w:r>
    </w:p>
    <w:bookmarkEnd w:id="106"/>
    <w:bookmarkStart w:id="108"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7">
        <w:r>
          <w:rPr>
            <w:rStyle w:val="Hyperlink"/>
          </w:rPr>
          <w:t xml:space="preserve">https://doi.org/10.1029/2020GL089044</w:t>
        </w:r>
      </w:hyperlink>
      <w:r>
        <w:t xml:space="preserve">, 2020.</w:t>
      </w:r>
    </w:p>
    <w:bookmarkEnd w:id="108"/>
    <w:bookmarkStart w:id="109"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09"/>
    <w:bookmarkStart w:id="111"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0">
        <w:r>
          <w:rPr>
            <w:rStyle w:val="Hyperlink"/>
          </w:rPr>
          <w:t xml:space="preserve">https://doi.org/10.1130/G32054.1</w:t>
        </w:r>
      </w:hyperlink>
      <w:r>
        <w:t xml:space="preserve">, 2011.</w:t>
      </w:r>
    </w:p>
    <w:bookmarkEnd w:id="111"/>
    <w:bookmarkStart w:id="112" w:name="ref-kiessling2001"/>
    <w:p>
      <w:pPr>
        <w:pStyle w:val="Bibliography"/>
      </w:pPr>
      <w:r>
        <w:t xml:space="preserve">Kiessling, W.: Paleoclimatic significance of phanerozoic reefs, Geology, 29, 751–754, 2001.</w:t>
      </w:r>
    </w:p>
    <w:bookmarkEnd w:id="112"/>
    <w:bookmarkStart w:id="113" w:name="ref-kleypas1999"/>
    <w:p>
      <w:pPr>
        <w:pStyle w:val="Bibliography"/>
      </w:pPr>
      <w:r>
        <w:t xml:space="preserve">Kleypas, J. A., McManus, J. W., and Meñez, L. A.: Environmental limits to coral reef development: Where do we draw the line?, American zoologist, 39, 146–159, 1999.</w:t>
      </w:r>
    </w:p>
    <w:bookmarkEnd w:id="113"/>
    <w:bookmarkStart w:id="114" w:name="ref-Lunt2021"/>
    <w:p>
      <w:pPr>
        <w:pStyle w:val="Bibliography"/>
      </w:pPr>
      <w:r>
        <w:t xml:space="preserve">Lunt, D. J., Bragg, F., Chan, W.-L., Hutchinson, D. K., Ladant, J.-B., Morozova, P., Niezgodzki, I., Steinig, S., Zhang, Z., Zhu, J., et al.: DeepMIP: Model intercomparison of early eocene climatic optimum (EECO) large-scale climate features and comparison with proxy data, Climate of the Past, 17, 203–227, 2021.</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7"/>
    <w:bookmarkStart w:id="118" w:name="ref-Muir2015"/>
    <w:p>
      <w:pPr>
        <w:pStyle w:val="Bibliography"/>
      </w:pPr>
      <w:r>
        <w:t xml:space="preserve">Muir, P. R., Wallace, C. C., Done, T., and Aguirre, J. D.: Limited scope for latitudinal extension of reef corals, Science, 348, 1135–1138, 2015.</w:t>
      </w:r>
    </w:p>
    <w:bookmarkEnd w:id="118"/>
    <w:bookmarkStart w:id="119"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9"/>
    <w:bookmarkStart w:id="121"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0">
        <w:r>
          <w:rPr>
            <w:rStyle w:val="Hyperlink"/>
          </w:rPr>
          <w:t xml:space="preserve">https://doi.org/10.1111/jbi.14238</w:t>
        </w:r>
      </w:hyperlink>
      <w:r>
        <w:t xml:space="preserve">, 2021.</w:t>
      </w:r>
    </w:p>
    <w:bookmarkEnd w:id="121"/>
    <w:bookmarkStart w:id="123"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2">
        <w:r>
          <w:rPr>
            <w:rStyle w:val="Hyperlink"/>
          </w:rPr>
          <w:t xml:space="preserve">https://doi.org/10.1038/nature11300</w:t>
        </w:r>
      </w:hyperlink>
      <w:r>
        <w:t xml:space="preserve">, 2012.</w:t>
      </w:r>
    </w:p>
    <w:bookmarkEnd w:id="123"/>
    <w:bookmarkStart w:id="125"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4">
        <w:r>
          <w:rPr>
            <w:rStyle w:val="Hyperlink"/>
          </w:rPr>
          <w:t xml:space="preserve">https://doi.org/10.1007/s00468-012-0760-1</w:t>
        </w:r>
      </w:hyperlink>
      <w:r>
        <w:t xml:space="preserve">, 2012.</w:t>
      </w:r>
    </w:p>
    <w:bookmarkEnd w:id="125"/>
    <w:bookmarkStart w:id="126" w:name="ref-Rasmussen2004"/>
    <w:p>
      <w:pPr>
        <w:pStyle w:val="Bibliography"/>
      </w:pPr>
      <w:r>
        <w:t xml:space="preserve">Rasmussen, C. E. and Williams, C. K.: Gaussian processes in machine learning, Lecture notes in computer science, 3176, 63–71, 2004.</w:t>
      </w:r>
    </w:p>
    <w:bookmarkEnd w:id="126"/>
    <w:bookmarkStart w:id="127" w:name="ref-Reynolds1994"/>
    <w:p>
      <w:pPr>
        <w:pStyle w:val="Bibliography"/>
      </w:pPr>
      <w:r>
        <w:t xml:space="preserve">Reynolds, R. W. and Smith, T. M.: Improved global sea surface temperature analyses using optimum interpolation, Journal of climate, 7, 929–948, 1994.</w:t>
      </w:r>
    </w:p>
    <w:bookmarkEnd w:id="127"/>
    <w:bookmarkStart w:id="128" w:name="ref-Royer2012"/>
    <w:p>
      <w:pPr>
        <w:pStyle w:val="Bibliography"/>
      </w:pPr>
      <w:r>
        <w:t xml:space="preserve">Royer, D. L.: Climate reconstruction from leaf size and shape: New developments and challenges, The Paleontological Society Papers, 18, 195–212, 2012.</w:t>
      </w:r>
    </w:p>
    <w:bookmarkEnd w:id="128"/>
    <w:bookmarkStart w:id="129" w:name="ref-Royer2004"/>
    <w:p>
      <w:pPr>
        <w:pStyle w:val="Bibliography"/>
      </w:pPr>
      <w:r>
        <w:t xml:space="preserve">Royer, D. L., Berner, R. A., Montañez, I. P., Tabor, N. J., Beerling, D. J., et al.: Co~ 2 as a primary driver of phanerozoic climate, GSA today, 14, 4–10, 2004.</w:t>
      </w:r>
    </w:p>
    <w:bookmarkEnd w:id="129"/>
    <w:bookmarkStart w:id="130"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0"/>
    <w:bookmarkStart w:id="131" w:name="ref-Schrag1999"/>
    <w:p>
      <w:pPr>
        <w:pStyle w:val="Bibliography"/>
      </w:pPr>
      <w:r>
        <w:t xml:space="preserve">Schrag, D. P.: Effects of diagenesis on the isotopic record of late paleogene tropical sea surface temperatures, Chemical Geology, 161, 215–224, 1999.</w:t>
      </w:r>
    </w:p>
    <w:bookmarkEnd w:id="131"/>
    <w:bookmarkStart w:id="133"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2">
        <w:r>
          <w:rPr>
            <w:rStyle w:val="Hyperlink"/>
          </w:rPr>
          <w:t xml:space="preserve">https://doi.org/10.1016/j.earscirev.2021.103503</w:t>
        </w:r>
      </w:hyperlink>
      <w:r>
        <w:t xml:space="preserve">, 2021.</w:t>
      </w:r>
    </w:p>
    <w:bookmarkEnd w:id="133"/>
    <w:bookmarkStart w:id="134" w:name="ref-Sloan1990"/>
    <w:p>
      <w:pPr>
        <w:pStyle w:val="Bibliography"/>
      </w:pPr>
      <w:r>
        <w:t xml:space="preserve">Sloan, L. C. and Barron, E. J.: " equable" climates during earth history?, Geology, 18, 489–492, 1990.</w:t>
      </w:r>
    </w:p>
    <w:bookmarkEnd w:id="134"/>
    <w:bookmarkStart w:id="136"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5">
        <w:r>
          <w:rPr>
            <w:rStyle w:val="Hyperlink"/>
          </w:rPr>
          <w:t xml:space="preserve">https://doi.org/10.1007/s12583-018-1002-2</w:t>
        </w:r>
      </w:hyperlink>
      <w:r>
        <w:t xml:space="preserve">, 2019.</w:t>
      </w:r>
    </w:p>
    <w:bookmarkEnd w:id="136"/>
    <w:bookmarkStart w:id="138"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7">
        <w:r>
          <w:rPr>
            <w:rStyle w:val="Hyperlink"/>
          </w:rPr>
          <w:t xml:space="preserve">https://doi.org/10.1130/G38547.1</w:t>
        </w:r>
      </w:hyperlink>
      <w:r>
        <w:t xml:space="preserve">, 2017.</w:t>
      </w:r>
    </w:p>
    <w:bookmarkEnd w:id="138"/>
    <w:bookmarkStart w:id="140"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9">
        <w:r>
          <w:rPr>
            <w:rStyle w:val="Hyperlink"/>
          </w:rPr>
          <w:t xml:space="preserve">https://doi.org/10.1016/j.quascirev.2003.12.003</w:t>
        </w:r>
      </w:hyperlink>
      <w:r>
        <w:t xml:space="preserve">, 2004.</w:t>
      </w:r>
    </w:p>
    <w:bookmarkEnd w:id="140"/>
    <w:bookmarkStart w:id="141" w:name="ref-Tierney2017"/>
    <w:p>
      <w:pPr>
        <w:pStyle w:val="Bibliography"/>
      </w:pPr>
      <w:r>
        <w:t xml:space="preserve">Tierney, J. E., Sinninghe Damsté, J. S., Pancost, R. D., Sluijs, A., and Zachos, J. C.: Eocene temperature gradients, Nature Geoscience, 10, 538–539, 2017.</w:t>
      </w:r>
    </w:p>
    <w:bookmarkEnd w:id="141"/>
    <w:bookmarkStart w:id="142" w:name="ref-Tierney2020"/>
    <w:p>
      <w:pPr>
        <w:pStyle w:val="Bibliography"/>
      </w:pPr>
      <w:r>
        <w:t xml:space="preserve">Tierney, J. E., Poulsen, C. J., Montañez, I. P., Bhattacharya, T., Feng, R., Ford, H. L., Hönisch, B., Inglis, G. N., Petersen, S. V., Sagoo, N., et al.: Past climates inform our future, Science, 370, eaay3701, 2020.</w:t>
      </w:r>
    </w:p>
    <w:bookmarkEnd w:id="142"/>
    <w:bookmarkStart w:id="144"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3">
        <w:r>
          <w:rPr>
            <w:rStyle w:val="Hyperlink"/>
          </w:rPr>
          <w:t xml:space="preserve">https://doi.org/10.1016/j.earscirev.2015.03.008</w:t>
        </w:r>
      </w:hyperlink>
      <w:r>
        <w:t xml:space="preserve">, 2015.</w:t>
      </w:r>
    </w:p>
    <w:bookmarkEnd w:id="144"/>
    <w:bookmarkStart w:id="145"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5"/>
    <w:bookmarkStart w:id="146" w:name="ref-Weitzel2019"/>
    <w:p>
      <w:pPr>
        <w:pStyle w:val="Bibliography"/>
      </w:pPr>
      <w:r>
        <w:t xml:space="preserve">Weitzel, N., Hense, A., and Ohlwein, C.: Combining a pollen and macrofossil synthesis with climate simulations for spatial reconstructions of european climate using bayesian filtering, Climate of the Past, 15, 1275–1301, 2019.</w:t>
      </w:r>
    </w:p>
    <w:bookmarkEnd w:id="146"/>
    <w:bookmarkStart w:id="147"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7"/>
    <w:bookmarkStart w:id="148" w:name="ref-yamano2001"/>
    <w:p>
      <w:pPr>
        <w:pStyle w:val="Bibliography"/>
      </w:pPr>
      <w:r>
        <w:t xml:space="preserve">Yamano, H., Hori, K., Yamauchi, M., Yamagawa, O., and Ohmura, A.: Highest-latitude coral reef at iki island, japan, Coral Reefs, 20, 9–12, 2001.</w:t>
      </w:r>
    </w:p>
    <w:bookmarkEnd w:id="148"/>
    <w:bookmarkStart w:id="149" w:name="ref-Yang2022"/>
    <w:p>
      <w:pPr>
        <w:pStyle w:val="Bibliography"/>
      </w:pPr>
      <w:r>
        <w:t xml:space="preserve">Yang, D. and Bowen, G. J.: Integrating plant wax abundance and isotopes for paleo-vegetation and paleoclimate reconstructions: A multi-source mixing model using a bayesian framework, Climate of the Past, 18, 2181–2210, 2022.</w:t>
      </w:r>
    </w:p>
    <w:bookmarkEnd w:id="149"/>
    <w:bookmarkStart w:id="150"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50"/>
    <w:bookmarkStart w:id="152"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51">
        <w:r>
          <w:rPr>
            <w:rStyle w:val="Hyperlink"/>
          </w:rPr>
          <w:t xml:space="preserve">https://doi.org/10.1016/j.earscirev.2019.01.025</w:t>
        </w:r>
      </w:hyperlink>
      <w:r>
        <w:t xml:space="preserve">, 2019.</w:t>
      </w:r>
    </w:p>
    <w:bookmarkEnd w:id="152"/>
    <w:bookmarkStart w:id="153" w:name="ref-Zhu2019"/>
    <w:p>
      <w:pPr>
        <w:pStyle w:val="Bibliography"/>
      </w:pPr>
      <w:r>
        <w:t xml:space="preserve">Zhu, J., Poulsen, C. J., and Tierney, J. E.: Simulation of eocene extreme warmth and high climate sensitivity through cloud feedbacks, Science advances, 5, eaax1874, 2019.</w:t>
      </w:r>
    </w:p>
    <w:bookmarkEnd w:id="153"/>
    <w:bookmarkStart w:id="154"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4"/>
    <w:bookmarkEnd w:id="155"/>
    <w:bookmarkEnd w:id="156"/>
    <w:sectPr w:rsidR="009B58D4" w:rsidRPr="009D7010" w:rsidSect="00B138AE">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altName w:val="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2615660"/>
      <w:docPartObj>
        <w:docPartGallery w:val="Page Numbers (Bottom of Page)"/>
        <w:docPartUnique/>
      </w:docPartObj>
    </w:sdtPr>
    <w:sdtEndPr>
      <w:rPr>
        <w:noProof/>
      </w:rPr>
    </w:sdtEndPr>
    <w:sdtContent>
      <w:p w14:paraId="20823A51" w14:textId="21933526" w:rsidR="00E867B8" w:rsidRDefault="00E867B8" w:rsidP="00E867B8">
        <w:pPr>
          <w:pStyle w:val="FootnoteText"/>
        </w:pPr>
        <w:r>
          <w:fldChar w:fldCharType="begin"/>
        </w:r>
        <w:r>
          <w:instrText xml:space="preserve"> PAGE   \* MERGEFORMAT </w:instrText>
        </w:r>
        <w:r>
          <w:fldChar w:fldCharType="separate"/>
        </w:r>
        <w:r>
          <w:rPr>
            <w:noProof/>
          </w:rPr>
          <w:t>2</w:t>
        </w:r>
        <w:r>
          <w:rPr>
            <w:noProof/>
          </w:rPr>
          <w:fldChar w:fldCharType="end"/>
        </w:r>
      </w:p>
    </w:sdtContent>
  </w:sdt>
  <w:p w14:paraId="030F27C8" w14:textId="77777777" w:rsidR="00E867B8" w:rsidRDefault="00E867B8">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867B8"/>
    <w:pPr>
      <w:spacing w:after="0"/>
      <w:jc w:val="right"/>
    </w:pPr>
    <w:rPr>
      <w:color w:themeColor="text1" w:val="00000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uiPriority w:val="99"/>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uiPriority w:val="99"/>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 w:styleId="Header" w:type="paragraph">
    <w:name w:val="header"/>
    <w:basedOn w:val="Normal"/>
    <w:link w:val="HeaderChar"/>
    <w:unhideWhenUsed/>
    <w:rsid w:val="00E867B8"/>
    <w:pPr>
      <w:tabs>
        <w:tab w:pos="4513" w:val="center"/>
        <w:tab w:pos="9026" w:val="right"/>
      </w:tabs>
      <w:spacing w:after="0"/>
    </w:pPr>
  </w:style>
  <w:style w:customStyle="1" w:styleId="HeaderChar" w:type="character">
    <w:name w:val="Header Char"/>
    <w:basedOn w:val="DefaultParagraphFont"/>
    <w:link w:val="Header"/>
    <w:rsid w:val="00E867B8"/>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_rels/footnotes.xml.rels><?xml version="1.0" encoding="UTF-8"?><Relationships xmlns="http://schemas.openxmlformats.org/package/2006/relationships"><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3" Target="https://doi.org/10.1016/j.earscirev.2015.03.008" TargetMode="External" /><Relationship Type="http://schemas.openxmlformats.org/officeDocument/2006/relationships/hyperlink" Id="rId151"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0"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7" Target="https://doi.org/10.1029/2020GL089044" TargetMode="External" /><Relationship Type="http://schemas.openxmlformats.org/officeDocument/2006/relationships/hyperlink" Id="rId74"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77"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1" Target="https://doi.org/10.1130/0091-7613(1995)023&lt;1044:ECCALT&gt;2.3.CO;2" TargetMode="External" /><Relationship Type="http://schemas.openxmlformats.org/officeDocument/2006/relationships/hyperlink" Id="rId110"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2" Target="https://doi.org/10.1130/G49132.1" TargetMode="External" /><Relationship Type="http://schemas.openxmlformats.org/officeDocument/2006/relationships/hyperlink" Id="rId105" Target="https://doi.org/10.31223/X5Z94Q" TargetMode="External" /><Relationship Type="http://schemas.openxmlformats.org/officeDocument/2006/relationships/hyperlink" Id="rId98" Target="https://doi.org/10.5194/cp-16-1953-2020" TargetMode="External" /><Relationship Type="http://schemas.openxmlformats.org/officeDocument/2006/relationships/hyperlink" Id="rId69" Target="https://github.com/KEichenseer/PalaeoClimateGradient" TargetMode="External" /><Relationship Type="http://schemas.openxmlformats.org/officeDocument/2006/relationships/hyperlink" Id="rId70" Target="https://zenodo.org/record/79959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2</Pages>
  <Words>172</Words>
  <Characters>985</Characters>
  <Application>Microsoft Office Word</Application>
  <DocSecurity>0</DocSecurity>
  <Lines>8</Lines>
  <Paragraphs>2</Paragraphs>
  <ScaleCrop>false</ScaleCrop>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2023-09-22T13:00:10Z</dcterms:created>
  <dcterms:modified xsi:type="dcterms:W3CDTF">2023-09-22T13:00:10Z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