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4.png" ContentType="image/png"/>
  <Override PartName="/word/media/rId46.png" ContentType="image/png"/>
  <Override PartName="/word/media/rId50.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multi-proxy</w:t>
      </w:r>
      <w:r>
        <w:t xml:space="preserve"> </w:t>
      </w:r>
      <w:r>
        <w:t xml:space="preserve">reconstruction</w:t>
      </w:r>
      <w:r>
        <w:t xml:space="preserve"> </w:t>
      </w:r>
      <w:r>
        <w:t xml:space="preserve">of</w:t>
      </w:r>
      <w:r>
        <w:t xml:space="preserve"> </w:t>
      </w:r>
      <w:r>
        <w:t xml:space="preserve">early</w:t>
      </w:r>
      <w:r>
        <w:t xml:space="preserve"> </w:t>
      </w:r>
      <w:r>
        <w:t xml:space="preserve">Eocene</w:t>
      </w:r>
      <w:r>
        <w:t xml:space="preserve"> </w:t>
      </w:r>
      <w:r>
        <w:t xml:space="preserve">latitudinal</w:t>
      </w:r>
      <w:r>
        <w:t xml:space="preserve"> </w:t>
      </w:r>
      <w:r>
        <w:t xml:space="preserve">temperature</w:t>
      </w:r>
      <w:r>
        <w:t xml:space="preserve"> </w:t>
      </w:r>
      <w:r>
        <w:t xml:space="preserve">gradients</w:t>
      </w:r>
    </w:p>
    <w:p>
      <w:pPr>
        <w:pStyle w:val="Author"/>
      </w:pPr>
      <w:r>
        <w:t xml:space="preserve">—</w:t>
      </w:r>
    </w:p>
    <w:p>
      <w:pPr>
        <w:pStyle w:val="Author"/>
      </w:pPr>
      <w:r>
        <w:t xml:space="preserve">Kilian</w:t>
      </w:r>
      <w:r>
        <w:t xml:space="preserve"> </w:t>
      </w:r>
      <w:r>
        <w:t xml:space="preserve">Eichenseer</w:t>
      </w:r>
      <w:r>
        <w:rPr>
          <w:vertAlign w:val="superscript"/>
        </w:rPr>
        <w:t xml:space="preserve">1</w:t>
      </w:r>
      <w:r>
        <w:t xml:space="preserve"> </w:t>
      </w:r>
      <w:r>
        <w:t xml:space="preserve">and</w:t>
      </w:r>
      <w:r>
        <w:t xml:space="preserve"> </w:t>
      </w:r>
      <w:r>
        <w:t xml:space="preserve">Lewis</w:t>
      </w:r>
      <w:r>
        <w:t xml:space="preserve"> </w:t>
      </w:r>
      <w:r>
        <w:t xml:space="preserve">A.</w:t>
      </w:r>
      <w:r>
        <w:t xml:space="preserve"> </w:t>
      </w:r>
      <w:r>
        <w:t xml:space="preserve">Jones</w:t>
      </w:r>
      <w:r>
        <w:rPr>
          <w:vertAlign w:val="superscript"/>
        </w:rPr>
        <w:t xml:space="preserve">2</w:t>
      </w:r>
    </w:p>
    <w:p>
      <w:pPr>
        <w:pStyle w:val="Author"/>
      </w:pPr>
      <w:r>
        <w:t xml:space="preserve">—</w:t>
      </w:r>
    </w:p>
    <w:p>
      <w:pPr>
        <w:pStyle w:val="Author"/>
      </w:pPr>
      <w:r>
        <w:rPr>
          <w:vertAlign w:val="superscript"/>
        </w:rPr>
        <w:t xml:space="preserve">1</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p>
      <w:pPr>
        <w:pStyle w:val="Author"/>
      </w:pPr>
      <w:r>
        <w:rPr>
          <w:vertAlign w:val="superscript"/>
        </w:rPr>
        <w:t xml:space="preserve">2</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Departamento</w:t>
      </w:r>
      <w:r>
        <w:t xml:space="preserve"> </w:t>
      </w:r>
      <w:r>
        <w:t xml:space="preserve">de</w:t>
      </w:r>
      <w:r>
        <w:t xml:space="preserve"> </w:t>
      </w:r>
      <w:r>
        <w:t xml:space="preserve">Ecoloxía</w:t>
      </w:r>
      <w:r>
        <w:t xml:space="preserve"> </w:t>
      </w:r>
      <w:r>
        <w:t xml:space="preserve">e</w:t>
      </w:r>
      <w:r>
        <w:t xml:space="preserve"> </w:t>
      </w:r>
      <w:r>
        <w:t xml:space="preserve">Bioloxía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p>
      <w:pPr>
        <w:pStyle w:val="Author"/>
      </w:pPr>
      <w:r>
        <w:t xml:space="preserve">—</w:t>
      </w:r>
    </w:p>
    <w:p>
      <w:pPr>
        <w:pStyle w:val="Author"/>
      </w:pPr>
      <w:r>
        <w:rPr>
          <w:bCs/>
          <w:b/>
        </w:rPr>
        <w:t xml:space="preserve">Corresponding</w:t>
      </w:r>
      <w:r>
        <w:rPr>
          <w:bCs/>
          <w:b/>
        </w:rPr>
        <w:t xml:space="preserve"> </w:t>
      </w:r>
      <w:r>
        <w:rPr>
          <w:bCs/>
          <w:b/>
        </w:rPr>
        <w:t xml:space="preserve">author:</w:t>
      </w:r>
      <w:r>
        <w:t xml:space="preserve"> </w:t>
      </w:r>
      <w:r>
        <w:t xml:space="preserve">kilian.eichenseer@durham.ac.uk</w:t>
      </w:r>
    </w:p>
    <w:p>
      <w:pPr>
        <w:pStyle w:val="Abstract"/>
      </w:pPr>
      <w:r>
        <w:t xml:space="preserve"> </w:t>
      </w:r>
      <w:r>
        <w:t xml:space="preserve">¶</w:t>
      </w:r>
      <w:r>
        <w:t xml:space="preserve"> </w:t>
      </w:r>
      <w:r>
        <w:t xml:space="preserve">Abstract</w:t>
      </w:r>
    </w:p>
    <w:p>
      <w:pPr>
        <w:pStyle w:val="FirstParagraph"/>
      </w:pPr>
      <w:r>
        <w:t xml:space="preserve">Accurately reconstructing large-scale palaeoclimate patterns from sparse local records is critical for understanding the evolution of Earth’s climate. Particular challenges arise from the patchiness, uneven spatial distribution, and disparate nature of palaeoclimatic proxy records. Geochemical data typically provide temperature estimates via transfer functions derived from experiments. Similarly, transfer functions based on the climatic requirements of modern taxa exist for some fossil groups, such as pollen assemblages. In contrast, most ecological and lithological data (e.g. coral reefs and evaporites) only convey information on broad climatic requirements. Historically, most large-scale proxy-based reconstructions have used either geochemical or ecological data, but few studies have combined multiple proxy types into a single quantitative reconstruction. Large spatial gaps in existing proxy records have often been bridged by simple averaging, without taking into account the spatial distribution of samples, leading to biased temperature reconstructions. Here, we present a Bayesian hierarchical model to integrate ecological data with established geochemical proxies into a unified quantitative framework, bridging gaps in the latitudinal coverage of proxy data.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sea surface temperature gradient and global average temperatures of the EECO. Our results confirm the presence of a flattened latitudinal temperature gradient and unusually high polar temperatures during the EECO, which is supported by high-latitude ecological data. We show that integrating multiple types of proxy data, and adequate prior information, has the potential to substantially reduce uncertainty in palaeoclimate reconstructions, allowing for unbiased temperature estimates from sparse data.</w:t>
      </w:r>
    </w:p>
    <w:bookmarkStart w:id="20" w:name="keywords"/>
    <w:p>
      <w:pPr>
        <w:pStyle w:val="Heading1"/>
      </w:pPr>
      <w:r>
        <w:t xml:space="preserve">Keywords</w:t>
      </w:r>
    </w:p>
    <w:p>
      <w:pPr>
        <w:pStyle w:val="FirstParagraph"/>
      </w:pPr>
      <w:r>
        <w:t xml:space="preserve">Palaeoclimate, latitudinal temperature gradients, temperature proxies, Eocene, spatial bias, Bayesian</w:t>
      </w:r>
    </w:p>
    <w:bookmarkEnd w:id="20"/>
    <w:bookmarkStart w:id="22" w:name="introduction"/>
    <w:p>
      <w:pPr>
        <w:pStyle w:val="Heading1"/>
      </w:pPr>
      <w:r>
        <w:t xml:space="preserve">Introduction</w:t>
      </w:r>
    </w:p>
    <w:p>
      <w:pPr>
        <w:pStyle w:val="FirstParagraph"/>
      </w:pPr>
      <w:r>
        <w:t xml:space="preserve">Understanding the long-term evolution of Earth’s climate system and contextualising current global warming relies on accurate reconstructions of past climates</w:t>
      </w:r>
      <w:r>
        <w:t xml:space="preserve"> </w:t>
      </w:r>
      <w:r>
        <w:t xml:space="preserve">(Royer et al., 2004; Burke et al., 2018; Tierney et al., 2020)</w:t>
      </w:r>
      <w:r>
        <w:t xml:space="preserve">. Recent advances in the synthesis of palaeoclimate data</w:t>
      </w:r>
      <w:r>
        <w:t xml:space="preserve"> </w:t>
      </w:r>
      <w:r>
        <w:t xml:space="preserve">(e.g. Veizer and Prokoph, 2015; Hollis et al., 2019; Song et al., 2019; Grossman and Joachimski, 2022; Judd et al., 2022)</w:t>
      </w:r>
      <w:r>
        <w:t xml:space="preserve"> </w:t>
      </w:r>
      <w:r>
        <w:t xml:space="preserve">are offering unprecedented insights into the complex and dynamic nature of the Earth’s climate system, yet a fundamental challenge remains: the proxy record of past climates is spatially incomplete and afflicted by imperfect preservation and uneven sampling</w:t>
      </w:r>
      <w:r>
        <w:t xml:space="preserve"> </w:t>
      </w:r>
      <w:r>
        <w:t xml:space="preserve">(Judd et al., 2020; Jones and Eichenseer, 2022; Judd et al., 2022)</w:t>
      </w:r>
      <w:r>
        <w:t xml:space="preserve">.</w:t>
      </w:r>
    </w:p>
    <w:p>
      <w:pPr>
        <w:pStyle w:val="BodyText"/>
      </w:pPr>
      <w:r>
        <w:t xml:space="preserve">Whilst geochemical proxy data can provide robust estimates of palaeotemperature at local scales, recent work has demonstrated that spatial biases in the geochemical proxy record can lead to spurious estimates of regional (e.g. latitudinal temperature gradients) and global temperatures</w:t>
      </w:r>
      <w:r>
        <w:t xml:space="preserve"> </w:t>
      </w:r>
      <w:r>
        <w:t xml:space="preserve">(Judd et al., 2020; Jones and Eichenseer, 2022)</w:t>
      </w:r>
      <w:r>
        <w:t xml:space="preserve">. Principally, this can be driven by two factors: (1) missing data for some regions (e.g. no high-latitude data); or (2) overrepresentation of other regions (e.g. a high proportion of samples from tropical areas). The latter can be addressed through the down-sampling of data or restricting analyses to specific regions</w:t>
      </w:r>
      <w:r>
        <w:t xml:space="preserve"> </w:t>
      </w:r>
      <w:r>
        <w:t xml:space="preserve">(e.g. Song et al., 2019)</w:t>
      </w:r>
      <w:r>
        <w:t xml:space="preserve">. However, in order to robustly infer regional or global-scale patterns from an incomplete record, spatial gaps must ultimately be bridged. One common approach, which requires no additional computation, is the spatial visualisation of proxy-derived temperatures against latitude, showing broad latitudinal temperature trends</w:t>
      </w:r>
      <w:r>
        <w:t xml:space="preserve"> </w:t>
      </w:r>
      <w:r>
        <w:t xml:space="preserve">(Hollis et al., 2019; Vickers et al., 2021)</w:t>
      </w:r>
      <w:r>
        <w:t xml:space="preserve">. Interpolation is also sometimes used to bridge spatial gaps in palaeoclimate data</w:t>
      </w:r>
      <w:r>
        <w:t xml:space="preserve"> </w:t>
      </w:r>
      <w:r>
        <w:t xml:space="preserve">(Taylor et al., 2004)</w:t>
      </w:r>
      <w:r>
        <w:t xml:space="preserve">, taking advantage of the autoregressive nature of climatic data: much of the information on the climate of any given location is contained in the climate data of nearby locations</w:t>
      </w:r>
      <w:r>
        <w:t xml:space="preserve"> </w:t>
      </w:r>
      <w:r>
        <w:t xml:space="preserve">(Reynolds and Smith, 1994)</w:t>
      </w:r>
      <w:r>
        <w:t xml:space="preserve">. Adding to this, some proxy-based reconstructions use statistical modelling to infer palaeoclimatic patterns. For example, polynomial regression</w:t>
      </w:r>
      <w:r>
        <w:t xml:space="preserve"> </w:t>
      </w:r>
      <w:r>
        <w:t xml:space="preserve">(Bijl et al., 2009)</w:t>
      </w:r>
      <w:r>
        <w:t xml:space="preserve"> </w:t>
      </w:r>
      <w:r>
        <w:t xml:space="preserve">and cosine functions</w:t>
      </w:r>
      <w:r>
        <w:t xml:space="preserve"> </w:t>
      </w:r>
      <w:r>
        <w:t xml:space="preserve">(Inglis et al., 2020)</w:t>
      </w:r>
      <w:r>
        <w:t xml:space="preserve"> </w:t>
      </w:r>
      <w:r>
        <w:t xml:space="preserve">have been used to reconstruct latitudinal temperature gradients, and 2D-reconstructions of surface temperatures have been created with Gaussian process regression</w:t>
      </w:r>
      <w:r>
        <w:t xml:space="preserve"> </w:t>
      </w:r>
      <w:r>
        <w:t xml:space="preserve">(Inglis et al., 2020)</w:t>
      </w:r>
      <w:r>
        <w:t xml:space="preserve">. These approaches work well for interpolating relatively densely-sampled data, but the absence of constraints on the modelled parameters means that such models can produce unrealistic temperature estimates when extrapolating from sparse data. Statistical modelling in a Bayesian framework can help overcome this problem by requiring the explicit specification of priors for the model parameters, which can be used to express physical constraints</w:t>
      </w:r>
      <w:r>
        <w:t xml:space="preserve"> </w:t>
      </w:r>
      <w:r>
        <w:t xml:space="preserve">(Chandra et al., 2021)</w:t>
      </w:r>
      <w:r>
        <w:t xml:space="preserve">.</w:t>
      </w:r>
    </w:p>
    <w:p>
      <w:pPr>
        <w:pStyle w:val="BodyText"/>
      </w:pPr>
      <w:r>
        <w:t xml:space="preserve">Spatial gaps in the palaeoclimate record can also be addressed through the integration of additional data. For example, lithological and fossil data can be used to infer past climatic conditions based on analogous modern sediments</w:t>
      </w:r>
      <w:r>
        <w:t xml:space="preserve"> </w:t>
      </w:r>
      <w:r>
        <w:t xml:space="preserve">(Chandra et al., 2021)</w:t>
      </w:r>
      <w:r>
        <w:t xml:space="preserve">, or based on the premise that the climatic requirements of ancient taxa, biological traits, or ecological communities were similar to those of their nearest modern relatives</w:t>
      </w:r>
      <w:r>
        <w:t xml:space="preserve"> </w:t>
      </w:r>
      <w:r>
        <w:t xml:space="preserve">(Peppe et al., 2011; Royer, 2012; Salonen et al., 2019)</w:t>
      </w:r>
      <w:r>
        <w:t xml:space="preserve">. Despite this potential, the integration of geochemical proxy data with other sources of information (e.g. ecological data) has rarely been realised in a rigorous, quantitative framework</w:t>
      </w:r>
      <w:r>
        <w:t xml:space="preserve"> </w:t>
      </w:r>
      <w:r>
        <w:t xml:space="preserve">(Burgener et al., 2023)</w:t>
      </w:r>
      <w:r>
        <w:t xml:space="preserve">.</w:t>
      </w:r>
    </w:p>
    <w:p>
      <w:pPr>
        <w:pStyle w:val="BodyText"/>
      </w:pPr>
      <w:r>
        <w:t xml:space="preserve">Here, we present a novel Bayesian hierarchical model that combines quantitative proxies and ecological constraints into a fully quantitative model of the latitudinal gradient of sea surface temperatures, bridging spatial gaps in sparsely sampled climate data. This model expands upon existing, spatially explicit palaeoclimatic reconstructions by allowing for the integration of (1) prior information based on physical principles and the observed modern sea surface temperature distribution, and of (2) geochemical and ecological climate proxies in a common, quantitative framework. We use a generalised logistic function to accurately infer the shape of the temperature gradient despite a patchy latitudinal coverage, and test the robustness of this method using down-sampled, simulated temperature gradients.</w:t>
      </w:r>
    </w:p>
    <w:p>
      <w:pPr>
        <w:pStyle w:val="BodyText"/>
      </w:pPr>
      <w:r>
        <w:t xml:space="preserve">We apply this model to the record of the early Eocene climatic optimum (EECO), combining a compilation of geochemical proxies</w:t>
      </w:r>
      <w:r>
        <w:t xml:space="preserve"> </w:t>
      </w:r>
      <w:r>
        <w:t xml:space="preserve">(Hollis et al., 2019)</w:t>
      </w:r>
      <w:r>
        <w:t xml:space="preserve">, mangrove communities</w:t>
      </w:r>
      <w:r>
        <w:t xml:space="preserve"> </w:t>
      </w:r>
      <w:r>
        <w:t xml:space="preserve">(Popescu et al., 2021)</w:t>
      </w:r>
      <w:r>
        <w:t xml:space="preserve">, and coral reefs</w:t>
      </w:r>
      <w:r>
        <w:t xml:space="preserve"> </w:t>
      </w:r>
      <w:r>
        <w:t xml:space="preserve">(Zamagni et al., 2012)</w:t>
      </w:r>
      <w:r>
        <w:t xml:space="preserve">, using a nearest-living-relative approach</w:t>
      </w:r>
      <w:r>
        <w:t xml:space="preserve"> </w:t>
      </w:r>
      <w:r>
        <w:t xml:space="preserve">(e.g. Greenwood et al., 2017)</w:t>
      </w:r>
      <w:r>
        <w:t xml:space="preserve"> </w:t>
      </w:r>
      <w:r>
        <w:t xml:space="preserve">to establish broad temperature ranges for the ecological data. We choose the EECO to demonstrate the application of the model due to its significance as the interval with the warmest sustained temperatures of the Cenozoic</w:t>
      </w:r>
      <w:r>
        <w:t xml:space="preserve"> </w:t>
      </w:r>
      <w:r>
        <w:t xml:space="preserve">(Pross et al., 2012)</w:t>
      </w:r>
      <w:r>
        <w:t xml:space="preserve">, rendering it a potential analogue for extreme climate warming scenarios</w:t>
      </w:r>
      <w:r>
        <w:t xml:space="preserve"> </w:t>
      </w:r>
      <w:r>
        <w:t xml:space="preserve">(Burke et al., 2018)</w:t>
      </w:r>
      <w:r>
        <w:t xml:space="preserve">. Our integrative approach allows us to shed new light on the long-standing dispute on the steepness of the early Eocene temperature gradient</w:t>
      </w:r>
      <w:r>
        <w:t xml:space="preserve"> </w:t>
      </w:r>
      <w:r>
        <w:t xml:space="preserve">(Table 1; Sloan and Barron, 1990; Markwick, 1994; Huber and Caballero, 2011; Tierney et al., 2017; Inglis et al., 2020)</w:t>
      </w:r>
      <w:r>
        <w:t xml:space="preserve">.</w:t>
      </w:r>
    </w:p>
    <w:bookmarkStart w:id="21" w:name="table-1"/>
    <w:p>
      <w:pPr>
        <w:pStyle w:val="BodyText"/>
      </w:pPr>
      <w:r>
        <w:t xml:space="preserve">Table 1: Inferred latitudinal sea surface temperature (SST) gradients for the early Eocene (EE) or the EECO, as shown in earlier, proxy-based studies. For comparison, a gradient derived from an atmosphere-ocean general circulation model (GCM) ensemble is also shown.</w:t>
      </w:r>
    </w:p>
    <w:tbl>
      <w:tblPr>
        <w:tblStyle w:val="Table"/>
        <w:tblW w:type="pct" w:w="5000"/>
        <w:tblLook w:firstRow="1" w:lastRow="0" w:firstColumn="0" w:lastColumn="0" w:noHBand="0" w:noVBand="0" w:val="0020"/>
      </w:tblPr>
      <w:tblGrid>
        <w:gridCol w:w="2222"/>
        <w:gridCol w:w="202"/>
        <w:gridCol w:w="363"/>
        <w:gridCol w:w="929"/>
        <w:gridCol w:w="1171"/>
        <w:gridCol w:w="3030"/>
      </w:tblGrid>
      <w:tr>
        <w:trPr>
          <w:tblHeader w:val="true"/>
        </w:trPr>
        <w:tc>
          <w:tcPr/>
          <w:p>
            <w:pPr>
              <w:pStyle w:val="Compact"/>
              <w:jc w:val="left"/>
            </w:pPr>
            <w:r>
              <w:t xml:space="preserve">Source</w:t>
            </w:r>
          </w:p>
        </w:tc>
        <w:tc>
          <w:tcPr/>
          <w:p>
            <w:pPr>
              <w:pStyle w:val="Compact"/>
              <w:jc w:val="left"/>
            </w:pPr>
            <w:r>
              <w:t xml:space="preserve">Time</w:t>
            </w:r>
          </w:p>
        </w:tc>
        <w:tc>
          <w:tcPr/>
          <w:p>
            <w:pPr>
              <w:pStyle w:val="Compact"/>
              <w:jc w:val="left"/>
            </w:pPr>
            <w:r>
              <w:t xml:space="preserve">Gradient</w:t>
            </w:r>
          </w:p>
        </w:tc>
        <w:tc>
          <w:tcPr/>
          <w:p>
            <w:pPr>
              <w:pStyle w:val="Compact"/>
              <w:jc w:val="left"/>
            </w:pPr>
            <w:r>
              <w:t xml:space="preserve">Type_of_gradient</w:t>
            </w:r>
          </w:p>
        </w:tc>
        <w:tc>
          <w:tcPr/>
          <w:p>
            <w:pPr>
              <w:pStyle w:val="Compact"/>
              <w:jc w:val="left"/>
            </w:pPr>
            <w:r>
              <w:t xml:space="preserve">Model</w:t>
            </w:r>
          </w:p>
        </w:tc>
        <w:tc>
          <w:tcPr/>
          <w:p>
            <w:pPr>
              <w:pStyle w:val="Compact"/>
              <w:jc w:val="left"/>
            </w:pPr>
            <w:r>
              <w:t xml:space="preserve">Proxy_system</w:t>
            </w:r>
          </w:p>
        </w:tc>
      </w:tr>
      <w:tr>
        <w:tc>
          <w:tcPr/>
          <w:p>
            <w:pPr>
              <w:pStyle w:val="Compact"/>
              <w:jc w:val="left"/>
            </w:pPr>
            <w:r>
              <w:t xml:space="preserve">Bijl et al. (2009)</w:t>
            </w:r>
          </w:p>
        </w:tc>
        <w:tc>
          <w:tcPr/>
          <w:p>
            <w:pPr>
              <w:pStyle w:val="Compact"/>
              <w:jc w:val="left"/>
            </w:pPr>
            <w:r>
              <w:t xml:space="preserve">EE</w:t>
            </w:r>
          </w:p>
        </w:tc>
        <w:tc>
          <w:tcPr/>
          <w:p>
            <w:pPr>
              <w:pStyle w:val="Compact"/>
              <w:jc w:val="left"/>
            </w:pPr>
            <w:r>
              <w:t xml:space="preserve">7</w:t>
            </w:r>
          </w:p>
        </w:tc>
        <w:tc>
          <w:tcPr/>
          <w:p>
            <w:pPr>
              <w:pStyle w:val="Compact"/>
              <w:jc w:val="left"/>
            </w:pPr>
            <w:r>
              <w:t xml:space="preserve">equator - polar circle</w:t>
            </w:r>
          </w:p>
        </w:tc>
        <w:tc>
          <w:tcPr/>
          <w:p>
            <w:pPr>
              <w:pStyle w:val="Compact"/>
              <w:jc w:val="left"/>
            </w:pPr>
            <m:oMath>
              <m:sSup>
                <m:e>
                  <m:r>
                    <m:t>2</m:t>
                  </m:r>
                </m:e>
                <m:sup>
                  <m:r>
                    <m:t>n</m:t>
                  </m:r>
                  <m:r>
                    <m:t>d</m:t>
                  </m:r>
                </m:sup>
              </m:sSup>
            </m:oMath>
            <w:r>
              <w:t xml:space="preserve"> </w:t>
            </w:r>
            <w:r>
              <w:t xml:space="preserve">order polynomial</w:t>
            </w:r>
          </w:p>
        </w:tc>
        <w:tc>
          <w:tcPr/>
          <w:p>
            <w:pPr>
              <w:pStyle w:val="Compact"/>
              <w:jc w:val="left"/>
            </w:pPr>
            <m:oMath>
              <m:r>
                <m:t>T</m:t>
              </m:r>
              <m:r>
                <m:t>E</m:t>
              </m:r>
              <m:sSub>
                <m:e>
                  <m:r>
                    <m:t>X</m:t>
                  </m:r>
                </m:e>
                <m:sub>
                  <m:r>
                    <m:t>86</m:t>
                  </m:r>
                </m:sub>
              </m:sSub>
            </m:oMath>
            <w:r>
              <w:t xml:space="preserve">,</w:t>
            </w:r>
            <w:r>
              <w:t xml:space="preserve"> </w:t>
            </w:r>
            <m:oMath>
              <m:r>
                <m:t>U</m:t>
              </m:r>
              <m:sSubSup>
                <m:e>
                  <m:r>
                    <m:t>K</m:t>
                  </m:r>
                </m:e>
                <m:sub>
                  <m:r>
                    <m:t>37</m:t>
                  </m:r>
                </m:sub>
                <m:sup>
                  <m:r>
                    <m:t>K</m:t>
                  </m:r>
                  <m:r>
                    <m:rPr>
                      <m:sty m:val="p"/>
                    </m:rPr>
                    <m:t>′</m:t>
                  </m:r>
                </m:sup>
              </m:sSubSup>
            </m:oMath>
          </w:p>
        </w:tc>
      </w:tr>
      <w:tr>
        <w:tc>
          <w:tcPr/>
          <w:p>
            <w:pPr>
              <w:pStyle w:val="Compact"/>
              <w:jc w:val="left"/>
            </w:pPr>
            <w:r>
              <w:t xml:space="preserve">Keating-Bitoni et al. (2011)</w:t>
            </w:r>
          </w:p>
        </w:tc>
        <w:tc>
          <w:tcPr/>
          <w:p>
            <w:pPr>
              <w:pStyle w:val="Compact"/>
              <w:jc w:val="left"/>
            </w:pPr>
            <w:r>
              <w:t xml:space="preserve">EECO</w:t>
            </w:r>
          </w:p>
        </w:tc>
        <w:tc>
          <w:tcPr/>
          <w:p>
            <w:pPr>
              <w:pStyle w:val="Compact"/>
              <w:jc w:val="left"/>
            </w:pPr>
            <w:r>
              <w:t xml:space="preserve">13</w:t>
            </w:r>
          </w:p>
        </w:tc>
        <w:tc>
          <w:tcPr/>
          <w:p>
            <w:pPr>
              <w:pStyle w:val="Compact"/>
              <w:jc w:val="left"/>
            </w:pPr>
            <w:r>
              <w:t xml:space="preserve">equator - polar circle</w:t>
            </w:r>
          </w:p>
        </w:tc>
        <w:tc>
          <w:tcPr/>
          <w:p>
            <w:pPr>
              <w:pStyle w:val="Compact"/>
              <w:jc w:val="left"/>
            </w:pPr>
            <m:oMath>
              <m:sSup>
                <m:e>
                  <m:r>
                    <m:t>2</m:t>
                  </m:r>
                </m:e>
                <m:sup>
                  <m:r>
                    <m:t>n</m:t>
                  </m:r>
                  <m:r>
                    <m:t>d</m:t>
                  </m:r>
                </m:sup>
              </m:sSup>
            </m:oMath>
            <w:r>
              <w:t xml:space="preserve"> </w:t>
            </w:r>
            <w:r>
              <w:t xml:space="preserve">order polynomial</w:t>
            </w:r>
          </w:p>
        </w:tc>
        <w:tc>
          <w:tcPr/>
          <w:p>
            <w:pPr>
              <w:pStyle w:val="Compact"/>
              <w:jc w:val="left"/>
            </w:pPr>
            <m:oMath>
              <m:r>
                <m:t>T</m:t>
              </m:r>
              <m:r>
                <m:t>E</m:t>
              </m:r>
              <m:sSub>
                <m:e>
                  <m:r>
                    <m:t>X</m:t>
                  </m:r>
                </m:e>
                <m:sub>
                  <m:r>
                    <m:t>86</m:t>
                  </m:r>
                </m:sub>
              </m:sSub>
            </m:oMath>
            <w:r>
              <w:t xml:space="preserve">, MBT/CBT,</w:t>
            </w:r>
            <w:r>
              <w:t xml:space="preserve"> </w:t>
            </w:r>
            <m:oMath>
              <m:sSub>
                <m:e>
                  <m:r>
                    <m:t>Δ</m:t>
                  </m:r>
                </m:e>
                <m:sub>
                  <m:r>
                    <m:t>47</m:t>
                  </m:r>
                </m:sub>
              </m:sSub>
            </m:oMath>
            <w:r>
              <w:t xml:space="preserve">, Mg/Ca,</w:t>
            </w:r>
            <w:r>
              <w:t xml:space="preserve"> </w:t>
            </w:r>
            <m:oMath>
              <m:sSup>
                <m:e>
                  <m:r>
                    <m:t>δ</m:t>
                  </m:r>
                </m:e>
                <m:sup>
                  <m:r>
                    <m:t>18</m:t>
                  </m:r>
                </m:sup>
              </m:sSup>
              <m:r>
                <m:t>O</m:t>
              </m:r>
            </m:oMath>
          </w:p>
        </w:tc>
      </w:tr>
      <w:tr>
        <w:tc>
          <w:tcPr/>
          <w:p>
            <w:pPr>
              <w:pStyle w:val="Compact"/>
              <w:jc w:val="left"/>
            </w:pPr>
            <w:r>
              <w:t xml:space="preserve">Tierney et al. (2017)</w:t>
            </w:r>
          </w:p>
        </w:tc>
        <w:tc>
          <w:tcPr/>
          <w:p>
            <w:pPr>
              <w:pStyle w:val="Compact"/>
              <w:jc w:val="left"/>
            </w:pPr>
            <w:r>
              <w:t xml:space="preserve">EE</w:t>
            </w:r>
          </w:p>
        </w:tc>
        <w:tc>
          <w:tcPr/>
          <w:p>
            <w:pPr>
              <w:pStyle w:val="Compact"/>
              <w:jc w:val="left"/>
            </w:pPr>
            <w:r>
              <w:t xml:space="preserve">12</w:t>
            </w:r>
          </w:p>
        </w:tc>
        <w:tc>
          <w:tcPr/>
          <w:p>
            <w:pPr>
              <w:pStyle w:val="Compact"/>
              <w:jc w:val="left"/>
            </w:pPr>
            <w:r>
              <w:t xml:space="preserve">equator - polar circle</w:t>
            </w:r>
          </w:p>
        </w:tc>
        <w:tc>
          <w:tcPr/>
          <w:p>
            <w:pPr>
              <w:pStyle w:val="Compact"/>
              <w:jc w:val="left"/>
            </w:pPr>
            <w:r>
              <w:t xml:space="preserve">Gaussian function</w:t>
            </w:r>
          </w:p>
        </w:tc>
        <w:tc>
          <w:tcPr/>
          <w:p>
            <w:pPr>
              <w:pStyle w:val="Compact"/>
              <w:jc w:val="left"/>
            </w:pPr>
            <m:oMath>
              <m:r>
                <m:t>T</m:t>
              </m:r>
              <m:r>
                <m:t>E</m:t>
              </m:r>
              <m:sSub>
                <m:e>
                  <m:r>
                    <m:t>X</m:t>
                  </m:r>
                </m:e>
                <m:sub>
                  <m:r>
                    <m:t>86</m:t>
                  </m:r>
                </m:sub>
              </m:sSub>
            </m:oMath>
          </w:p>
        </w:tc>
      </w:tr>
      <w:tr>
        <w:tc>
          <w:tcPr/>
          <w:p>
            <w:pPr>
              <w:pStyle w:val="Compact"/>
              <w:jc w:val="left"/>
            </w:pPr>
            <w:r>
              <w:t xml:space="preserve">Cramwinckel et al. (2018)</w:t>
            </w:r>
          </w:p>
        </w:tc>
        <w:tc>
          <w:tcPr/>
          <w:p>
            <w:pPr>
              <w:pStyle w:val="Compact"/>
              <w:jc w:val="left"/>
            </w:pPr>
            <w:r>
              <w:t xml:space="preserve">EECO</w:t>
            </w:r>
          </w:p>
        </w:tc>
        <w:tc>
          <w:tcPr/>
          <w:p>
            <w:pPr>
              <w:pStyle w:val="Compact"/>
              <w:jc w:val="left"/>
            </w:pPr>
            <w:r>
              <w:t xml:space="preserve">21 (±1)</w:t>
            </w:r>
          </w:p>
        </w:tc>
        <w:tc>
          <w:tcPr/>
          <w:p>
            <w:pPr>
              <w:pStyle w:val="Compact"/>
              <w:jc w:val="left"/>
            </w:pPr>
            <w:r>
              <w:t xml:space="preserve">equator - deep water</w:t>
            </w:r>
          </w:p>
        </w:tc>
        <w:tc>
          <w:tcPr/>
          <w:p>
            <w:pPr>
              <w:pStyle w:val="Compact"/>
              <w:jc w:val="left"/>
            </w:pPr>
            <w:r>
              <w:t xml:space="preserve">-</w:t>
            </w:r>
          </w:p>
        </w:tc>
        <w:tc>
          <w:tcPr/>
          <w:p>
            <w:pPr>
              <w:pStyle w:val="Compact"/>
              <w:jc w:val="left"/>
            </w:pPr>
            <m:oMath>
              <m:r>
                <m:t>T</m:t>
              </m:r>
              <m:r>
                <m:t>E</m:t>
              </m:r>
              <m:sSub>
                <m:e>
                  <m:r>
                    <m:t>X</m:t>
                  </m:r>
                </m:e>
                <m:sub>
                  <m:r>
                    <m:t>86</m:t>
                  </m:r>
                </m:sub>
              </m:sSub>
            </m:oMath>
            <w:r>
              <w:t xml:space="preserve">,</w:t>
            </w:r>
            <w:r>
              <w:t xml:space="preserve"> </w:t>
            </w:r>
            <m:oMath>
              <m:sSub>
                <m:e>
                  <m:r>
                    <m:t>Δ</m:t>
                  </m:r>
                </m:e>
                <m:sub>
                  <m:r>
                    <m:t>47</m:t>
                  </m:r>
                </m:sub>
              </m:sSub>
            </m:oMath>
            <w:r>
              <w:t xml:space="preserve">, Mg/Ca,</w:t>
            </w:r>
            <w:r>
              <w:t xml:space="preserve"> </w:t>
            </w:r>
            <m:oMath>
              <m:sSup>
                <m:e>
                  <m:r>
                    <m:t>δ</m:t>
                  </m:r>
                </m:e>
                <m:sup>
                  <m:r>
                    <m:t>18</m:t>
                  </m:r>
                </m:sup>
              </m:sSup>
              <m:r>
                <m:t>O</m:t>
              </m:r>
            </m:oMath>
            <w:r>
              <w:t xml:space="preserve">, deepwater</w:t>
            </w:r>
            <w:r>
              <w:t xml:space="preserve"> </w:t>
            </w:r>
            <m:oMath>
              <m:sSup>
                <m:e>
                  <m:r>
                    <m:t>δ</m:t>
                  </m:r>
                </m:e>
                <m:sup>
                  <m:r>
                    <m:t>18</m:t>
                  </m:r>
                </m:sup>
              </m:sSup>
              <m:r>
                <m:t>O</m:t>
              </m:r>
            </m:oMath>
          </w:p>
        </w:tc>
      </w:tr>
      <w:tr>
        <w:tc>
          <w:tcPr/>
          <w:p>
            <w:pPr>
              <w:pStyle w:val="Compact"/>
              <w:jc w:val="left"/>
            </w:pPr>
            <w:r>
              <w:t xml:space="preserve">Evans et al. (2018)</w:t>
            </w:r>
          </w:p>
        </w:tc>
        <w:tc>
          <w:tcPr/>
          <w:p>
            <w:pPr>
              <w:pStyle w:val="Compact"/>
              <w:jc w:val="left"/>
            </w:pPr>
            <w:r>
              <w:t xml:space="preserve">EE</w:t>
            </w:r>
          </w:p>
        </w:tc>
        <w:tc>
          <w:tcPr/>
          <w:p>
            <w:pPr>
              <w:pStyle w:val="Compact"/>
              <w:jc w:val="left"/>
            </w:pPr>
            <w:r>
              <w:t xml:space="preserve">20 (±3)</w:t>
            </w:r>
          </w:p>
        </w:tc>
        <w:tc>
          <w:tcPr/>
          <w:p>
            <w:pPr>
              <w:pStyle w:val="Compact"/>
              <w:jc w:val="left"/>
            </w:pPr>
            <w:r>
              <w:t xml:space="preserve">tropics - deep water</w:t>
            </w:r>
          </w:p>
        </w:tc>
        <w:tc>
          <w:tcPr/>
          <w:p>
            <w:pPr>
              <w:pStyle w:val="Compact"/>
              <w:jc w:val="left"/>
            </w:pPr>
            <w:r>
              <w:t xml:space="preserve">-</w:t>
            </w:r>
          </w:p>
        </w:tc>
        <w:tc>
          <w:tcPr/>
          <w:p>
            <w:pPr>
              <w:pStyle w:val="Compact"/>
              <w:jc w:val="left"/>
            </w:pPr>
            <m:oMath>
              <m:sSub>
                <m:e>
                  <m:r>
                    <m:t>Δ</m:t>
                  </m:r>
                </m:e>
                <m:sub>
                  <m:r>
                    <m:t>47</m:t>
                  </m:r>
                </m:sub>
              </m:sSub>
            </m:oMath>
            <w:r>
              <w:t xml:space="preserve">, deepwater Mg/Ca</w:t>
            </w:r>
          </w:p>
        </w:tc>
      </w:tr>
      <w:tr>
        <w:tc>
          <w:tcPr/>
          <w:p>
            <w:pPr>
              <w:pStyle w:val="Compact"/>
              <w:jc w:val="left"/>
            </w:pPr>
            <w:r>
              <w:t xml:space="preserve">Pross et al. (2012), as shown in Tierney et al. (2017)</w:t>
            </w:r>
          </w:p>
        </w:tc>
        <w:tc>
          <w:tcPr/>
          <w:p>
            <w:pPr>
              <w:pStyle w:val="Compact"/>
              <w:jc w:val="left"/>
            </w:pPr>
            <w:r>
              <w:t xml:space="preserve">EE</w:t>
            </w:r>
          </w:p>
        </w:tc>
        <w:tc>
          <w:tcPr/>
          <w:p>
            <w:pPr>
              <w:pStyle w:val="Compact"/>
              <w:jc w:val="left"/>
            </w:pPr>
            <w:r>
              <w:t xml:space="preserve">26</w:t>
            </w:r>
          </w:p>
        </w:tc>
        <w:tc>
          <w:tcPr/>
          <w:p>
            <w:pPr>
              <w:pStyle w:val="Compact"/>
              <w:jc w:val="left"/>
            </w:pPr>
            <w:r>
              <w:t xml:space="preserve">equator - polar circle</w:t>
            </w:r>
          </w:p>
        </w:tc>
        <w:tc>
          <w:tcPr/>
          <w:p>
            <w:pPr>
              <w:pStyle w:val="Compact"/>
              <w:jc w:val="left"/>
            </w:pPr>
            <w:r>
              <w:t xml:space="preserve">climate model ensemble (GCM)</w:t>
            </w:r>
          </w:p>
        </w:tc>
        <w:tc>
          <w:tcPr/>
          <w:p>
            <w:pPr>
              <w:pStyle w:val="Compact"/>
              <w:jc w:val="left"/>
            </w:pPr>
            <w:r>
              <w:t xml:space="preserve">none (GCM simulations)</w:t>
            </w:r>
          </w:p>
        </w:tc>
      </w:tr>
    </w:tbl>
    <w:bookmarkEnd w:id="21"/>
    <w:bookmarkEnd w:id="22"/>
    <w:bookmarkStart w:id="45" w:name="materials-methods"/>
    <w:p>
      <w:pPr>
        <w:pStyle w:val="Heading1"/>
      </w:pPr>
      <w:r>
        <w:t xml:space="preserve">Materials &amp; Methods</w:t>
      </w:r>
    </w:p>
    <w:bookmarkStart w:id="23"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(Hollis et al., 2019)</w:t>
      </w:r>
      <w:r>
        <w:t xml:space="preserve">. This compilation provides data on four different geochemical proxies for reconstructing seawater temperature: δ</w:t>
      </w:r>
      <w:r>
        <w:rPr>
          <w:vertAlign w:val="superscript"/>
        </w:rPr>
        <w:t xml:space="preserve">18</w:t>
      </w:r>
      <w:r>
        <w:t xml:space="preserve">O, Δ</w:t>
      </w:r>
      <w:r>
        <w:rPr>
          <w:vertAlign w:val="subscript"/>
        </w:rPr>
        <w:t xml:space="preserve">47</w:t>
      </w:r>
      <w:r>
        <w:t xml:space="preserve">, Mg/Ca and TEX</w:t>
      </w:r>
      <w:r>
        <w:rPr>
          <w:vertAlign w:val="subscript"/>
        </w:rPr>
        <w:t xml:space="preserve">86</w:t>
      </w:r>
      <w:r>
        <w:t xml:space="preserve">. For our analyses, this dataset was restricted to the EECO (defined as 53.8 – 49.1 Ma) and samples from the continental shelf. Recrystallised δ</w:t>
      </w:r>
      <w:r>
        <w:rPr>
          <w:vertAlign w:val="superscript"/>
        </w:rPr>
        <w:t xml:space="preserve">18</w:t>
      </w:r>
      <w:r>
        <w:t xml:space="preserve">O samples were also excluded as secondary diagenetic calcite precipitated after deposition can bias isotope measurements and offset temperature values</w:t>
      </w:r>
      <w:r>
        <w:t xml:space="preserve"> </w:t>
      </w:r>
      <w:r>
        <w:t xml:space="preserve">(Schrag, 1999)</w:t>
      </w:r>
      <w:r>
        <w:t xml:space="preserve">. This filtering resulted in most δ</w:t>
      </w:r>
      <w:r>
        <w:rPr>
          <w:vertAlign w:val="superscript"/>
        </w:rPr>
        <w:t xml:space="preserve">18</w:t>
      </w:r>
      <w:r>
        <w:t xml:space="preserve">O samples being excluded from the dataset (retaining 8 out of 152). After data filtering, 308 geochemical proxy samples from 23 locations remained. For a detailed description of each proxy see</w:t>
      </w:r>
      <w:r>
        <w:t xml:space="preserve"> </w:t>
      </w:r>
      <w:r>
        <w:t xml:space="preserve">Hollis et al. (2019)</w:t>
      </w:r>
      <w:r>
        <w:t xml:space="preserve">.</w:t>
      </w:r>
    </w:p>
    <w:bookmarkEnd w:id="23"/>
    <w:bookmarkStart w:id="28"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 N – 32° S), with minimum sea surface temperature tolerances (~18°C) being the primary constraint on this distribution</w:t>
      </w:r>
      <w:r>
        <w:t xml:space="preserve"> </w:t>
      </w:r>
      <w:r>
        <w:t xml:space="preserve">(Johannes et al., 1983; Kleypas et al., 1999; Yamano et al., 2001)</w:t>
      </w:r>
      <w:r>
        <w:t xml:space="preserve">. As coral reefs reside at the upper thermal limit of the oceans today, their maximum sea surface temperature tolerance is less well-constrained, with some studies suggesting up to 35.6°C in the geological past</w:t>
      </w:r>
      <w:r>
        <w:t xml:space="preserve"> </w:t>
      </w:r>
      <w:r>
        <w:t xml:space="preserve">(Jones et al., 2022)</w:t>
      </w:r>
      <w:r>
        <w:t xml:space="preserve">. Nevertheless, coral reefs have frequently been recognised as tracers of past (sub-)tropical conditions</w:t>
      </w:r>
      <w:r>
        <w:t xml:space="preserve"> </w:t>
      </w:r>
      <w:r>
        <w:t xml:space="preserve">(Ziegler et al., 1984; Kiessling, 2001)</w:t>
      </w:r>
      <w:r>
        <w:t xml:space="preserve">. During the Eocene, coral communities and reefs expanded across tropical and temperate latitudes, with communities found up to palaeolatitudes of 43 ° N</w:t>
      </w:r>
      <w:r>
        <w:t xml:space="preserve"> </w:t>
      </w:r>
      <w:r>
        <w:t xml:space="preserve">(Zamagni et al., 2012)</w:t>
      </w:r>
      <w:r>
        <w:t xml:space="preserve">. Using a compilation of Paleocene – early Eocene coral reefs and community localities</w:t>
      </w:r>
      <w:r>
        <w:t xml:space="preserve"> </w:t>
      </w:r>
      <w:r>
        <w:t xml:space="preserve">(Zamagni et al., 2012)</w:t>
      </w:r>
      <w:r>
        <w:t xml:space="preserve">, we generated quantitative sea surface temperature estimates for the ECCO. To do so, we extracted localities from the compilation that are inferred to be Ilerdian (early Eocene) coral reefs, and that could be confidently assigned to the EECO. We excluded coral knobs and coral-bearing mounds which might have broader climatic limits than warm-water coral reef ecosystems. This filtering resulted in four unique coral reef localities remaining for the EECO, all of which conform to the modern latitudinal range of coral reefs (&lt;34° N). Subsequently, we used statistically derived temperature limits (minimum = 21°C, average = 27.6°C, maximum = 29.5°C) from the published literature</w:t>
      </w:r>
      <w:r>
        <w:t xml:space="preserve"> </w:t>
      </w:r>
      <w:r>
        <w:t xml:space="preserve">(Kleypas et al., 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29.5°C, allowing for the possibility that Eocene coral reefs were adapted to warmer conditions than present-day coral reefs.</w:t>
      </w:r>
    </w:p>
    <w:p>
      <w:pPr>
        <w:pStyle w:val="BodyText"/>
      </w:pPr>
      <w:r>
        <w:rPr>
          <w:bCs/>
          <w:b/>
        </w:rPr>
        <w:t xml:space="preserve">Mangroves.</w:t>
      </w:r>
      <w:r>
        <w:t xml:space="preserve"> </w:t>
      </w:r>
      <w:r>
        <w:t xml:space="preserve">Mangroves are distributed throughout the tropics and subtropics today. While factors besides sea surface temperatures (SST) influence the distribution of mangroves, empirical, lower temperature limits have been established for the genera</w:t>
      </w:r>
      <w:r>
        <w:t xml:space="preserve"> </w:t>
      </w:r>
      <w:r>
        <w:rPr>
          <w:iCs/>
          <w:i/>
        </w:rPr>
        <w:t xml:space="preserve">Avicennia</w:t>
      </w:r>
      <w:r>
        <w:t xml:space="preserve"> </w:t>
      </w:r>
      <w:r>
        <w:t xml:space="preserve">(15.6°C) and</w:t>
      </w:r>
      <w:r>
        <w:t xml:space="preserve"> </w:t>
      </w:r>
      <w:r>
        <w:rPr>
          <w:iCs/>
          <w:i/>
        </w:rPr>
        <w:t xml:space="preserve">Rhizophora</w:t>
      </w:r>
      <w:r>
        <w:t xml:space="preserve"> </w:t>
      </w:r>
      <w:r>
        <w:t xml:space="preserve">(20.7°C)</w:t>
      </w:r>
      <w:r>
        <w:t xml:space="preserve"> </w:t>
      </w:r>
      <w:r>
        <w:t xml:space="preserve">(Quisthoudt et al., 2012)</w:t>
      </w:r>
      <w:r>
        <w:t xml:space="preserve">. Both</w:t>
      </w:r>
      <w:r>
        <w:t xml:space="preserve"> </w:t>
      </w:r>
      <w:r>
        <w:rPr>
          <w:iCs/>
          <w:i/>
        </w:rPr>
        <w:t xml:space="preserve">Avicennia</w:t>
      </w:r>
      <w:r>
        <w:t xml:space="preserve"> </w:t>
      </w:r>
      <w:r>
        <w:t xml:space="preserve">and members of the Rhizophoraceae family were widespread and co-occurred across tropical and temperate latitudes in the early Eocene. Only</w:t>
      </w:r>
      <w:r>
        <w:t xml:space="preserve"> </w:t>
      </w:r>
      <w:r>
        <w:rPr>
          <w:iCs/>
          <w:i/>
        </w:rPr>
        <w:t xml:space="preserve">Avicennia</w:t>
      </w:r>
      <w:r>
        <w:t xml:space="preserve">, however, occurred at polar latitudes</w:t>
      </w:r>
      <w:r>
        <w:t xml:space="preserve"> </w:t>
      </w:r>
      <w:r>
        <w:t xml:space="preserve">(Suan et al., 2017; Popescu et al., 2021)</w:t>
      </w:r>
      <w:r>
        <w:t xml:space="preserve">. Assuming that Eocene members of these mangrove taxa conform to similar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 et al. (2021)</w:t>
      </w:r>
      <w:r>
        <w:t xml:space="preserve">, and converted to quantitative temperature estimates. From this data, we identify two types of pollen assemblages which we ascribe different temperature distributions:</w:t>
      </w:r>
    </w:p>
    <w:p>
      <w:pPr>
        <w:numPr>
          <w:ilvl w:val="0"/>
          <w:numId w:val="1001"/>
        </w:numPr>
      </w:pPr>
      <w:r>
        <w:rPr>
          <w:iCs/>
          <w:i/>
        </w:rPr>
        <w:t xml:space="preserve">Avicennia</w:t>
      </w:r>
      <w:r>
        <w:t xml:space="preserve">-only assemblages (</w:t>
      </w:r>
      <m:oMath>
        <m:r>
          <m:t>n</m:t>
        </m:r>
        <m:r>
          <m:rPr>
            <m:sty m:val="p"/>
          </m:rPr>
          <m:t>=</m:t>
        </m:r>
        <m:r>
          <m:t>2</m:t>
        </m:r>
      </m:oMath>
      <w:r>
        <w:t xml:space="preserve">): the absence of Rhizophoraceae is indicative of temperatures being between 15.6°C (lower temperature limt of</w:t>
      </w:r>
      <w:r>
        <w:t xml:space="preserve"> </w:t>
      </w:r>
      <w:r>
        <w:rPr>
          <w:iCs/>
          <w:i/>
        </w:rPr>
        <w:t xml:space="preserve">Avicennia</w:t>
      </w:r>
      <w:r>
        <w:t xml:space="preserve">) and 20.7°C (lower temperature limit of</w:t>
      </w:r>
      <w:r>
        <w:t xml:space="preserve"> </w:t>
      </w:r>
      <w:r>
        <w:rPr>
          <w:iCs/>
          <w:i/>
        </w:rPr>
        <w:t xml:space="preserve">Rhizophora</w:t>
      </w:r>
      <w:r>
        <w:t xml:space="preserve">). However, a value of 22.5°C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and a standard deviation of 1.725, resulting in 95% of the probability density being placed within the temperature limits.</w:t>
      </w:r>
    </w:p>
    <w:p>
      <w:pPr>
        <w:numPr>
          <w:ilvl w:val="0"/>
          <w:numId w:val="1001"/>
        </w:numPr>
      </w:pPr>
      <w:r>
        <w:rPr>
          <w:iCs/>
          <w:i/>
        </w:rPr>
        <w:t xml:space="preserve">Avicennia</w:t>
      </w:r>
      <w:r>
        <w:t xml:space="preserve"> </w:t>
      </w:r>
      <w:r>
        <w:t xml:space="preserve">and Rhizophoraceae assemblages (</w:t>
      </w:r>
      <m:oMath>
        <m:r>
          <m:t>n</m:t>
        </m:r>
        <m:r>
          <m:rPr>
            <m:sty m:val="p"/>
          </m:rPr>
          <m:t>=</m:t>
        </m:r>
        <m:r>
          <m:t>5</m:t>
        </m:r>
      </m:oMath>
      <w:r>
        <w:t xml:space="preserve">): the presence of both groups suggests that the locality should have a minimum temperature of 20.7°C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 et al. (2012)</w:t>
      </w:r>
      <w:r>
        <w:t xml:space="preserve">, we assign the same maximum temperature limits (29.5°C) as coral reef localities, because mangroves are also widely distributed throughout tropical regions. Consequently, we define the temperature distribution for this locality as a normal distribution with a mean of 25.1 and a standard deviation of 2.2, with 95% probability density within the temperature limits.</w:t>
      </w:r>
    </w:p>
    <w:tbl>
      <w:tblPr>
        <w:tblStyle w:val="Table"/>
        <w:tblW w:type="pct" w:w="5000"/>
        <w:tblLook w:firstRow="0" w:lastRow="0" w:firstColumn="0" w:lastColumn="0" w:noHBand="0" w:noVBand="0" w:val="0000"/>
      </w:tblPr>
      <w:tblGrid>
        <w:gridCol w:w="7920"/>
      </w:tblGrid>
      <w:tr>
        <w:tc>
          <w:tcPr/>
          <w:bookmarkStart w:id="27" w:name="fig-1"/>
          <w:p>
            <w:pPr>
              <w:jc w:val="center"/>
            </w:pPr>
            <w:r>
              <w:drawing>
                <wp:inline>
                  <wp:extent cx="5399999" cy="3239542"/>
                  <wp:effectExtent b="0" l="0" r="0" t="0"/>
                  <wp:docPr descr="" title="" id="25" name="Picture"/>
                  <a:graphic>
                    <a:graphicData uri="http://schemas.openxmlformats.org/drawingml/2006/picture">
                      <pic:pic>
                        <pic:nvPicPr>
                          <pic:cNvPr descr="../figures/fig_1.png" id="26" name="Picture"/>
                          <pic:cNvPicPr>
                            <a:picLocks noChangeArrowheads="1" noChangeAspect="1"/>
                          </pic:cNvPicPr>
                        </pic:nvPicPr>
                        <pic:blipFill>
                          <a:blip r:embed="rId24"/>
                          <a:stretch>
                            <a:fillRect/>
                          </a:stretch>
                        </pic:blipFill>
                        <pic:spPr bwMode="auto">
                          <a:xfrm>
                            <a:off x="0" y="0"/>
                            <a:ext cx="5399999" cy="32395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Palaeogeographic distribution of the geochemical and ecological data compilation used in this study.</w:t>
            </w:r>
            <w:r>
              <w:t xml:space="preserve"> </w:t>
            </w:r>
            <w:r>
              <w:t xml:space="preserve"> </w:t>
            </w:r>
            <w:r>
              <w:t xml:space="preserve">Map is presented in the Robinson projection (ESRI:54030).</w:t>
            </w:r>
          </w:p>
          <w:bookmarkEnd w:id="27"/>
        </w:tc>
      </w:tr>
    </w:tbl>
    <w:bookmarkEnd w:id="28"/>
    <w:bookmarkStart w:id="29"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 et al. (2021)</w:t>
      </w:r>
      <w:r>
        <w:t xml:space="preserve"> </w:t>
      </w:r>
      <w:r>
        <w:t xml:space="preserve">plate rotation model via the palaeoverse R package</w:t>
      </w:r>
      <w:r>
        <w:t xml:space="preserve"> </w:t>
      </w:r>
      <w:r>
        <w:t xml:space="preserve">(version 1.2.0, Jones et al., 2023)</w:t>
      </w:r>
      <w:r>
        <w:t xml:space="preserve">. The midpoint age of the EECO (51.2 Ma), along with the present-day coordinates of geochemical and ecological data, were used for palaeogeographic reconstruction.</w:t>
      </w:r>
    </w:p>
    <w:bookmarkEnd w:id="29"/>
    <w:bookmarkStart w:id="40" w:name="bayesian-framework"/>
    <w:p>
      <w:pPr>
        <w:pStyle w:val="Heading2"/>
      </w:pPr>
      <w:r>
        <w:t xml:space="preserve">Bayesian framework</w:t>
      </w:r>
    </w:p>
    <w:p>
      <w:pPr>
        <w:pStyle w:val="FirstParagraph"/>
      </w:pPr>
      <w:r>
        <w:rPr>
          <w:bCs/>
          <w:b/>
        </w:rPr>
        <w:t xml:space="preserve">Model structure.</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(also known as</w:t>
      </w:r>
      <w:r>
        <w:t xml:space="preserve"> </w:t>
      </w:r>
      <w:r>
        <w:t xml:space="preserve">“</w:t>
      </w:r>
      <w:r>
        <w:t xml:space="preserve">growth curve</w:t>
      </w:r>
      <w:r>
        <w:t xml:space="preserve">”</w:t>
      </w:r>
      <w:r>
        <w:t xml:space="preserve"> </w:t>
      </w:r>
      <w:r>
        <w:t xml:space="preserve">or</w:t>
      </w:r>
      <w:r>
        <w:t xml:space="preserve"> </w:t>
      </w:r>
      <w:r>
        <w:t xml:space="preserve">“</w:t>
      </w:r>
      <w:r>
        <w:t xml:space="preserve">Richard’s curve</w:t>
      </w:r>
      <w:r>
        <w:t xml:space="preserve">”</w:t>
      </w:r>
      <w:r>
        <w:t xml:space="preserve">) of the form:</w:t>
      </w:r>
    </w:p>
    <w:p>
      <w:pPr>
        <w:pStyle w:val="BodyText"/>
      </w:pPr>
      <w:bookmarkStart w:id="30" w:name="eq-mu"/>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r>
            <m:t>  </m:t>
          </m:r>
          <m:d>
            <m:dPr>
              <m:begChr m:val="("/>
              <m:endChr m:val=")"/>
              <m:sepChr m:val=""/>
              <m:grow/>
            </m:dPr>
            <m:e>
              <m:r>
                <m:t>1</m:t>
              </m:r>
            </m:e>
          </m:d>
        </m:oMath>
      </m:oMathPara>
      <w:bookmarkEnd w:id="30"/>
    </w:p>
    <w:p>
      <w:pPr>
        <w:pStyle w:val="FirstParagraph"/>
      </w:pPr>
      <w:bookmarkStart w:id="31" w:name="eq-nu"/>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r>
            <m:t>  </m:t>
          </m:r>
          <m:d>
            <m:dPr>
              <m:begChr m:val="("/>
              <m:endChr m:val=")"/>
              <m:sepChr m:val=""/>
              <m:grow/>
            </m:dPr>
            <m:e>
              <m:r>
                <m:t>2</m:t>
              </m:r>
            </m:e>
          </m:d>
        </m:oMath>
      </m:oMathPara>
      <w:bookmarkEnd w:id="31"/>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i.e. the latitude around which temperature falls most steeply with latitude,</w:t>
      </w:r>
      <w:r>
        <w:t xml:space="preserve"> </w:t>
      </w:r>
      <m:oMath>
        <m:r>
          <m:t>B</m:t>
        </m:r>
      </m:oMath>
      <w:r>
        <w:t xml:space="preserve"> </w:t>
      </w:r>
      <w:r>
        <w:t xml:space="preserve">denotes the growth rate,</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w:bookmarkStart w:id="32" w:name="eq-obs"/>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d>
            <m:dPr>
              <m:begChr m:val="("/>
              <m:endChr m:val=")"/>
              <m:sepChr m:val=""/>
              <m:grow/>
            </m:dPr>
            <m:e>
              <m:r>
                <m:t>3</m:t>
              </m:r>
            </m:e>
          </m:d>
        </m:oMath>
      </m:oMathPara>
      <w:bookmarkEnd w:id="32"/>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w:bookmarkStart w:id="33" w:name="eq-dist"/>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r>
            <m:t>  </m:t>
          </m:r>
          <m:d>
            <m:dPr>
              <m:begChr m:val="("/>
              <m:endChr m:val=")"/>
              <m:sepChr m:val=""/>
              <m:grow/>
            </m:dPr>
            <m:e>
              <m:r>
                <m:t>4</m:t>
              </m:r>
            </m:e>
          </m:d>
        </m:oMath>
      </m:oMathPara>
      <w:bookmarkEnd w:id="33"/>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w:t>
      </w:r>
      <w:r>
        <w:t xml:space="preserve">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strong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reconstructed temperatures.</w:t>
      </w:r>
    </w:p>
    <w:p>
      <w:pPr>
        <w:pStyle w:val="BodyText"/>
      </w:pPr>
      <w:r>
        <w:rPr>
          <w:bCs/>
          <w:b/>
        </w:rPr>
        <w:t xml:space="preserve">Priors.</w:t>
      </w:r>
      <w:r>
        <w:t xml:space="preserve"> </w:t>
      </w:r>
      <w:r>
        <w:t xml:space="preserve">In a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w:bookmarkStart w:id="34" w:name="eq-sigma"/>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r>
            <m:t>  </m:t>
          </m:r>
          <m:d>
            <m:dPr>
              <m:begChr m:val="("/>
              <m:endChr m:val=")"/>
              <m:sepChr m:val=""/>
              <m:grow/>
            </m:dPr>
            <m:e>
              <m:r>
                <m:t>5</m:t>
              </m:r>
            </m:e>
          </m:d>
        </m:oMath>
      </m:oMathPara>
      <w:bookmarkEnd w:id="34"/>
    </w:p>
    <w:p>
      <w:pPr>
        <w:pStyle w:val="FirstParagraph"/>
      </w:pPr>
      <w:bookmarkStart w:id="35" w:name="eq-sigmaj"/>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r>
            <m:t>  </m:t>
          </m:r>
          <m:d>
            <m:dPr>
              <m:begChr m:val="("/>
              <m:endChr m:val=")"/>
              <m:sepChr m:val=""/>
              <m:grow/>
            </m:dPr>
            <m:e>
              <m:r>
                <m:t>6</m:t>
              </m:r>
            </m:e>
          </m:d>
        </m:oMath>
      </m:oMathPara>
      <w:bookmarkEnd w:id="35"/>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loosely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w:bookmarkStart w:id="36" w:name="eq-A"/>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r>
            <m:t>  </m:t>
          </m:r>
          <m:d>
            <m:dPr>
              <m:begChr m:val="("/>
              <m:endChr m:val=")"/>
              <m:sepChr m:val=""/>
              <m:grow/>
            </m:dPr>
            <m:e>
              <m:r>
                <m:t>7</m:t>
              </m:r>
            </m:e>
          </m:d>
        </m:oMath>
      </m:oMathPara>
      <w:bookmarkEnd w:id="36"/>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w:bookmarkStart w:id="37" w:name="eq-K"/>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r>
            <m:t>  </m:t>
          </m:r>
          <m:d>
            <m:dPr>
              <m:begChr m:val="("/>
              <m:endChr m:val=")"/>
              <m:sepChr m:val=""/>
              <m:grow/>
            </m:dPr>
            <m:e>
              <m:r>
                <m:t>8</m:t>
              </m:r>
            </m:e>
          </m:d>
        </m:oMath>
      </m:oMathPara>
      <w:bookmarkEnd w:id="37"/>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 42, i.e. </w:t>
      </w:r>
      <m:oMath>
        <m:r>
          <m:t>M</m:t>
        </m:r>
      </m:oMath>
      <w:r>
        <w:t xml:space="preserve"> </w:t>
      </w:r>
      <w:r>
        <w:t xml:space="preserve">of the modern SST gradient, and a moderately wide standard deviation of 10:</w:t>
      </w:r>
    </w:p>
    <w:p>
      <w:pPr>
        <w:pStyle w:val="BodyText"/>
      </w:pPr>
      <w:bookmarkStart w:id="38" w:name="eq-M"/>
      <m:oMathPara>
        <m:oMathParaPr>
          <m:jc m:val="center"/>
        </m:oMathParaPr>
        <m:oMath>
          <m:r>
            <m:t>M</m:t>
          </m:r>
          <m:r>
            <m:rPr>
              <m:sty m:val="p"/>
            </m:rPr>
            <m:t>∼</m:t>
          </m:r>
          <m:r>
            <m:t>N</m:t>
          </m:r>
          <m:d>
            <m:dPr>
              <m:begChr m:val="("/>
              <m:endChr m:val=")"/>
              <m:sepChr m:val=""/>
              <m:grow/>
            </m:dPr>
            <m:e>
              <m:r>
                <m:t>42</m:t>
              </m:r>
              <m:r>
                <m:rPr>
                  <m:sty m:val="p"/>
                </m:rPr>
                <m:t>,</m:t>
              </m:r>
              <m:r>
                <m:t>10</m:t>
              </m:r>
            </m:e>
          </m:d>
          <m:r>
            <m:t>  </m:t>
          </m:r>
          <m:d>
            <m:dPr>
              <m:begChr m:val="("/>
              <m:endChr m:val=")"/>
              <m:sepChr m:val=""/>
              <m:grow/>
            </m:dPr>
            <m:e>
              <m:r>
                <m:t>9</m:t>
              </m:r>
            </m:e>
          </m:d>
        </m:oMath>
      </m:oMathPara>
      <w:bookmarkEnd w:id="38"/>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limit very abrupt SST changes across latitudes on a global scale. A gamma-distributed prior of the form</w:t>
      </w:r>
    </w:p>
    <w:p>
      <w:pPr>
        <w:pStyle w:val="BodyText"/>
      </w:pPr>
      <w:bookmarkStart w:id="39" w:name="eq-B"/>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r>
            <m:t>  </m:t>
          </m:r>
          <m:d>
            <m:dPr>
              <m:begChr m:val="("/>
              <m:endChr m:val=")"/>
              <m:sepChr m:val=""/>
              <m:grow/>
            </m:dPr>
            <m:e>
              <m:r>
                <m:t>10</m:t>
              </m:r>
            </m:e>
          </m:d>
        </m:oMath>
      </m:oMathPara>
      <w:bookmarkEnd w:id="39"/>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 We informed the prior distributions on</w:t>
      </w:r>
      <w:r>
        <w:t xml:space="preserve"> </w:t>
      </w:r>
      <m:oMath>
        <m:r>
          <m:t>M</m:t>
        </m:r>
      </m:oMath>
      <w:r>
        <w:t xml:space="preserve"> </w:t>
      </w:r>
      <w:r>
        <w:t xml:space="preserve">and</w:t>
      </w:r>
      <w:r>
        <w:t xml:space="preserve"> </w:t>
      </w:r>
      <m:oMath>
        <m:r>
          <m:t>B</m:t>
        </m:r>
      </m:oMath>
      <w:r>
        <w:t xml:space="preserve"> </w:t>
      </w:r>
      <w:r>
        <w:t xml:space="preserve">based on a provisional model run with the modern SST data.</w:t>
      </w:r>
    </w:p>
    <w:bookmarkEnd w:id="40"/>
    <w:bookmarkStart w:id="41" w:name="model-validation"/>
    <w:p>
      <w:pPr>
        <w:pStyle w:val="Heading2"/>
      </w:pPr>
      <w:r>
        <w:t xml:space="preserve">Model validation</w:t>
      </w:r>
    </w:p>
    <w:p>
      <w:pPr>
        <w:pStyle w:val="FirstParagraph"/>
      </w:pPr>
      <w:r>
        <w:t xml:space="preserve">To test whether our logistic regression model can adequately describe different latitudinal temperature gradients at various sample sizes, we generated four idealised gradients that emulate potential climatic states throughout Earth’s geological history: extreme icehouse, icehouse, greenhouse, and extreme greenhouse</w:t>
      </w:r>
      <w:r>
        <w:t xml:space="preserve"> </w:t>
      </w:r>
      <w:r>
        <w:t xml:space="preserve">(Frakes et al., 1992)</w:t>
      </w:r>
      <w:r>
        <w:t xml:space="preserve">. We then randomly sampled (1,000 iterations) these gradients using increasing sample sizes (5, 10, and 20) and reconstructed the latitudinal temperature gradient using our model for each of these sample sizes and gradient types. Using the same idealised gradients, we also tested whether our model could accurately reconstruct latitudinal temperature gradients using the palaeogeographic distribution of Eocene samples (</w:t>
      </w:r>
      <w:r>
        <w:rPr>
          <w:iCs/>
          <w:i/>
        </w:rPr>
        <w:t xml:space="preserve">n</w:t>
      </w:r>
      <w:r>
        <w:t xml:space="preserve"> </w:t>
      </w:r>
      <w:r>
        <w:t xml:space="preserve">= 34), providing an empirical, exemplary distribution that captures both limited sample size and skewed geographic origins of samples. To evaluate how well the model performed in reconstructing the idealised gradients from limited sampling, we calculated the coefficient of determination (</w:t>
      </w:r>
      <m:oMath>
        <m:sSup>
          <m:e>
            <m:r>
              <m:t>R</m:t>
            </m:r>
          </m:e>
          <m:sup>
            <m:r>
              <m:t>2</m:t>
            </m:r>
          </m:sup>
        </m:sSup>
      </m:oMath>
      <w:r>
        <w:t xml:space="preserve">) for Bayesian regression models</w:t>
      </w:r>
      <w:r>
        <w:t xml:space="preserve"> </w:t>
      </w:r>
      <w:r>
        <w:t xml:space="preserve">(Gelman et al., 2019)</w:t>
      </w:r>
      <w:r>
        <w:t xml:space="preserve">. For every iteration from the posterior, we intercepted the modelled and the idealised gradient in intervals of 1° latitude and calculated the</w:t>
      </w:r>
      <w:r>
        <w:t xml:space="preserve"> </w:t>
      </w:r>
      <m:oMath>
        <m:sSup>
          <m:e>
            <m:r>
              <m:t>R</m:t>
            </m:r>
          </m:e>
          <m:sup>
            <m:r>
              <m:t>2</m:t>
            </m:r>
          </m:sup>
        </m:sSup>
      </m:oMath>
      <w:r>
        <w:t xml:space="preserve"> </w:t>
      </w:r>
      <w:r>
        <w:t xml:space="preserve">based on these values. We report the median, and 95% credible intervals (CI) of the resulting</w:t>
      </w:r>
      <w:r>
        <w:t xml:space="preserve"> </w:t>
      </w:r>
      <m:oMath>
        <m:sSup>
          <m:e>
            <m:r>
              <m:t>R</m:t>
            </m:r>
          </m:e>
          <m:sup>
            <m:r>
              <m:t>2</m:t>
            </m:r>
          </m:sup>
        </m:sSup>
      </m:oMath>
      <w:r>
        <w:t xml:space="preserve"> </w:t>
      </w:r>
      <w:r>
        <w:t xml:space="preserve">values. Here and in all other instances, the 95% CI refer to the interval between the 2.5% point and the 97.5% point of the samples or sampled posterior distribution.</w:t>
      </w:r>
    </w:p>
    <w:p>
      <w:pPr>
        <w:pStyle w:val="BodyText"/>
      </w:pPr>
      <w:r>
        <w:t xml:space="preserve">To test whether our model can accurately depict the shape of the modern sea surface temperature gradient, and to facilitate comparison with the Eocene gradient, we applied our model to annual sea surface mean temperatures from Bio-Oracle</w:t>
      </w:r>
      <w:r>
        <w:t xml:space="preserve"> </w:t>
      </w:r>
      <w:r>
        <w:t xml:space="preserve">(Assis et al., 2018)</w:t>
      </w:r>
      <w:r>
        <w:t xml:space="preserve">, aggregated to a</w:t>
      </w:r>
      <w:r>
        <w:t xml:space="preserve"> </w:t>
      </w:r>
      <m:oMath>
        <m:sSup>
          <m:e>
            <m:r>
              <m:t>1</m:t>
            </m:r>
          </m:e>
          <m:sup>
            <m:r>
              <m:rPr>
                <m:sty m:val="p"/>
              </m:rPr>
              <m:t>∘</m:t>
            </m:r>
          </m:sup>
        </m:sSup>
        <m:r>
          <m:rPr>
            <m:sty m:val="p"/>
          </m:rPr>
          <m:t>×</m:t>
        </m:r>
        <m:sSup>
          <m:e>
            <m:r>
              <m:t>1</m:t>
            </m:r>
          </m:e>
          <m:sup>
            <m:r>
              <m:rPr>
                <m:sty m:val="p"/>
              </m:rPr>
              <m:t>∘</m:t>
            </m:r>
          </m:sup>
        </m:sSup>
      </m:oMath>
      <w:r>
        <w:t xml:space="preserve"> </w:t>
      </w:r>
      <w:r>
        <w:t xml:space="preserve">raster (</w:t>
      </w:r>
      <w:r>
        <w:rPr>
          <w:iCs/>
          <w:i/>
        </w:rPr>
        <w:t xml:space="preserve">n</w:t>
      </w:r>
      <w:r>
        <w:t xml:space="preserve"> </w:t>
      </w:r>
      <w:r>
        <w:t xml:space="preserve">= 46,131). The</w:t>
      </w:r>
      <w:r>
        <w:t xml:space="preserve"> </w:t>
      </w:r>
      <m:oMath>
        <m:sSup>
          <m:e>
            <m:r>
              <m:t>R</m:t>
            </m:r>
          </m:e>
          <m:sup>
            <m:r>
              <m:t>2</m:t>
            </m:r>
          </m:sup>
        </m:sSup>
      </m:oMath>
      <w:r>
        <w:t xml:space="preserve"> </w:t>
      </w:r>
      <w:r>
        <w:t xml:space="preserve">for the modern gradient was calculated as above</w:t>
      </w:r>
      <w:r>
        <w:t xml:space="preserve"> </w:t>
      </w:r>
      <w:r>
        <w:t xml:space="preserve">(Gelman et al., 2019)</w:t>
      </w:r>
      <w:r>
        <w:t xml:space="preserve">, comparing the modelled gradient and the empirical temperature averages in 1° latitude bins. Only the medians are reported for the modern gradient, as the 95% credible intervals are extremely narrow due to the high precision of the posterior estimates.</w:t>
      </w:r>
    </w:p>
    <w:p>
      <w:pPr>
        <w:pStyle w:val="BodyText"/>
      </w:pPr>
      <w:r>
        <w:t xml:space="preserve">To reconstruct the idealised gradients and the modern gradient, we used a simplified, non-hierarchical version of our model, as every location is associated with only one temperature value, making the hierarchical structure superfluous. To achieve this, we substituted temperature (</w:t>
      </w:r>
      <m:oMath>
        <m:sSub>
          <m:e>
            <m:r>
              <m:t>t</m:t>
            </m:r>
          </m:e>
          <m:sub>
            <m:r>
              <m:t>j</m:t>
            </m:r>
          </m:sub>
        </m:sSub>
      </m:oMath>
      <w:r>
        <w:t xml:space="preserve">) for</w:t>
      </w:r>
      <w:r>
        <w:t xml:space="preserve"> </w:t>
      </w:r>
      <m:oMath>
        <m:sSub>
          <m:e>
            <m:r>
              <m:t>μ</m:t>
            </m:r>
          </m:e>
          <m:sub>
            <m:r>
              <m:t>j</m:t>
            </m:r>
          </m:sub>
        </m:sSub>
      </m:oMath>
      <w:r>
        <w:t xml:space="preserve"> </w:t>
      </w:r>
      <w:r>
        <w:t xml:space="preserve">in</w:t>
      </w:r>
      <w:r>
        <w:t xml:space="preserve"> </w:t>
      </w:r>
      <w:hyperlink w:anchor="eq-mu">
        <w:r>
          <w:rPr>
            <w:rStyle w:val="Hyperlink"/>
          </w:rPr>
          <w:t xml:space="preserve">Equation 1</w:t>
        </w:r>
      </w:hyperlink>
      <w:r>
        <w:t xml:space="preserve"> </w:t>
      </w:r>
      <w:r>
        <w:t xml:space="preserve">and</w:t>
      </w:r>
      <w:r>
        <w:t xml:space="preserve"> </w:t>
      </w:r>
      <w:hyperlink w:anchor="eq-sigma">
        <w:r>
          <w:rPr>
            <w:rStyle w:val="Hyperlink"/>
          </w:rPr>
          <w:t xml:space="preserve">Equation 5</w:t>
        </w:r>
      </w:hyperlink>
      <w:r>
        <w:t xml:space="preserve">.</w:t>
      </w:r>
    </w:p>
    <w:bookmarkEnd w:id="41"/>
    <w:bookmarkStart w:id="42"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w:t>
      </w:r>
      <w:r>
        <w:t xml:space="preserve"> </w:t>
      </w:r>
      <w:r>
        <w:t xml:space="preserve">(see Gilks et al., 1995; Gelman et al., 2013)</w:t>
      </w:r>
      <w:r>
        <w:t xml:space="preserve">. Posterior inference on the modern gradient is based on four chains with 60,000 iterations each, 10,000 of which were discarded as burn-in. Every 10th iteration was retained, resulting in a total of 20,000 iterations with low autocorrelation. The re-sampled, simulated gradients were modelled in one chain with 10,000 iterations for each of the 1,000 random samples. 5,000 iterations each were discarded as burn-in, and every 25th iteration was kept, resulting in a total of 200,000 iterations across all 1,000 model runs. For the simulated gradients with an Eocene sampling distribution, a single chain with 250,000 iterations was used, thinned to 10,000 iterations after burn-in. 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 Trace plots of the MCMC chains indicate convergence and good mixing of the chains (Fig. S1).</w:t>
      </w:r>
    </w:p>
    <w:bookmarkEnd w:id="42"/>
    <w:bookmarkStart w:id="44" w:name="processing-of-model-results"/>
    <w:p>
      <w:pPr>
        <w:pStyle w:val="Heading2"/>
      </w:pPr>
      <w:r>
        <w:t xml:space="preserve">Processing of model results</w:t>
      </w:r>
    </w:p>
    <w:p>
      <w:pPr>
        <w:pStyle w:val="FirstParagraph"/>
      </w:pPr>
      <w:r>
        <w:t xml:space="preserve">modelled sea surface temperature estimates were generated with</w:t>
      </w:r>
      <w:r>
        <w:t xml:space="preserve"> </w:t>
      </w:r>
      <w:hyperlink w:anchor="eq-nu">
        <w:r>
          <w:rPr>
            <w:rStyle w:val="Hyperlink"/>
          </w:rPr>
          <w:t xml:space="preserve">Equation 2</w:t>
        </w:r>
      </w:hyperlink>
      <w:r>
        <w:t xml:space="preserve">, calculating the sea surface temperatures at any latitude with the parameter estimates of each iteration from the posterior. The median and 95% CI of temperatures where then taken from all temperature estimates obtained at the latitudes of interest.</w:t>
      </w:r>
    </w:p>
    <w:p>
      <w:pPr>
        <w:pStyle w:val="BodyText"/>
      </w:pPr>
      <w:r>
        <w:t xml:space="preserve">The latitudinal gradient is calculated as the difference between the modelled temperature at the equator (0° latitude) and at the poles (90° absolute latitude). To facilitate comparison with earlier estimates, we also calculate the gradient with the temperature at the polar circle (66.6° absolute latitude) being used instead of the temperature at the poles. Given the sigmoidal shape of the modern as well as the Eocene gradient (see Fig. 4), these results are broadly comparable to a gradient inferred from the zonal average of equatorial and high-latitude temperatures, as has been done in some earlier studies</w:t>
      </w:r>
      <w:r>
        <w:t xml:space="preserve"> </w:t>
      </w:r>
      <w:r>
        <w:t xml:space="preserve">(Evans et al., 2018)</w:t>
      </w:r>
      <w:r>
        <w:t xml:space="preserve">.</w:t>
      </w:r>
    </w:p>
    <w:p>
      <w:pPr>
        <w:pStyle w:val="BodyText"/>
      </w:pPr>
      <w:r>
        <w:t xml:space="preserve">Differences between Eocene and modern temperatures at a certain latitude were calculated by randomly pairing all iterations of the posterior from the Eocene and modern temperature gradient model, calculating the Eocene and modern temperature using the respective iterations, taking the difference, and then calculating the median (95% CI) from all pairs of iterations.</w:t>
      </w:r>
    </w:p>
    <w:p>
      <w:pPr>
        <w:pStyle w:val="BodyText"/>
      </w:pPr>
      <w:r>
        <w:t xml:space="preserve">Global average temperatures with 95% credible intervals were calculated by taking the weighted mean of the median (95% CI) of temperature estimates in 1° latitudinal bins. The weights were set to the proportion of global surface area in each latitudinal bin, i.e. decreasing with increasing latitude as:</w:t>
      </w:r>
    </w:p>
    <w:p>
      <w:pPr>
        <w:pStyle w:val="BodyText"/>
      </w:pPr>
      <w:bookmarkStart w:id="43" w:name="eq-weights"/>
      <m:oMathPara>
        <m:oMathParaPr>
          <m:jc m:val="center"/>
        </m:oMathParaPr>
        <m:oMath>
          <m:r>
            <m:t>w</m:t>
          </m:r>
          <m:r>
            <m:t>e</m:t>
          </m:r>
          <m:r>
            <m:t>i</m:t>
          </m:r>
          <m:r>
            <m:t>g</m:t>
          </m:r>
          <m:r>
            <m:t>h</m:t>
          </m:r>
          <m:r>
            <m:t>t</m:t>
          </m:r>
          <m:r>
            <m:t>s</m:t>
          </m:r>
          <m:r>
            <m:rPr>
              <m:sty m:val="p"/>
            </m:rPr>
            <m:t>=</m:t>
          </m:r>
          <m:r>
            <m:t>s</m:t>
          </m:r>
          <m:r>
            <m:t>i</m:t>
          </m:r>
          <m:r>
            <m:t>n</m:t>
          </m:r>
          <m:d>
            <m:dPr>
              <m:begChr m:val="("/>
              <m:endChr m:val=")"/>
              <m:sepChr m:val=""/>
              <m:grow/>
            </m:dPr>
            <m:e>
              <m:sSub>
                <m:e>
                  <m:r>
                    <m:t>α</m:t>
                  </m:r>
                </m:e>
                <m:sub>
                  <m:r>
                    <m:t>1</m:t>
                  </m:r>
                  <m:r>
                    <m:rPr>
                      <m:sty m:val="p"/>
                    </m:rPr>
                    <m:t>,</m:t>
                  </m:r>
                  <m:r>
                    <m:t>i</m:t>
                  </m:r>
                </m:sub>
              </m:sSub>
            </m:e>
          </m:d>
          <m:r>
            <m:rPr>
              <m:sty m:val="p"/>
            </m:rPr>
            <m:t>−</m:t>
          </m:r>
          <m:r>
            <m:t>s</m:t>
          </m:r>
          <m:r>
            <m:t>i</m:t>
          </m:r>
          <m:r>
            <m:t>n</m:t>
          </m:r>
          <m:d>
            <m:dPr>
              <m:begChr m:val="("/>
              <m:endChr m:val=")"/>
              <m:sepChr m:val=""/>
              <m:grow/>
            </m:dPr>
            <m:e>
              <m:sSub>
                <m:e>
                  <m:r>
                    <m:t>α</m:t>
                  </m:r>
                </m:e>
                <m:sub>
                  <m:r>
                    <m:t>2</m:t>
                  </m:r>
                  <m:r>
                    <m:rPr>
                      <m:sty m:val="p"/>
                    </m:rPr>
                    <m:t>,</m:t>
                  </m:r>
                  <m:r>
                    <m:t>i</m:t>
                  </m:r>
                </m:sub>
              </m:sSub>
            </m:e>
          </m:d>
          <m:r>
            <m:rPr>
              <m:sty m:val="p"/>
            </m:rPr>
            <m:t>,</m:t>
          </m:r>
          <m:r>
            <m:t>  </m:t>
          </m:r>
          <m:d>
            <m:dPr>
              <m:begChr m:val="("/>
              <m:endChr m:val=")"/>
              <m:sepChr m:val=""/>
              <m:grow/>
            </m:dPr>
            <m:e>
              <m:r>
                <m:t>11</m:t>
              </m:r>
            </m:e>
          </m:d>
        </m:oMath>
      </m:oMathPara>
      <w:bookmarkEnd w:id="43"/>
    </w:p>
    <w:p>
      <w:pPr>
        <w:pStyle w:val="FirstParagraph"/>
      </w:pPr>
      <w:r>
        <w:t xml:space="preserve">where</w:t>
      </w:r>
      <w:r>
        <w:t xml:space="preserve"> </w:t>
      </w:r>
      <m:oMath>
        <m:sSub>
          <m:e>
            <m:r>
              <m:t>α</m:t>
            </m:r>
          </m:e>
          <m:sub>
            <m:r>
              <m:t>1</m:t>
            </m:r>
          </m:sub>
        </m:sSub>
      </m:oMath>
      <w:r>
        <w:t xml:space="preserve"> </w:t>
      </w:r>
      <w:r>
        <w:t xml:space="preserve">is the upper, and</w:t>
      </w:r>
      <w:r>
        <w:t xml:space="preserve"> </w:t>
      </w:r>
      <m:oMath>
        <m:sSub>
          <m:e>
            <m:r>
              <m:t>α</m:t>
            </m:r>
          </m:e>
          <m:sub>
            <m:r>
              <m:t>2</m:t>
            </m:r>
          </m:sub>
        </m:sSub>
      </m:oMath>
      <w:r>
        <w:t xml:space="preserve"> </w:t>
      </w:r>
      <w:r>
        <w:t xml:space="preserve">is the lower latitudinal boundary of bin</w:t>
      </w:r>
      <w:r>
        <w:t xml:space="preserve"> </w:t>
      </w:r>
      <m:oMath>
        <m:r>
          <m:t>i</m:t>
        </m:r>
      </m:oMath>
      <w:r>
        <w:t xml:space="preserve">, i.e. we approximated the shape of the globe as a spheroid.</w:t>
      </w:r>
    </w:p>
    <w:bookmarkEnd w:id="44"/>
    <w:bookmarkEnd w:id="45"/>
    <w:bookmarkStart w:id="60" w:name="results"/>
    <w:p>
      <w:pPr>
        <w:pStyle w:val="Heading1"/>
      </w:pPr>
      <w:r>
        <w:t xml:space="preserve">Results</w:t>
      </w:r>
    </w:p>
    <w:bookmarkStart w:id="54" w:name="model-validation-1"/>
    <w:p>
      <w:pPr>
        <w:pStyle w:val="Heading2"/>
      </w:pPr>
      <w:r>
        <w:t xml:space="preserve">Model validation</w:t>
      </w:r>
    </w:p>
    <w:tbl>
      <w:tblPr>
        <w:tblStyle w:val="Table"/>
        <w:tblW w:type="pct" w:w="5000"/>
        <w:tblLook w:firstRow="0" w:lastRow="0" w:firstColumn="0" w:lastColumn="0" w:noHBand="0" w:noVBand="0" w:val="0000"/>
      </w:tblPr>
      <w:tblGrid>
        <w:gridCol w:w="7920"/>
      </w:tblGrid>
      <w:tr>
        <w:tc>
          <w:tcPr/>
          <w:bookmarkStart w:id="49" w:name="fig-2"/>
          <w:p>
            <w:pPr>
              <w:jc w:val="center"/>
            </w:pPr>
            <w:r>
              <w:drawing>
                <wp:inline>
                  <wp:extent cx="5399999" cy="5399999"/>
                  <wp:effectExtent b="0" l="0" r="0" t="0"/>
                  <wp:docPr descr="" title="" id="47" name="Picture"/>
                  <a:graphic>
                    <a:graphicData uri="http://schemas.openxmlformats.org/drawingml/2006/picture">
                      <pic:pic>
                        <pic:nvPicPr>
                          <pic:cNvPr descr="../figures/fig_2.png" id="48" name="Picture"/>
                          <pic:cNvPicPr>
                            <a:picLocks noChangeArrowheads="1" noChangeAspect="1"/>
                          </pic:cNvPicPr>
                        </pic:nvPicPr>
                        <pic:blipFill>
                          <a:blip r:embed="rId46"/>
                          <a:stretch>
                            <a:fillRect/>
                          </a:stretch>
                        </pic:blipFill>
                        <pic:spPr bwMode="auto">
                          <a:xfrm>
                            <a:off x="0" y="0"/>
                            <a:ext cx="5399999" cy="539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Model reconstructions of simulated latitudinal temperature gradients at various sample sizes. Each column depicts a different reconstruction for given sample sizes: 5, 10, 20, and 34 (latitudes of EECO samples). Each row depicts a different simulated latitudinal temperature gradient that represents idealised climatic states: extreme icehouse, icehouse, greenhouse, and extreme greenhouse. The black line illustrates the simulated gradient. The blue line depicts the reconstructed gradient represented by the median sea surface temperature value estimated from 1,000 model runs with different random samples (first three columns), and a single run with the EECO latitudinal sampling distribution (fourth column). The blue shadings depict the 90%, 95%, and 99% credible intervals. Bold black text within each panel depicts the coefficient of determination (</w:t>
            </w:r>
            <m:oMath>
              <m:sSup>
                <m:e>
                  <m:r>
                    <m:t>R</m:t>
                  </m:r>
                </m:e>
                <m:sup>
                  <m:r>
                    <m:t>2</m:t>
                  </m:r>
                </m:sup>
              </m:sSup>
            </m:oMath>
            <w:r>
              <w:t xml:space="preserve">) for estimating goodness of fit between the simulated and modelled gradient. The median (50%)</w:t>
            </w:r>
            <w:r>
              <w:t xml:space="preserve"> </w:t>
            </w:r>
            <m:oMath>
              <m:sSup>
                <m:e>
                  <m:r>
                    <m:t>R</m:t>
                  </m:r>
                </m:e>
                <m:sup>
                  <m:r>
                    <m:t>2</m:t>
                  </m:r>
                </m:sup>
              </m:sSup>
            </m:oMath>
            <w:r>
              <w:t xml:space="preserve"> </w:t>
            </w:r>
            <w:r>
              <w:t xml:space="preserve">value along with the 95% credible intervals from all model runs are shown. Each gradient is depicted in absolute latitude.</w:t>
            </w:r>
          </w:p>
          <w:bookmarkEnd w:id="49"/>
        </w:tc>
      </w:tr>
    </w:tbl>
    <w:p/>
    <w:tbl>
      <w:tblPr>
        <w:tblStyle w:val="Table"/>
        <w:tblW w:type="pct" w:w="5000"/>
        <w:tblLook w:firstRow="0" w:lastRow="0" w:firstColumn="0" w:lastColumn="0" w:noHBand="0" w:noVBand="0" w:val="0000"/>
      </w:tblPr>
      <w:tblGrid>
        <w:gridCol w:w="7920"/>
      </w:tblGrid>
      <w:tr>
        <w:tc>
          <w:tcPr/>
          <w:bookmarkStart w:id="53" w:name="fig-3"/>
          <w:p>
            <w:pPr>
              <w:jc w:val="center"/>
            </w:pPr>
            <w:r>
              <w:drawing>
                <wp:inline>
                  <wp:extent cx="3599999" cy="3599999"/>
                  <wp:effectExtent b="0" l="0" r="0" t="0"/>
                  <wp:docPr descr="" title="" id="51" name="Picture"/>
                  <a:graphic>
                    <a:graphicData uri="http://schemas.openxmlformats.org/drawingml/2006/picture">
                      <pic:pic>
                        <pic:nvPicPr>
                          <pic:cNvPr descr="../figures/fig_3.png" id="52" name="Picture"/>
                          <pic:cNvPicPr>
                            <a:picLocks noChangeArrowheads="1" noChangeAspect="1"/>
                          </pic:cNvPicPr>
                        </pic:nvPicPr>
                        <pic:blipFill>
                          <a:blip r:embed="rId50"/>
                          <a:stretch>
                            <a:fillRect/>
                          </a:stretch>
                        </pic:blipFill>
                        <pic:spPr bwMode="auto">
                          <a:xfrm>
                            <a:off x="0" y="0"/>
                            <a:ext cx="3599999" cy="359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Present-day latitudinal temperature gradient. The present-day empirical latitudinal temperature gradient (median sea surface temperature) is depicted as a black line, and the gradient estimated by the Bayesian model is shown in turquoise. Grey points depict the individual cell values of the Bio-ORACLE grid of mean sea surface temperatures, which were used to infer the empirical and the modelled gradient.</w:t>
            </w:r>
          </w:p>
          <w:bookmarkEnd w:id="53"/>
        </w:tc>
      </w:tr>
    </w:tbl>
    <w:p>
      <w:pPr>
        <w:pStyle w:val="BodyText"/>
      </w:pPr>
      <w:r>
        <w:t xml:space="preserve">Our Bayesian model is able to accurately model a range of idealised temperature gradients, ranging from extreme icehouse to</w:t>
      </w:r>
      <w:r>
        <w:t xml:space="preserve"> </w:t>
      </w:r>
      <w:r>
        <w:t xml:space="preserve">‘</w:t>
      </w:r>
      <w:r>
        <w:t xml:space="preserve">super greenhouse</w:t>
      </w:r>
      <w:r>
        <w:t xml:space="preserve">’</w:t>
      </w:r>
      <w:r>
        <w:t xml:space="preserve"> </w:t>
      </w:r>
      <w:r>
        <w:t xml:space="preserve">scenarios (Fig. 2). Random latitudinal sampling results in highly accurate reconstructions at a sample sizes as low as 10 for the icehouse scenarios (95 % CI of</w:t>
      </w:r>
      <w:r>
        <w:t xml:space="preserve"> </w:t>
      </w:r>
      <m:oMath>
        <m:sSup>
          <m:e>
            <m:r>
              <m:t>R</m:t>
            </m:r>
          </m:e>
          <m:sup>
            <m:r>
              <m:t>2</m:t>
            </m:r>
          </m:sup>
        </m:sSup>
      </m:oMath>
      <w:r>
        <w:t xml:space="preserve"> </w:t>
      </w:r>
      <w:r>
        <w:t xml:space="preserve">&gt; 0.9). Greenhouse scenarios require additional samples to accurately predict high-latitude temperatures. This is because in the absence of high-latitude samples, the modelled gradient is heavily influenced by the priors, which we based on the modern, the only empirically known latitudinal temperature gradient. A sampling distribution resembling that of the early Eocene data set used in this study allows for a highly accurate reconstruction of even the extreme greenhouse scenario (95 % CI of</w:t>
      </w:r>
      <w:r>
        <w:t xml:space="preserve"> </w:t>
      </w:r>
      <m:oMath>
        <m:sSup>
          <m:e>
            <m:r>
              <m:t>R</m:t>
            </m:r>
          </m:e>
          <m:sup>
            <m:r>
              <m:t>2</m:t>
            </m:r>
          </m:sup>
        </m:sSup>
      </m:oMath>
      <w:r>
        <w:t xml:space="preserve"> </w:t>
      </w:r>
      <w:r>
        <w:t xml:space="preserve">&gt; 0.95).</w:t>
      </w:r>
    </w:p>
    <w:p>
      <w:pPr>
        <w:pStyle w:val="BodyText"/>
      </w:pPr>
      <w:r>
        <w:t xml:space="preserve">The average, modern temperature gradient can be closely approximated with our model when using the full modern SST dataset (Fig. 3); almost all of the variation in the empirical median temperatures in bins of 1° absolute latitude is explained by the modelled gradient (</w:t>
      </w:r>
      <m:oMath>
        <m:sSup>
          <m:e>
            <m:r>
              <m:t>R</m:t>
            </m:r>
          </m:e>
          <m:sup>
            <m:r>
              <m:t>2</m:t>
            </m:r>
          </m:sup>
        </m:sSup>
        <m:r>
          <m:rPr>
            <m:sty m:val="p"/>
          </m:rPr>
          <m:t>=</m:t>
        </m:r>
        <m:r>
          <m:t>0.997</m:t>
        </m:r>
      </m:oMath>
      <w:r>
        <w:t xml:space="preserve">). The empirical gradient spans 29.3°C from the equator to the poles, the modelled gradient is only slightly higher at 29.6°C. The modern, global mean temperature (GMST) based on our modelled, median gradient is 17.6°C, very similar to the GMST derived from the empirical median gradient (17.5°C).</w:t>
      </w:r>
    </w:p>
    <w:bookmarkEnd w:id="54"/>
    <w:bookmarkStart w:id="59" w:name="eeco-reconstruction"/>
    <w:p>
      <w:pPr>
        <w:pStyle w:val="Heading2"/>
      </w:pPr>
      <w:r>
        <w:t xml:space="preserve">EECO reconstruction</w:t>
      </w:r>
    </w:p>
    <w:p>
      <w:pPr>
        <w:pStyle w:val="FirstParagraph"/>
      </w:pPr>
      <w:r>
        <w:t xml:space="preserve">The modelled Eocene temperature gradient is starkly different from the modern (Fig 4). Modelled, median equatorial temperatures are 4.2 (95% CI: 0.2 – 8.3)°C higher for the EECO, and polar temperatures are 25.0 (17.0 – 29.1)°C higher. This results in a flattened latitudinal temperature gradient of 9.0 ( 2.5 – 17.8)°C for the EECO, as opposed to 29.6°C for the modern. To facilitate the comparison with latitudinal gradients reported in the literature, which sometimes do not report temperatures at very high latitudes, we report also the EECO gradient between the equator and the modern-day polar circle (66.6°), which is slightly lower at 7.8 ( 2.2 – 13.7)°C.</w:t>
      </w:r>
    </w:p>
    <w:p>
      <w:pPr>
        <w:pStyle w:val="BodyText"/>
      </w:pPr>
      <w:r>
        <w:t xml:space="preserve">The high variability of EECO palaeotemperature proxies, particularly in the mid-latitudes, and the scarcity of high-latitude data, result in substantial uncertainties in the modelled temperature gradient. This is reflected in the residual standard deviation (</w:t>
      </w:r>
      <m:oMath>
        <m:r>
          <m:t>σ</m:t>
        </m:r>
      </m:oMath>
      <w:r>
        <w:t xml:space="preserve">) of the EECO gradient – 4.9 (3.8 – 6.5)°C – which is more than double the</w:t>
      </w:r>
      <w:r>
        <w:t xml:space="preserve"> </w:t>
      </w:r>
      <m:oMath>
        <m:r>
          <m:t>σ</m:t>
        </m:r>
      </m:oMath>
      <w:r>
        <w:t xml:space="preserve"> </w:t>
      </w:r>
      <w:r>
        <w:t xml:space="preserve">for the modern gradient, 2.2. This signifies that the early Eocene data does not fit as well to the logistic latitudinal gradient model, which can also be seen from the drastic departure of some of the proxy data from the gradient estimates (Fig. 4).</w:t>
      </w:r>
    </w:p>
    <w:p>
      <w:pPr>
        <w:pStyle w:val="BodyText"/>
      </w:pPr>
      <w:r>
        <w:t xml:space="preserve">The early Eocene GMST is estimated at 28.7 (26.7 – 30.7)°C, 11.1°C higher than the modern. A model run excluding the ecological proxies increases the GMST by 1.6 (-1.8 – 4.8)°C. The median latitudinal gradient is similar when excluding the ecological proxies, with a median of 9.2°C, but with a 20% wider 95% CI (Fig. S2). This indicates that the ecological proxy data are broadly in agreement with the geochemical proxies, while providing additional constraints on the shape of the early Eocene temperature gradient.</w:t>
      </w:r>
    </w:p>
    <w:p>
      <w:pPr>
        <w:pStyle w:val="BodyText"/>
      </w:pPr>
      <w:r>
        <w:t xml:space="preserve">Due to the limited spatial coverage of the early Eocene proxy record, and due to the added model complexity of simultaneously estimating a model across both hemispheres, we pooled the proxy data across both hemispheres. Applying the model separately within each hemisphere results in substantial differences in hemispherical, average temperatures, with the Southern Hemisphere being warmer by 6.5 (3.5 – 9.4)°C. The inferred latitudinal gradient is somewhat steeper in the Northern Hemisphere (steeper by 4.8°C, although the 95% CI spans -6.6 – 14.3°C), but the large uncertainties associated with both gradients, and the lack of polar proxy data in the Southern Hemisphere preclude a more precise statement (see Fig. S3).</w:t>
      </w:r>
    </w:p>
    <w:tbl>
      <w:tblPr>
        <w:tblStyle w:val="Table"/>
        <w:tblW w:type="pct" w:w="5000"/>
        <w:tblLook w:firstRow="0" w:lastRow="0" w:firstColumn="0" w:lastColumn="0" w:noHBand="0" w:noVBand="0" w:val="0000"/>
      </w:tblPr>
      <w:tblGrid>
        <w:gridCol w:w="7920"/>
      </w:tblGrid>
      <w:tr>
        <w:tc>
          <w:tcPr/>
          <w:bookmarkStart w:id="58" w:name="fig-4"/>
          <w:p>
            <w:pPr>
              <w:jc w:val="center"/>
            </w:pPr>
            <w:r>
              <w:drawing>
                <wp:inline>
                  <wp:extent cx="3599999" cy="3599999"/>
                  <wp:effectExtent b="0" l="0" r="0" t="0"/>
                  <wp:docPr descr="" title="" id="56" name="Picture"/>
                  <a:graphic>
                    <a:graphicData uri="http://schemas.openxmlformats.org/drawingml/2006/picture">
                      <pic:pic>
                        <pic:nvPicPr>
                          <pic:cNvPr descr="../figures/fig_4.png" id="57" name="Picture"/>
                          <pic:cNvPicPr>
                            <a:picLocks noChangeArrowheads="1" noChangeAspect="1"/>
                          </pic:cNvPicPr>
                        </pic:nvPicPr>
                        <pic:blipFill>
                          <a:blip r:embed="rId55"/>
                          <a:stretch>
                            <a:fillRect/>
                          </a:stretch>
                        </pic:blipFill>
                        <pic:spPr bwMode="auto">
                          <a:xfrm>
                            <a:off x="0" y="0"/>
                            <a:ext cx="3599999" cy="359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Estimates of the median, latitudinal sea surface temperature gradients of the early Eocene climatic optimum (purple line) and of the present-day (turquoise), both estimated with the Bayesian model. The purple ribbon (shading) depict the 95% credible interval of the Eocene gradient, the uncertainty of the modern gradient is too low to be visible. Points within the plot depict the geochemical (e.g. TEX</w:t>
            </w:r>
            <w:r>
              <w:rPr>
                <w:vertAlign w:val="subscript"/>
              </w:rPr>
              <w:t xml:space="preserve">86</w:t>
            </w:r>
            <w:r>
              <w:t xml:space="preserve">) and ecological (e.g. mangroves) data. Geochemical data are plotted by their point estimate temperature value. Ecological data are plotted at the mean temperature values of their respective normal distributions.</w:t>
            </w:r>
          </w:p>
          <w:bookmarkEnd w:id="58"/>
        </w:tc>
      </w:tr>
    </w:tbl>
    <w:bookmarkEnd w:id="59"/>
    <w:bookmarkEnd w:id="60"/>
    <w:bookmarkStart w:id="64" w:name="discussion"/>
    <w:p>
      <w:pPr>
        <w:pStyle w:val="Heading1"/>
      </w:pPr>
      <w:r>
        <w:t xml:space="preserve">Discussion</w:t>
      </w:r>
    </w:p>
    <w:bookmarkStart w:id="61" w:name="X87850c7f8078d5a53b5c68844c4020d552a98a4"/>
    <w:p>
      <w:pPr>
        <w:pStyle w:val="Heading2"/>
      </w:pPr>
      <w:r>
        <w:t xml:space="preserve">Improved estimation of latitudinal and global palaeotemperatures</w:t>
      </w:r>
    </w:p>
    <w:p>
      <w:pPr>
        <w:pStyle w:val="FirstParagraph"/>
      </w:pPr>
      <w:r>
        <w:t xml:space="preserve">Our results show that our Bayesian model can be used to reconstruct different types of latitudinal SST gradients from proxy data, even with small sample sizes (</w:t>
      </w:r>
      <w:r>
        <w:rPr>
          <w:iCs/>
          <w:i/>
        </w:rPr>
        <w:t xml:space="preserve">n</w:t>
      </w:r>
      <w:r>
        <w:t xml:space="preserve"> </w:t>
      </w:r>
      <w:r>
        <w:t xml:space="preserve">= 10 – 20) and patchy sampling distributions (Fig. 2). This is an advancement over previously used linear, quadratic or Gaussian approximations</w:t>
      </w:r>
      <w:r>
        <w:t xml:space="preserve"> </w:t>
      </w:r>
      <w:r>
        <w:t xml:space="preserve">(e.g. Bijl et al., 2009; Tierney et al., 2017)</w:t>
      </w:r>
      <w:r>
        <w:t xml:space="preserve">, which can fit only specific types of gradients. As such, our model presents an alternative to non-parametric methods for inferring latitudinal temperature gradients, which are sometimes favoured as they can flexibly follow the shape of an unknown temperature gradient</w:t>
      </w:r>
      <w:r>
        <w:t xml:space="preserve"> </w:t>
      </w:r>
      <w:r>
        <w:t xml:space="preserve">(e.g. Zhang et al., 2019; Jones and Eichenseer, 2022)</w:t>
      </w:r>
      <w:r>
        <w:t xml:space="preserve">. However, when used for interpolation or prediction outside the proxy range, non-parametric methods such as Gaussian process regression strictly respond to the data</w:t>
      </w:r>
      <w:r>
        <w:t xml:space="preserve"> </w:t>
      </w:r>
      <w:r>
        <w:t xml:space="preserve">(e.g. Inglis et al., 2020)</w:t>
      </w:r>
      <w:r>
        <w:t xml:space="preserve">. This means that the idiosyncrasies of a patchy proxy record, potentially afflicted with measurement errors, calibration errors, and palaeogeographic and temporal uncertainty, dictate the reconstruction of large-scale climate patterns, without the option of including additional knowledge (e.g. that latitudinal temperature gradients should be broadly negative).</w:t>
      </w:r>
    </w:p>
    <w:p>
      <w:pPr>
        <w:pStyle w:val="BodyText"/>
      </w:pPr>
      <w:r>
        <w:t xml:space="preserve">In contrast, our Bayesian, parametric model allows for the inclusion of informative priors on the model parameters. The modelled sea surface temperature gradient thus does not strictly follow the proxy data, but instead represents a compromise between the data and prior knowledge. In the EECO example (Fig. 4), the inclusion of informative priors improves the prediction of sea surface temperatures in the unsampled, very high latitudes: Notice that the upper limit of the credible interval does not increase beyond the range of the data, whereas unconstrained approaches such as splines, Gaussian processes or even standard linear regression could lead to unrealistically high upper bounds in this case</w:t>
      </w:r>
      <w:r>
        <w:t xml:space="preserve"> </w:t>
      </w:r>
      <w:r>
        <w:t xml:space="preserve">(see Rasmussen and Williams, 2004)</w:t>
      </w:r>
      <w:r>
        <w:t xml:space="preserve">. Prior information on the shape of latitudinal temperature gradients on Earth exists for all geological time periods. For example, the greater amount of solar radiation per unit area in low latitudes causes Earth’s latitudinal temperature gradient to be broadly negative</w:t>
      </w:r>
      <w:r>
        <w:t xml:space="preserve"> </w:t>
      </w:r>
      <w:r>
        <w:t xml:space="preserve">(Beer et al., 2008)</w:t>
      </w:r>
      <w:r>
        <w:t xml:space="preserve">. The ease with which such prior information can be integrated is a major advantage of our method, as the shape of the modelled gradient is controlled by four parameters which clearly relate to its magnitude, steepness and the latitude of its greatest steepness.</w:t>
      </w:r>
    </w:p>
    <w:p>
      <w:pPr>
        <w:pStyle w:val="BodyText"/>
      </w:pPr>
      <w:r>
        <w:t xml:space="preserve">Palaeoclimate reconstructions are often summarised as global mean surface temperatures (GMST), providing a standardised metric for characterising the state of the Earth’s climate</w:t>
      </w:r>
      <w:r>
        <w:t xml:space="preserve"> </w:t>
      </w:r>
      <w:r>
        <w:t xml:space="preserve">(Royer et al., 2004; Inglis et al., 2020)</w:t>
      </w:r>
      <w:r>
        <w:t xml:space="preserve">. The calculation of global mean surface temperatures directly from sparse proxy data is susceptible to bias</w:t>
      </w:r>
      <w:r>
        <w:t xml:space="preserve"> </w:t>
      </w:r>
      <w:r>
        <w:t xml:space="preserve">(Jones and Eichenseer, 2022)</w:t>
      </w:r>
      <w:r>
        <w:t xml:space="preserve">. By modelling the temperature variation across latitudes, a complete temperature distribution along a latitudinal axis can be obtained, filling in gaps in the proxy record through inter- or extrapolation. This eliminates the common problem that specific climate zones dominate the proxy record. Reconstructing the GMST directly from the proxies would lead to an estimate biased towards the well-sampled latitudes. Calculating zonal averages alleviates this problem, but this method relies on comprehensive latitudinal coverage</w:t>
      </w:r>
      <w:r>
        <w:t xml:space="preserve"> </w:t>
      </w:r>
      <w:r>
        <w:t xml:space="preserve">(Inglis et al., 2020)</w:t>
      </w:r>
      <w:r>
        <w:t xml:space="preserve">. Instead, our method allows for intersecting the modelled temperature gradient at narrow latitudinal intervals, even when significant latitudinal gaps exist. Weighting the temperatures of those latitudinal intervals by area results in GMST estimates without intrinsic spatial biases. We anticipate that this improved method may significantly alter Phanerozoic, proxy-based temperature curves, which have often been directly calculated from the proxy record</w:t>
      </w:r>
      <w:r>
        <w:t xml:space="preserve"> </w:t>
      </w:r>
      <w:r>
        <w:t xml:space="preserve">(Royer et al., 2004; Veizer and Prokoph, 2015)</w:t>
      </w:r>
      <w:r>
        <w:t xml:space="preserve">. This is particularly relevant for the early Mesozoic and older intervals, for which the spatial coverage is generally poor due to the absence of data from ocean drilling sites</w:t>
      </w:r>
      <w:r>
        <w:t xml:space="preserve"> </w:t>
      </w:r>
      <w:r>
        <w:t xml:space="preserve">(Jones and Eichenseer, 2022)</w:t>
      </w:r>
      <w:r>
        <w:t xml:space="preserve">.</w:t>
      </w:r>
    </w:p>
    <w:bookmarkEnd w:id="61"/>
    <w:bookmarkStart w:id="62" w:name="X5a54750ecad2257f8660f5dae0df6c44377d73b"/>
    <w:p>
      <w:pPr>
        <w:pStyle w:val="Heading2"/>
      </w:pPr>
      <w:r>
        <w:t xml:space="preserve">The role of ecological constraints in palaeoclimate reconstructions</w:t>
      </w:r>
    </w:p>
    <w:p>
      <w:pPr>
        <w:pStyle w:val="FirstParagraph"/>
      </w:pPr>
      <w:r>
        <w:t xml:space="preserve">Our results further exemplify how incorporating quantified ecological temperature constraints can provide more precise temperature reconstructions than geochemical proxies alone, adding to the advances in palaeoclimate reconstructions achieved by integrating lithological data</w:t>
      </w:r>
      <w:r>
        <w:t xml:space="preserve"> </w:t>
      </w:r>
      <w:r>
        <w:t xml:space="preserve">(Scotese et al., 2021; Burgener et al., 2023)</w:t>
      </w:r>
      <w:r>
        <w:t xml:space="preserve">. Combining the occurrences of climate-sensitive plant communities</w:t>
      </w:r>
      <w:r>
        <w:t xml:space="preserve"> </w:t>
      </w:r>
      <w:r>
        <w:t xml:space="preserve">(Greenwood and Wing, 1995)</w:t>
      </w:r>
      <w:r>
        <w:t xml:space="preserve">, reptiles</w:t>
      </w:r>
      <w:r>
        <w:t xml:space="preserve"> </w:t>
      </w:r>
      <w:r>
        <w:t xml:space="preserve">(Markwick, 2007)</w:t>
      </w:r>
      <w:r>
        <w:t xml:space="preserve">, leaf shapes</w:t>
      </w:r>
      <w:r>
        <w:t xml:space="preserve"> </w:t>
      </w:r>
      <w:r>
        <w:t xml:space="preserve">(Peppe et al., 2011)</w:t>
      </w:r>
      <w:r>
        <w:t xml:space="preserve">, with geochemical proxies offers substantial potential for improving quantitative palaeoclimate reconstructions across the Phanerozoic. Our modelling framework offers a straightforward, efficient way of integrating ecological climate data with other proxy data: The hierarchical model structure accounts for variation of temperature estimates from proxies at individual localities, which is treated equivalent to the uncertainty associated with the ecological temperature proxies. A local temperature estimate, based on multiple geochemical proxies, thus has the same weight as a local temperature estimate obtained from the occurrence of a climate-sensitive plant community, whilst preserving the uncertainty associated with each estimate. The model could easily be extended to include uncertainties on individual geochemical proxy data, or to variably weight proxy records classified as more or less reliable.</w:t>
      </w:r>
    </w:p>
    <w:p>
      <w:pPr>
        <w:pStyle w:val="BodyText"/>
      </w:pPr>
      <w:r>
        <w:t xml:space="preserve">Our approach for deriving fully quantitative climate reconstructions from ecological data is borrowed from nearest living relative methods, commonly employed in terrestrial, Cenozoic climate reconstructions</w:t>
      </w:r>
      <w:r>
        <w:t xml:space="preserve"> </w:t>
      </w:r>
      <w:r>
        <w:t xml:space="preserve">(Fauquette et al., 2007; Pross et al., 2012)</w:t>
      </w:r>
      <w:r>
        <w:t xml:space="preserve">. One major limitation to these methods is that the thermal preferences of taxa may have changed over time. More significantly, in the early Eocene, sea surface temperatures may have reached heights unknown in the modern world, and nearest living relative methods based on the modern are inherently unable to predict such elevated temperatures. This is especially true for taxa that inhabit the warmest part of the ocean today, e.g. coral reefs</w:t>
      </w:r>
      <w:r>
        <w:t xml:space="preserve"> </w:t>
      </w:r>
      <w:r>
        <w:t xml:space="preserve">(Kleypas et al., 1999)</w:t>
      </w:r>
      <w:r>
        <w:t xml:space="preserve">. Although coral reefs are threatened by warming sea surface temperatures today</w:t>
      </w:r>
      <w:r>
        <w:t xml:space="preserve"> </w:t>
      </w:r>
      <w:r>
        <w:t xml:space="preserve">(Hoegh-Guldberg, 2011)</w:t>
      </w:r>
      <w:r>
        <w:t xml:space="preserve">, it is conceivable that Eocene reef corals were adapted to a warmer climate. The fossil record indicates that reef development may have been stunted in the early Eocene, with few early Eocene coral reefs occurring in low latitudes</w:t>
      </w:r>
      <w:r>
        <w:t xml:space="preserve"> </w:t>
      </w:r>
      <w:r>
        <w:t xml:space="preserve">(Zamagni et al., 2012)</w:t>
      </w:r>
      <w:r>
        <w:t xml:space="preserve">. The absence of coral reefs in higher latitudes in the early Eocene could be due to requirements in irradiance, rather than temperature</w:t>
      </w:r>
      <w:r>
        <w:t xml:space="preserve"> </w:t>
      </w:r>
      <w:r>
        <w:t xml:space="preserve">(Muir et al., 2015)</w:t>
      </w:r>
      <w:r>
        <w:t xml:space="preserve">. Tropical temperatures predicted by the geochemical proxy record indicate hotter-than-modern tropical temperatures for the early Eocene (Fig. S2), suggesting that the modern climate range of coral reefs may underestimate the early Eocene thermal niche for coral reefs. We have tried to account for that possibility by widening the temperature probability distribution for coral reefs, but the predicted temperatures for the reef and mangrove sites still lie below the temperatures indicated by the geochemical proxy record (Fig. 4, Fig. S2).</w:t>
      </w:r>
    </w:p>
    <w:bookmarkEnd w:id="62"/>
    <w:bookmarkStart w:id="63" w:name="early-eocene-climate"/>
    <w:p>
      <w:pPr>
        <w:pStyle w:val="Heading2"/>
      </w:pPr>
      <w:r>
        <w:t xml:space="preserve">Early Eocene climate</w:t>
      </w:r>
    </w:p>
    <w:p>
      <w:pPr>
        <w:pStyle w:val="FirstParagraph"/>
      </w:pPr>
      <w:r>
        <w:t xml:space="preserve">The geochemical proxy record and ecological data indicate that the latitudinal SST gradient of the early Eocene climatic optimum was significantly shallower than the modern</w:t>
      </w:r>
      <w:r>
        <w:t xml:space="preserve"> </w:t>
      </w:r>
      <w:r>
        <w:t xml:space="preserve">(Huber and Caballero, 2011)</w:t>
      </w:r>
      <w:r>
        <w:t xml:space="preserve">, but beyond that, there is little agreement. Earlier, reconstructed early Eocene and EECO SST gradients range from 7 – 21°C (Table 1); a more recent reconstruction that includes terrestrial air and sea surface temperatures arrives at a gradient of ~13°C</w:t>
      </w:r>
      <w:r>
        <w:t xml:space="preserve"> </w:t>
      </w:r>
      <w:r>
        <w:t xml:space="preserve">(Inglis et al., 2020)</w:t>
      </w:r>
      <w:r>
        <w:t xml:space="preserve">. Our polar circle to equatorial gradient estimate is lower than most previous estimates at 7.8°C, although the 95% credible interval extends up to 13.7°C and thus overlaps earlier estimates based on shallow water proxies. The confirmation of a very flat gradient by both geochemical and ecological shallow water data indicates that inferred SST gradients based on tropical, shallow water and deep water samples</w:t>
      </w:r>
      <w:r>
        <w:t xml:space="preserve"> </w:t>
      </w:r>
      <w:r>
        <w:t xml:space="preserve">(Cramwinckel et al., 2018; Evans et al., 2018)</w:t>
      </w:r>
      <w:r>
        <w:t xml:space="preserve"> </w:t>
      </w:r>
      <w:r>
        <w:t xml:space="preserve">may overestimate the SST gradient of the early Eocene greenhouse world.</w:t>
      </w:r>
    </w:p>
    <w:p>
      <w:pPr>
        <w:pStyle w:val="BodyText"/>
      </w:pPr>
      <w:r>
        <w:t xml:space="preserve">Discrepancies between earlier, proxy-based reconstructions and our modelling results are most pronounced in latitudes beyond the polar circle, as earlier approaches</w:t>
      </w:r>
      <w:r>
        <w:t xml:space="preserve"> </w:t>
      </w:r>
      <w:r>
        <w:t xml:space="preserve">(e.g. Tierney et al., 2017)</w:t>
      </w:r>
      <w:r>
        <w:t xml:space="preserve"> </w:t>
      </w:r>
      <w:r>
        <w:t xml:space="preserve">predict almost linearly decreasing SSTs towards the poles, whereas our median prediction suggests only a slight decrease beyond the polar circle. The scarcity of temperature records in this range leads to widening credible intervals in our prediction, including the possibility of stronger temperature decreases. Polar temperature estimates from our model are thus conservative in that they admit large uncertainty where data is absent, which is desirable. However, the presence of high proxy-derived temperature estimates at ~ 60° latitudes forces the modelled median temperature curve to be too high at ~ 24°C, relative to the temperatures indicated by the high-latitude mangrove communities (15.6 - 22.5°C). In contrast, the extrapolated polar temperatures of most previous proxy-based models are likely too low, given the abundance of ecological data indicating temperate or subtropical high-latitude climates during the EECO</w:t>
      </w:r>
      <w:r>
        <w:t xml:space="preserve"> </w:t>
      </w:r>
      <w:r>
        <w:t xml:space="preserve">(Pross et al., 2012; Popescu et al., 2021)</w:t>
      </w:r>
      <w:r>
        <w:t xml:space="preserve">.</w:t>
      </w:r>
    </w:p>
    <w:p>
      <w:pPr>
        <w:pStyle w:val="BodyText"/>
      </w:pPr>
      <w:r>
        <w:t xml:space="preserve">The very high variability of the proxy record in mid-latitudes results in large uncertainties on the shape of temperature gradient and on the GMST. Biases and errors in the proxy reconstructions likely contribute to the observed variability, as geochemical proxies reflect many other factors besides seawater temperature</w:t>
      </w:r>
      <w:r>
        <w:t xml:space="preserve"> </w:t>
      </w:r>
      <w:r>
        <w:t xml:space="preserve">(Hollis et al., 2019)</w:t>
      </w:r>
      <w:r>
        <w:t xml:space="preserve">. Despite excluding δ</w:t>
      </w:r>
      <w:r>
        <w:rPr>
          <w:vertAlign w:val="superscript"/>
        </w:rPr>
        <w:t xml:space="preserve">18</w:t>
      </w:r>
      <w:r>
        <w:t xml:space="preserve">O measurements from recrystallised fossils, systematic offsets remain between mostly warm temperatures derived from TEX</w:t>
      </w:r>
      <w:r>
        <w:rPr>
          <w:vertAlign w:val="subscript"/>
        </w:rPr>
        <w:t xml:space="preserve">86</w:t>
      </w:r>
      <w:r>
        <w:t xml:space="preserve">, and cooler temperatures derived from δ</w:t>
      </w:r>
      <w:r>
        <w:rPr>
          <w:vertAlign w:val="superscript"/>
        </w:rPr>
        <w:t xml:space="preserve">18</w:t>
      </w:r>
      <w:r>
        <w:t xml:space="preserve">O, Δ</w:t>
      </w:r>
      <w:r>
        <w:rPr>
          <w:vertAlign w:val="subscript"/>
        </w:rPr>
        <w:t xml:space="preserve">47</w:t>
      </w:r>
      <w:r>
        <w:t xml:space="preserve">, and the ecological proxies. Seasonality</w:t>
      </w:r>
      <w:r>
        <w:t xml:space="preserve"> </w:t>
      </w:r>
      <w:r>
        <w:t xml:space="preserve">(Keating-Bitonti et al., 2011)</w:t>
      </w:r>
      <w:r>
        <w:t xml:space="preserve"> </w:t>
      </w:r>
      <w:r>
        <w:t xml:space="preserve">and temporal changes within the EECO</w:t>
      </w:r>
      <w:r>
        <w:t xml:space="preserve"> </w:t>
      </w:r>
      <w:r>
        <w:t xml:space="preserve">(Westerhold et al., 2018)</w:t>
      </w:r>
      <w:r>
        <w:t xml:space="preserve"> </w:t>
      </w:r>
      <w:r>
        <w:t xml:space="preserve">may also contribute to the large variability of the EECO proxy data.</w:t>
      </w:r>
    </w:p>
    <w:p>
      <w:pPr>
        <w:pStyle w:val="BodyText"/>
      </w:pPr>
      <w:r>
        <w:t xml:space="preserve">Recent, marine GMST estimates of the EECO and of the early Eocene range from 23.4 – 37.1°C, with the lowest GMSTs being derived from δ</w:t>
      </w:r>
      <w:r>
        <w:rPr>
          <w:vertAlign w:val="superscript"/>
        </w:rPr>
        <w:t xml:space="preserve">18</w:t>
      </w:r>
      <w:r>
        <w:t xml:space="preserve">O, and the higher estimates including TEX</w:t>
      </w:r>
      <w:r>
        <w:rPr>
          <w:vertAlign w:val="subscript"/>
        </w:rPr>
        <w:t xml:space="preserve">86</w:t>
      </w:r>
      <w:r>
        <w:t xml:space="preserve"> </w:t>
      </w:r>
      <w:r>
        <w:t xml:space="preserve">(Inglis et al., 2020)</w:t>
      </w:r>
      <w:r>
        <w:t xml:space="preserve">. Many studies include both marine and terrestrial proxies to derive GMST estimates, but despite great differences in proxy selection and in the calculation of global average temperatures, many recent estimates fall in the range of 27 - 29.5°C</w:t>
      </w:r>
      <w:r>
        <w:t xml:space="preserve"> </w:t>
      </w:r>
      <w:r>
        <w:t xml:space="preserve">(Hansen et al., 2013; Caballero and Huber, 2013; Cramwinckel et al., 2018; Zhu et al., 2019)</w:t>
      </w:r>
      <w:r>
        <w:t xml:space="preserve">, similar to our median GMST estimate of 28.7°C.</w:t>
      </w:r>
    </w:p>
    <w:bookmarkEnd w:id="63"/>
    <w:bookmarkEnd w:id="64"/>
    <w:bookmarkStart w:id="65" w:name="conclusions"/>
    <w:p>
      <w:pPr>
        <w:pStyle w:val="Heading1"/>
      </w:pPr>
      <w:r>
        <w:t xml:space="preserve">Conclusions</w:t>
      </w:r>
    </w:p>
    <w:p>
      <w:pPr>
        <w:pStyle w:val="FirstParagraph"/>
      </w:pPr>
      <w:r>
        <w:t xml:space="preserve">The Bayesian hierarchical model presented here is able to reconstruct latitudinal gradients from both geochemical and ecological proxy data, while reflecting the uncertainty associated with the ecological temperature proxies, and accounting for the variation of multiple temperature estimates at individual localities. Using informative prior information allows for accurate temperature reconstructions from records with geographically incomplete sampling. By providing temperature estimates across the entire latitudinal range, this method also facilitates the reconstruction of unbiased global average temperatures. Application of our model to the EECO suggests that latitudinal sea surface temperature gradients were shallower than estimated by most previous proxy-based studies. High-latitude pollen records support this interpretation. Our GMST estimate is in good agreement with most existing estimates, indicating that broadly accurate GMST reconstructions are possible even with substantial deviations in the shape of the latitudinal temperature gradient. Our new method opens the door for improving the accuracy of proxy-based palaeoclimate reconstructions and Phanerozoic temperature curves, particularly in intervals with a patchy and unenvenly sampled record. Finally, the flexibility of our approach means that estimates can be efficiently updated when new data are made available.</w:t>
      </w:r>
    </w:p>
    <w:bookmarkEnd w:id="65"/>
    <w:bookmarkStart w:id="66" w:name="acknowledgements"/>
    <w:p>
      <w:pPr>
        <w:pStyle w:val="Heading1"/>
      </w:pPr>
      <w:r>
        <w:t xml:space="preserve">Acknowledgements</w:t>
      </w:r>
    </w:p>
    <w:p>
      <w:pPr>
        <w:pStyle w:val="FirstParagraph"/>
      </w:pPr>
      <w:r>
        <w:t xml:space="preserve">The authors are grateful to all those who have enabled this work by collecting, measuring, collating and screening geochemical and fossil data. The contribution of L.A.J. was supported by a Juan de la Cierva-formación 2021 fellowship (FJC2021-046695-I/MCIN/AEI/10.13039/501100011033) from the European Union</w:t>
      </w:r>
      <w:r>
        <w:t xml:space="preserve"> </w:t>
      </w:r>
      <w:r>
        <w:t xml:space="preserve">“</w:t>
      </w:r>
      <w:r>
        <w:t xml:space="preserve">NextGenerationEU</w:t>
      </w:r>
      <w:r>
        <w:t xml:space="preserve">”</w:t>
      </w:r>
      <w:r>
        <w:t xml:space="preserve">/PRTR. For the purpose of open access, the authors have applied a Creative Commons Attribution (CC BY) licence to any Author Accepted Manuscript version arising from this submission.</w:t>
      </w:r>
      <w:r>
        <w:t xml:space="preserve"> </w:t>
      </w:r>
    </w:p>
    <w:bookmarkEnd w:id="66"/>
    <w:bookmarkStart w:id="67" w:name="author-contributions"/>
    <w:p>
      <w:pPr>
        <w:pStyle w:val="Heading1"/>
      </w:pPr>
      <w:r>
        <w:t xml:space="preserve">Author contributions</w:t>
      </w:r>
    </w:p>
    <w:p>
      <w:pPr>
        <w:pStyle w:val="FirstParagraph"/>
      </w:pPr>
      <w:r>
        <w:t xml:space="preserve">Both authors designed the study and carried out data preparation. K.E. programmed the model and conducted the analyses. L.A.J. and K.E. generated the figures. Both authors contributed to the writing of the manuscript.</w:t>
      </w:r>
    </w:p>
    <w:bookmarkEnd w:id="67"/>
    <w:bookmarkStart w:id="68" w:name="competing-interests"/>
    <w:p>
      <w:pPr>
        <w:pStyle w:val="Heading1"/>
      </w:pPr>
      <w:r>
        <w:t xml:space="preserve">Competing Interests</w:t>
      </w:r>
    </w:p>
    <w:p>
      <w:pPr>
        <w:pStyle w:val="FirstParagraph"/>
      </w:pPr>
      <w:r>
        <w:t xml:space="preserve">The authors declare that they have no conflicts of interest.</w:t>
      </w:r>
    </w:p>
    <w:bookmarkEnd w:id="68"/>
    <w:bookmarkStart w:id="71" w:name="data-accessibility"/>
    <w:p>
      <w:pPr>
        <w:pStyle w:val="Heading1"/>
      </w:pPr>
      <w:r>
        <w:t xml:space="preserve">Data accessibility</w:t>
      </w:r>
    </w:p>
    <w:p>
      <w:pPr>
        <w:pStyle w:val="FirstParagraph"/>
      </w:pPr>
      <w:r>
        <w:t xml:space="preserve">The data and code used to produce the results of this study are available via GitHub (</w:t>
      </w:r>
      <w:hyperlink r:id="rId69">
        <w:r>
          <w:rPr>
            <w:rStyle w:val="Hyperlink"/>
          </w:rPr>
          <w:t xml:space="preserve">https://github.com/KEichenseer/PalaeoClimateGradient</w:t>
        </w:r>
      </w:hyperlink>
      <w:r>
        <w:t xml:space="preserve">) and the linked Zenodo repository (</w:t>
      </w:r>
      <w:hyperlink r:id="rId70">
        <w:r>
          <w:rPr>
            <w:rStyle w:val="Hyperlink"/>
          </w:rPr>
          <w:t xml:space="preserve">https://zenodo.org/record/7995969</w:t>
        </w:r>
      </w:hyperlink>
      <w:r>
        <w:t xml:space="preserve">).</w:t>
      </w:r>
    </w:p>
    <w:bookmarkEnd w:id="71"/>
    <w:bookmarkStart w:id="151" w:name="references"/>
    <w:p>
      <w:pPr>
        <w:pStyle w:val="Heading1"/>
      </w:pPr>
      <w:r>
        <w:t xml:space="preserve">References</w:t>
      </w:r>
    </w:p>
    <w:bookmarkStart w:id="150" w:name="refs"/>
    <w:bookmarkStart w:id="72" w:name="ref-Assis2018"/>
    <w:p>
      <w:pPr>
        <w:pStyle w:val="Bibliography"/>
      </w:pPr>
      <w:r>
        <w:t xml:space="preserve">Assis, J., Tyberghein, L., Bosch, S., Verbruggen, H., Serrão, E. A., and De Clerck, O.: Bio-ORACLE v2. 0: Extending marine data layers for bioclimatic modelling, Global Ecology and Biogeography, 27, 277–284, 2018.</w:t>
      </w:r>
    </w:p>
    <w:bookmarkEnd w:id="72"/>
    <w:bookmarkStart w:id="73" w:name="ref-Beer2008"/>
    <w:p>
      <w:pPr>
        <w:pStyle w:val="Bibliography"/>
      </w:pPr>
      <w:r>
        <w:t xml:space="preserve">Beer, J., Abreu, J., and Steinhilber, F.: Sun and planets from a climate point of view, Proceedings of the International Astronomical Union, 4, 29–43, 2008.</w:t>
      </w:r>
    </w:p>
    <w:bookmarkEnd w:id="73"/>
    <w:bookmarkStart w:id="75" w:name="ref-Bijl2009"/>
    <w:p>
      <w:pPr>
        <w:pStyle w:val="Bibliography"/>
      </w:pPr>
      <w:r>
        <w:t xml:space="preserve">Bijl, P. K., Schouten, S., Sluijs, A., Reichart, G.-J., Zachos, J. C., and Brinkhuis, H.: Early</w:t>
      </w:r>
      <w:r>
        <w:t xml:space="preserve"> </w:t>
      </w:r>
      <w:r>
        <w:t xml:space="preserve">Palaeogene</w:t>
      </w:r>
      <w:r>
        <w:t xml:space="preserve"> </w:t>
      </w:r>
      <w:r>
        <w:t xml:space="preserve">temperature evolution of the southwest</w:t>
      </w:r>
      <w:r>
        <w:t xml:space="preserve"> </w:t>
      </w:r>
      <w:r>
        <w:t xml:space="preserve">Pacific Ocean</w:t>
      </w:r>
      <w:r>
        <w:t xml:space="preserve">, Nature, 461, 776–779,</w:t>
      </w:r>
      <w:r>
        <w:t xml:space="preserve"> </w:t>
      </w:r>
      <w:hyperlink r:id="rId74">
        <w:r>
          <w:rPr>
            <w:rStyle w:val="Hyperlink"/>
          </w:rPr>
          <w:t xml:space="preserve">https://doi.org/10.1038/nature08399</w:t>
        </w:r>
      </w:hyperlink>
      <w:r>
        <w:t xml:space="preserve">, 2009.</w:t>
      </w:r>
    </w:p>
    <w:bookmarkEnd w:id="75"/>
    <w:bookmarkStart w:id="76" w:name="ref-Burgener2023"/>
    <w:p>
      <w:pPr>
        <w:pStyle w:val="Bibliography"/>
      </w:pPr>
      <w:r>
        <w:t xml:space="preserve">Burgener, L., Hyland, E., Reich, B. J., and Scotese, C.: Cretaceous climates: Mapping paleo-k</w:t>
      </w:r>
      <w:r>
        <w:t xml:space="preserve">ö</w:t>
      </w:r>
      <w:r>
        <w:t xml:space="preserve">ppen climatic zones using a bayesian statistical analysis of lithologic, paleontologic, and geochemical proxies, Palaeogeography, Palaeoclimatology, Palaeoecology, 111373, 2023.</w:t>
      </w:r>
    </w:p>
    <w:bookmarkEnd w:id="76"/>
    <w:bookmarkStart w:id="78" w:name="ref-Burke2018"/>
    <w:p>
      <w:pPr>
        <w:pStyle w:val="Bibliography"/>
      </w:pPr>
      <w:r>
        <w:t xml:space="preserve">Burke, K. D., Williams, J. W., Chandler, M. A., Haywood, A. M., Lunt, D. J., and Otto-Bliesner, B. L.: Pliocene and</w:t>
      </w:r>
      <w:r>
        <w:t xml:space="preserve"> </w:t>
      </w:r>
      <w:r>
        <w:t xml:space="preserve">Eocene</w:t>
      </w:r>
      <w:r>
        <w:t xml:space="preserve"> </w:t>
      </w:r>
      <w:r>
        <w:t xml:space="preserve">provide best analogs for near-future climates, Proceedings of the National Academy of Sciences, 115, 13288–13293,</w:t>
      </w:r>
      <w:r>
        <w:t xml:space="preserve"> </w:t>
      </w:r>
      <w:hyperlink r:id="rId77">
        <w:r>
          <w:rPr>
            <w:rStyle w:val="Hyperlink"/>
          </w:rPr>
          <w:t xml:space="preserve">https://doi.org/10.1073/pnas.1809600115</w:t>
        </w:r>
      </w:hyperlink>
      <w:r>
        <w:t xml:space="preserve">, 2018.</w:t>
      </w:r>
    </w:p>
    <w:bookmarkEnd w:id="78"/>
    <w:bookmarkStart w:id="79" w:name="ref-Caballero2013"/>
    <w:p>
      <w:pPr>
        <w:pStyle w:val="Bibliography"/>
      </w:pPr>
      <w:r>
        <w:t xml:space="preserve">Caballero, R. and Huber, M.: State-dependent climate sensitivity in past warm climates and its implications for future climate projections, Proceedings of the National Academy of Sciences, 110, 14162–14167, 2013.</w:t>
      </w:r>
    </w:p>
    <w:bookmarkEnd w:id="79"/>
    <w:bookmarkStart w:id="81" w:name="ref-Chandra2021"/>
    <w:p>
      <w:pPr>
        <w:pStyle w:val="Bibliography"/>
      </w:pPr>
      <w:r>
        <w:t xml:space="preserve">Chandra, R., Cripps, S., Butterworth, N., and Muller, R. D.: Precipitation reconstruction from climate-sensitive lithologies using</w:t>
      </w:r>
      <w:r>
        <w:t xml:space="preserve"> </w:t>
      </w:r>
      <w:r>
        <w:t xml:space="preserve">Bayesian</w:t>
      </w:r>
      <w:r>
        <w:t xml:space="preserve"> </w:t>
      </w:r>
      <w:r>
        <w:t xml:space="preserve">machine learning, Environmental Modelling &amp; Software, 139, 105002,</w:t>
      </w:r>
      <w:r>
        <w:t xml:space="preserve"> </w:t>
      </w:r>
      <w:hyperlink r:id="rId80">
        <w:r>
          <w:rPr>
            <w:rStyle w:val="Hyperlink"/>
          </w:rPr>
          <w:t xml:space="preserve">https://doi.org/10.1016/j.envsoft.2021.105002</w:t>
        </w:r>
      </w:hyperlink>
      <w:r>
        <w:t xml:space="preserve">, 2021.</w:t>
      </w:r>
    </w:p>
    <w:bookmarkEnd w:id="81"/>
    <w:bookmarkStart w:id="82" w:name="ref-Cramwinckel2018"/>
    <w:p>
      <w:pPr>
        <w:pStyle w:val="Bibliography"/>
      </w:pPr>
      <w:r>
        <w:t xml:space="preserve">Cramwinckel, M. J., Huber, M., Kocken, I. J., Agnini, C., Bijl, P. K., Bohaty, S. M., Frieling, J., Goldner, A., Hilgen, F. J., Kip, E. L., et al.: Synchronous tropical and polar temperature evolution in the eocene, Nature, 559, 382–386, 2018.</w:t>
      </w:r>
    </w:p>
    <w:bookmarkEnd w:id="82"/>
    <w:bookmarkStart w:id="83" w:name="ref-Evans2018"/>
    <w:p>
      <w:pPr>
        <w:pStyle w:val="Bibliography"/>
      </w:pPr>
      <w:r>
        <w:t xml:space="preserve">Evans, D., Sagoo, N., Renema, W., Cotton, L. J., Müller, W., Todd, J. A., Saraswati, P. K., Stassen, P., Ziegler, M., Pearson, P. N., et al.: Eocene greenhouse climate revealed by coupled clumped isotope-mg/ca thermometry, Proceedings of the National Academy of Sciences, 115, 1174–1179, 2018.</w:t>
      </w:r>
    </w:p>
    <w:bookmarkEnd w:id="83"/>
    <w:bookmarkStart w:id="84" w:name="ref-Fauquette2007"/>
    <w:p>
      <w:pPr>
        <w:pStyle w:val="Bibliography"/>
      </w:pPr>
      <w:r>
        <w:t xml:space="preserve">Fauquette, S., Suc, J., Jiménez-Moreno, G., Micheels, A., and JOSTS, A.: Latitudinal climatic gradients in the western european and mediterranean regions from the mid-miocene (c. 15 ma) to the, Deep-time perspectives on climate change: marrying the signal from computer models and biological proxies, 481, 2007.</w:t>
      </w:r>
    </w:p>
    <w:bookmarkEnd w:id="84"/>
    <w:bookmarkStart w:id="85" w:name="ref-Frakes1992"/>
    <w:p>
      <w:pPr>
        <w:pStyle w:val="Bibliography"/>
      </w:pPr>
      <w:r>
        <w:t xml:space="preserve">Frakes, L. A., Francis, J. E., and Syktus, J. I.: Climate modes of the phanerozoic, 1992.</w:t>
      </w:r>
    </w:p>
    <w:bookmarkEnd w:id="85"/>
    <w:bookmarkStart w:id="86" w:name="ref-Gelman2013"/>
    <w:p>
      <w:pPr>
        <w:pStyle w:val="Bibliography"/>
      </w:pPr>
      <w:r>
        <w:t xml:space="preserve">Gelman, A., Carlin, J. B., Stern, H. S., Dunson, D. B., Vehtari, A., and Rubin, D. B.: Bayesian data analysis, CRC press, 2013.</w:t>
      </w:r>
    </w:p>
    <w:bookmarkEnd w:id="86"/>
    <w:bookmarkStart w:id="87" w:name="ref-Gelman2019"/>
    <w:p>
      <w:pPr>
        <w:pStyle w:val="Bibliography"/>
      </w:pPr>
      <w:r>
        <w:t xml:space="preserve">Gelman, A., Goodrich, B., Gabry, J., and Vehtari, A.: R-squared for bayesian regression models, The American Statistician, 2019.</w:t>
      </w:r>
    </w:p>
    <w:bookmarkEnd w:id="87"/>
    <w:bookmarkStart w:id="88" w:name="ref-Gilks1995"/>
    <w:p>
      <w:pPr>
        <w:pStyle w:val="Bibliography"/>
      </w:pPr>
      <w:r>
        <w:t xml:space="preserve">Gilks, W. R., Richardson, S., and Spiegelhalter, D.: Markov chain monte carlo in practice, CRC press, 1995.</w:t>
      </w:r>
    </w:p>
    <w:bookmarkEnd w:id="88"/>
    <w:bookmarkStart w:id="89" w:name="ref-Greenwood2017"/>
    <w:p>
      <w:pPr>
        <w:pStyle w:val="Bibliography"/>
      </w:pPr>
      <w:r>
        <w:t xml:space="preserve">Greenwood, D., Keefe, R., Reichgelt, T., and Webb, J.: Eocene paleobotanical altimetry of victoria’s eastern uplands, Australian Journal of Earth Sciences, 64, 625–637, 2017.</w:t>
      </w:r>
    </w:p>
    <w:bookmarkEnd w:id="89"/>
    <w:bookmarkStart w:id="91" w:name="ref-Greenwood1995"/>
    <w:p>
      <w:pPr>
        <w:pStyle w:val="Bibliography"/>
      </w:pPr>
      <w:r>
        <w:t xml:space="preserve">Greenwood, D. R. and Wing, S. L.: Eocene continental climates and latitudinal temperature gradients, Geology, 23, 1044,</w:t>
      </w:r>
      <w:r>
        <w:t xml:space="preserve"> </w:t>
      </w:r>
      <w:hyperlink r:id="rId90">
        <w:r>
          <w:rPr>
            <w:rStyle w:val="Hyperlink"/>
          </w:rPr>
          <w:t xml:space="preserve">https://doi.org/10.1130/0091-7613(1995)023&lt;1044:ECCALT&gt;2.3.CO;2</w:t>
        </w:r>
      </w:hyperlink>
      <w:r>
        <w:t xml:space="preserve">, 1995.</w:t>
      </w:r>
    </w:p>
    <w:bookmarkEnd w:id="91"/>
    <w:bookmarkStart w:id="92" w:name="ref-Grossman2022"/>
    <w:p>
      <w:pPr>
        <w:pStyle w:val="Bibliography"/>
      </w:pPr>
      <w:r>
        <w:t xml:space="preserve">Grossman, E. L. and Joachimski, M. M.: Ocean temperatures through the phanerozoic reassessed, Scientific Reports, 12, 8938, 2022.</w:t>
      </w:r>
    </w:p>
    <w:bookmarkEnd w:id="92"/>
    <w:bookmarkStart w:id="93" w:name="ref-Hansen2013"/>
    <w:p>
      <w:pPr>
        <w:pStyle w:val="Bibliography"/>
      </w:pPr>
      <w:r>
        <w:t xml:space="preserve">Hansen, J., Sato, M., Russell, G., and Kharecha, P.: Climate sensitivity, sea level and atmospheric carbon dioxide, Philosophical Transactions of the Royal Society A: Mathematical, Physical and Engineering Sciences, 371, 20120294, 2013.</w:t>
      </w:r>
    </w:p>
    <w:bookmarkEnd w:id="93"/>
    <w:bookmarkStart w:id="94" w:name="ref-Hoegh2011"/>
    <w:p>
      <w:pPr>
        <w:pStyle w:val="Bibliography"/>
      </w:pPr>
      <w:r>
        <w:t xml:space="preserve">Hoegh-Guldberg, O.: Coral reef ecosystems and anthropogenic climate change, Regional Environmental Change, 11, 215–227, 2011.</w:t>
      </w:r>
    </w:p>
    <w:bookmarkEnd w:id="94"/>
    <w:bookmarkStart w:id="95" w:name="ref-Hollis2019"/>
    <w:p>
      <w:pPr>
        <w:pStyle w:val="Bibliography"/>
      </w:pPr>
      <w:r>
        <w:t xml:space="preserve">Hollis, C. J., Dunkley Jones, T., Anagnostou, E., Bijl, P. K., Cramwinckel, M. J., Cui, Y., Dickens, G. R., Edgar, K. M., Eley, Y., Evans, D., et al.: The DeepMIP contribution to PMIP4: Methodologies for selection, compilation and analysis of latest paleocene and early eocene climate proxy data, incorporating version 0.1 of the DeepMIP database, Geoscientific Model Development, 12, 3149–3206, 2019.</w:t>
      </w:r>
    </w:p>
    <w:bookmarkEnd w:id="95"/>
    <w:bookmarkStart w:id="96" w:name="ref-Huber2011"/>
    <w:p>
      <w:pPr>
        <w:pStyle w:val="Bibliography"/>
      </w:pPr>
      <w:r>
        <w:t xml:space="preserve">Huber, M. and Caballero, R.: The early eocene equable climate problem revisited, Climate of the Past, 7, 603–633, 2011.</w:t>
      </w:r>
    </w:p>
    <w:bookmarkEnd w:id="96"/>
    <w:bookmarkStart w:id="98" w:name="ref-Inglis2020"/>
    <w:p>
      <w:pPr>
        <w:pStyle w:val="Bibliography"/>
      </w:pPr>
      <w:r>
        <w:t xml:space="preserve">Inglis, G. N., Bragg, F., Burls, N. J., Cramwinckel, M. J., Evans, D., Foster, G. L., Huber, M., Lunt, D. J., Siler, N., Steinig, S., Tierney, J. E., Wilkinson, R., Anagnostou, E., de Boer, A. M., Dunkley Jones, T., Edgar, K. M., Hollis, C. J., Hutchinson, D. K., and Pancost, R. D.: Global mean surface temperature and climate sensitivity of the early</w:t>
      </w:r>
      <w:r>
        <w:t xml:space="preserve"> </w:t>
      </w:r>
      <w:r>
        <w:t xml:space="preserve">Eocene Climatic Optimum</w:t>
      </w:r>
      <w:r>
        <w:t xml:space="preserve"> </w:t>
      </w:r>
      <w:r>
        <w:t xml:space="preserve">(</w:t>
      </w:r>
      <w:r>
        <w:t xml:space="preserve">EECO</w:t>
      </w:r>
      <w:r>
        <w:t xml:space="preserve">),</w:t>
      </w:r>
      <w:r>
        <w:t xml:space="preserve"> </w:t>
      </w:r>
      <w:r>
        <w:t xml:space="preserve">Paleocene</w:t>
      </w:r>
      <w:r>
        <w:t xml:space="preserve"> </w:t>
      </w:r>
      <w:r>
        <w:t xml:space="preserve">(</w:t>
      </w:r>
      <w:r>
        <w:t xml:space="preserve">PETM</w:t>
      </w:r>
      <w:r>
        <w:t xml:space="preserve">), and latest</w:t>
      </w:r>
      <w:r>
        <w:t xml:space="preserve"> </w:t>
      </w:r>
      <w:r>
        <w:t xml:space="preserve">Paleocene</w:t>
      </w:r>
      <w:r>
        <w:t xml:space="preserve">, Climate of the Past, 16, 1953–1968,</w:t>
      </w:r>
      <w:r>
        <w:t xml:space="preserve"> </w:t>
      </w:r>
      <w:hyperlink r:id="rId97">
        <w:r>
          <w:rPr>
            <w:rStyle w:val="Hyperlink"/>
          </w:rPr>
          <w:t xml:space="preserve">https://doi.org/10.5194/cp-16-1953-2020</w:t>
        </w:r>
      </w:hyperlink>
      <w:r>
        <w:t xml:space="preserve">, 2020.</w:t>
      </w:r>
    </w:p>
    <w:bookmarkEnd w:id="98"/>
    <w:bookmarkStart w:id="99" w:name="ref-johannes1983"/>
    <w:p>
      <w:pPr>
        <w:pStyle w:val="Bibliography"/>
      </w:pPr>
      <w:r>
        <w:t xml:space="preserve">Johannes, R., Wiebe, W., Crossland, C., Rimmer, D., and Smith, S.: Latitudinal limits of coral reef growth., Marine ecology progress series. Oldendorf, 11, 105–111, 1983.</w:t>
      </w:r>
    </w:p>
    <w:bookmarkEnd w:id="99"/>
    <w:bookmarkStart w:id="101" w:name="ref-Jones2022"/>
    <w:p>
      <w:pPr>
        <w:pStyle w:val="Bibliography"/>
      </w:pPr>
      <w:r>
        <w:t xml:space="preserve">Jones, L. A. and Eichenseer, K.: Uneven spatial sampling distorts reconstructions of</w:t>
      </w:r>
      <w:r>
        <w:t xml:space="preserve"> </w:t>
      </w:r>
      <w:r>
        <w:t xml:space="preserve">Phanerozoic</w:t>
      </w:r>
      <w:r>
        <w:t xml:space="preserve"> </w:t>
      </w:r>
      <w:r>
        <w:t xml:space="preserve">seawater temperature, Geology, 50, 238–242,</w:t>
      </w:r>
      <w:r>
        <w:t xml:space="preserve"> </w:t>
      </w:r>
      <w:hyperlink r:id="rId100">
        <w:r>
          <w:rPr>
            <w:rStyle w:val="Hyperlink"/>
          </w:rPr>
          <w:t xml:space="preserve">https://doi.org/10.1130/G49132.1</w:t>
        </w:r>
      </w:hyperlink>
      <w:r>
        <w:t xml:space="preserve">, 2022.</w:t>
      </w:r>
    </w:p>
    <w:bookmarkEnd w:id="101"/>
    <w:bookmarkStart w:id="102" w:name="ref-jones2022reef"/>
    <w:p>
      <w:pPr>
        <w:pStyle w:val="Bibliography"/>
      </w:pPr>
      <w:r>
        <w:t xml:space="preserve">Jones, L. A., Mannion, P. D., Farnsworth, A., Bragg, F., and Lunt, D. J.: Climatic and tectonic drivers shaped the tropical distribution of coral reefs, Nature communications, 13, 1–10, 2022.</w:t>
      </w:r>
    </w:p>
    <w:bookmarkEnd w:id="102"/>
    <w:bookmarkStart w:id="104" w:name="ref-jones2023"/>
    <w:p>
      <w:pPr>
        <w:pStyle w:val="Bibliography"/>
      </w:pPr>
      <w:r>
        <w:t xml:space="preserve">Jones, L. A., Gearty, W., Allen, B. J., Eichenseer, K., Dean, C. D., Galván, S., Kouvari, M., Godoy, P. L., Nicholl, C., Buffan, L., Flannery-Sutherland, J. T., Dillon, E. M., and Chiarenza, A. A.: palaeoverse: a community-driven R package to support palaeobiological analysis,</w:t>
      </w:r>
      <w:r>
        <w:t xml:space="preserve"> </w:t>
      </w:r>
      <w:hyperlink r:id="rId103">
        <w:r>
          <w:rPr>
            <w:rStyle w:val="Hyperlink"/>
          </w:rPr>
          <w:t xml:space="preserve">https://doi.org/10.31223/X5Z94Q</w:t>
        </w:r>
      </w:hyperlink>
      <w:r>
        <w:t xml:space="preserve">, 2023.</w:t>
      </w:r>
    </w:p>
    <w:bookmarkEnd w:id="104"/>
    <w:bookmarkStart w:id="106" w:name="ref-judd2020"/>
    <w:p>
      <w:pPr>
        <w:pStyle w:val="Bibliography"/>
      </w:pPr>
      <w:r>
        <w:t xml:space="preserve">Judd, E. J., Bhattacharya, T., and Ivany, L. C.: A Dynamical Framework for Interpreting Ancient Sea Surface Temperatures, Geophysical Research Letters, 47, e2020GL089044,</w:t>
      </w:r>
      <w:r>
        <w:t xml:space="preserve"> </w:t>
      </w:r>
      <w:hyperlink r:id="rId105">
        <w:r>
          <w:rPr>
            <w:rStyle w:val="Hyperlink"/>
          </w:rPr>
          <w:t xml:space="preserve">https://doi.org/10.1029/2020GL089044</w:t>
        </w:r>
      </w:hyperlink>
      <w:r>
        <w:t xml:space="preserve">, 2020.</w:t>
      </w:r>
    </w:p>
    <w:bookmarkEnd w:id="106"/>
    <w:bookmarkStart w:id="107" w:name="ref-Judd2022"/>
    <w:p>
      <w:pPr>
        <w:pStyle w:val="Bibliography"/>
      </w:pPr>
      <w:r>
        <w:t xml:space="preserve">Judd, E. J., Tierney, J. E., Huber, B. T., Wing, S. L., Lunt, D. J., Ford, H. L., Inglis, G. N., McClymont, E. L., O’Brien, C. L., Rattanasriampaipong, R., et al.: The PhanSST global database of phanerozoic sea surface temperature proxy data, Scientific data, 9, 753, 2022.</w:t>
      </w:r>
    </w:p>
    <w:bookmarkEnd w:id="107"/>
    <w:bookmarkStart w:id="109" w:name="ref-Keating-Bitonti2011"/>
    <w:p>
      <w:pPr>
        <w:pStyle w:val="Bibliography"/>
      </w:pPr>
      <w:r>
        <w:t xml:space="preserve">Keating-Bitonti, C. R., Ivany, L. C., Affek, H. P., Douglas, P., and Samson, S. D.: Warm, not super-hot, temperatures in the early</w:t>
      </w:r>
      <w:r>
        <w:t xml:space="preserve"> </w:t>
      </w:r>
      <w:r>
        <w:t xml:space="preserve">Eocene</w:t>
      </w:r>
      <w:r>
        <w:t xml:space="preserve"> </w:t>
      </w:r>
      <w:r>
        <w:t xml:space="preserve">subtropics, Geology, 39, 771–774,</w:t>
      </w:r>
      <w:r>
        <w:t xml:space="preserve"> </w:t>
      </w:r>
      <w:hyperlink r:id="rId108">
        <w:r>
          <w:rPr>
            <w:rStyle w:val="Hyperlink"/>
          </w:rPr>
          <w:t xml:space="preserve">https://doi.org/10.1130/G32054.1</w:t>
        </w:r>
      </w:hyperlink>
      <w:r>
        <w:t xml:space="preserve">, 2011.</w:t>
      </w:r>
    </w:p>
    <w:bookmarkEnd w:id="109"/>
    <w:bookmarkStart w:id="110" w:name="ref-kiessling2001"/>
    <w:p>
      <w:pPr>
        <w:pStyle w:val="Bibliography"/>
      </w:pPr>
      <w:r>
        <w:t xml:space="preserve">Kiessling, W.: Paleoclimatic significance of phanerozoic reefs, Geology, 29, 751–754, 2001.</w:t>
      </w:r>
    </w:p>
    <w:bookmarkEnd w:id="110"/>
    <w:bookmarkStart w:id="111" w:name="ref-kleypas1999"/>
    <w:p>
      <w:pPr>
        <w:pStyle w:val="Bibliography"/>
      </w:pPr>
      <w:r>
        <w:t xml:space="preserve">Kleypas, J. A., McManus, J. W., and Meñez, L. A.: Environmental limits to coral reef development: Where do we draw the line?, American zoologist, 39, 146–159, 1999.</w:t>
      </w:r>
    </w:p>
    <w:bookmarkEnd w:id="111"/>
    <w:bookmarkStart w:id="112" w:name="ref-Markwick2007"/>
    <w:p>
      <w:pPr>
        <w:pStyle w:val="Bibliography"/>
      </w:pPr>
      <w:r>
        <w:t xml:space="preserve">Markwick, P.: The palaeogeographic and palaeoclimatic significance of climate, Deep-time perspectives on climate change: Marrying the signal from computer models and biological proxies, 251, 2007.</w:t>
      </w:r>
    </w:p>
    <w:bookmarkEnd w:id="112"/>
    <w:bookmarkStart w:id="113" w:name="ref-Markwick1994"/>
    <w:p>
      <w:pPr>
        <w:pStyle w:val="Bibliography"/>
      </w:pPr>
      <w:r>
        <w:t xml:space="preserve">Markwick, P. J.: "Equability," continentality, and tertiary "climate": The crocodilian perspective, Geology, 22, 613–616, 1994.</w:t>
      </w:r>
    </w:p>
    <w:bookmarkEnd w:id="113"/>
    <w:bookmarkStart w:id="114" w:name="ref-merdith2021"/>
    <w:p>
      <w:pPr>
        <w:pStyle w:val="Bibliography"/>
      </w:pPr>
      <w:r>
        <w:t xml:space="preserve">Merdith, A. S., Williams, S. E., Collins, A. S., Tetley, M. G., Mulder, J. A., Blades, M. L., Young, A., Armistead, S. E., Cannon, J., Zahirovic, S., et al.: Extending full-plate tectonic models into deep time: Linking the neoproterozoic and the phanerozoic, Earth-Science Reviews, 214, 103477, 2021.</w:t>
      </w:r>
    </w:p>
    <w:bookmarkEnd w:id="114"/>
    <w:bookmarkStart w:id="115" w:name="ref-Muir2015"/>
    <w:p>
      <w:pPr>
        <w:pStyle w:val="Bibliography"/>
      </w:pPr>
      <w:r>
        <w:t xml:space="preserve">Muir, P. R., Wallace, C. C., Done, T., and Aguirre, J. D.: Limited scope for latitudinal extension of reef corals, Science, 348, 1135–1138, 2015.</w:t>
      </w:r>
    </w:p>
    <w:bookmarkEnd w:id="115"/>
    <w:bookmarkStart w:id="116" w:name="ref-Peppe2011"/>
    <w:p>
      <w:pPr>
        <w:pStyle w:val="Bibliography"/>
      </w:pPr>
      <w:r>
        <w:t xml:space="preserve">Peppe, D. J., Royer, D. L., Cariglino, B., Oliver, S. Y., Newman, S., Leight, E., Enikolopov, G., Fernandez-Burgos, M., Herrera, F., Adams, J. M., et al.: Sensitivity of leaf size and shape to climate: Global patterns and paleoclimatic applications, New phytologist, 190, 724–739, 2011.</w:t>
      </w:r>
    </w:p>
    <w:bookmarkEnd w:id="116"/>
    <w:bookmarkStart w:id="118" w:name="ref-Popescu2021"/>
    <w:p>
      <w:pPr>
        <w:pStyle w:val="Bibliography"/>
      </w:pPr>
      <w:r>
        <w:t xml:space="preserve">Popescu, S.-M., Suc, J.-P., Fauquette, S., Bessedik, M., Jiménez-Moreno, G., Robin, C., and Labrousse, L.: Mangrove distribution and diversity during three</w:t>
      </w:r>
      <w:r>
        <w:t xml:space="preserve"> </w:t>
      </w:r>
      <w:r>
        <w:t xml:space="preserve">Cenozoic</w:t>
      </w:r>
      <w:r>
        <w:t xml:space="preserve"> </w:t>
      </w:r>
      <w:r>
        <w:t xml:space="preserve">thermal maxima in the</w:t>
      </w:r>
      <w:r>
        <w:t xml:space="preserve"> </w:t>
      </w:r>
      <w:r>
        <w:t xml:space="preserve">Northern Hemisphere</w:t>
      </w:r>
      <w:r>
        <w:t xml:space="preserve"> </w:t>
      </w:r>
      <w:r>
        <w:t xml:space="preserve">(pollen records from the</w:t>
      </w:r>
      <w:r>
        <w:t xml:space="preserve"> </w:t>
      </w:r>
      <w:r>
        <w:t xml:space="preserve">Arctic</w:t>
      </w:r>
      <w:r>
        <w:t xml:space="preserve"> </w:t>
      </w:r>
      <w:r>
        <w:t xml:space="preserve">regions), Journal of Biogeography, 48, 2771–2784,</w:t>
      </w:r>
      <w:r>
        <w:t xml:space="preserve"> </w:t>
      </w:r>
      <w:hyperlink r:id="rId117">
        <w:r>
          <w:rPr>
            <w:rStyle w:val="Hyperlink"/>
          </w:rPr>
          <w:t xml:space="preserve">https://doi.org/10.1111/jbi.14238</w:t>
        </w:r>
      </w:hyperlink>
      <w:r>
        <w:t xml:space="preserve">, 2021.</w:t>
      </w:r>
    </w:p>
    <w:bookmarkEnd w:id="118"/>
    <w:bookmarkStart w:id="120" w:name="ref-Pross2012"/>
    <w:p>
      <w:pPr>
        <w:pStyle w:val="Bibliography"/>
      </w:pPr>
      <w:r>
        <w:t xml:space="preserve">Pross, J., Contreras, L., Bijl, P. K., Greenwood, D. R., Bohaty, S. M., Schouten, S., Bendle, J. A., Röhl, U., Tauxe, L., Raine, J. I., Huck, C. E., van de Flierdt, T., Jamieson, S. S. R., Stickley, C. E., van de Schootbrugge, B., Escutia, C., and Brinkhuis, H.: Persistent near-tropical warmth on the</w:t>
      </w:r>
      <w:r>
        <w:t xml:space="preserve"> </w:t>
      </w:r>
      <w:r>
        <w:t xml:space="preserve">Antarctic</w:t>
      </w:r>
      <w:r>
        <w:t xml:space="preserve"> </w:t>
      </w:r>
      <w:r>
        <w:t xml:space="preserve">continent during the early</w:t>
      </w:r>
      <w:r>
        <w:t xml:space="preserve"> </w:t>
      </w:r>
      <w:r>
        <w:t xml:space="preserve">Eocene</w:t>
      </w:r>
      <w:r>
        <w:t xml:space="preserve"> </w:t>
      </w:r>
      <w:r>
        <w:t xml:space="preserve">epoch, Nature, 488, 73–77,</w:t>
      </w:r>
      <w:r>
        <w:t xml:space="preserve"> </w:t>
      </w:r>
      <w:hyperlink r:id="rId119">
        <w:r>
          <w:rPr>
            <w:rStyle w:val="Hyperlink"/>
          </w:rPr>
          <w:t xml:space="preserve">https://doi.org/10.1038/nature11300</w:t>
        </w:r>
      </w:hyperlink>
      <w:r>
        <w:t xml:space="preserve">, 2012.</w:t>
      </w:r>
    </w:p>
    <w:bookmarkEnd w:id="120"/>
    <w:bookmarkStart w:id="122" w:name="ref-Quisthoudt2012"/>
    <w:p>
      <w:pPr>
        <w:pStyle w:val="Bibliography"/>
      </w:pPr>
      <w:r>
        <w:t xml:space="preserve">Quisthoudt, K., Schmitz, N., Randin, C. F., Dahdouh-Guebas, F., Robert, E. M. R., and Koedam, N.: Temperature variation among mangrove latitudinal range limits worldwide, Trees, 26, 1919–1931,</w:t>
      </w:r>
      <w:r>
        <w:t xml:space="preserve"> </w:t>
      </w:r>
      <w:hyperlink r:id="rId121">
        <w:r>
          <w:rPr>
            <w:rStyle w:val="Hyperlink"/>
          </w:rPr>
          <w:t xml:space="preserve">https://doi.org/10.1007/s00468-012-0760-1</w:t>
        </w:r>
      </w:hyperlink>
      <w:r>
        <w:t xml:space="preserve">, 2012.</w:t>
      </w:r>
    </w:p>
    <w:bookmarkEnd w:id="122"/>
    <w:bookmarkStart w:id="123" w:name="ref-Rasmussen2004"/>
    <w:p>
      <w:pPr>
        <w:pStyle w:val="Bibliography"/>
      </w:pPr>
      <w:r>
        <w:t xml:space="preserve">Rasmussen, C. E. and Williams, C. K.: Gaussian processes in machine learning, Lecture notes in computer science, 3176, 63–71, 2004.</w:t>
      </w:r>
    </w:p>
    <w:bookmarkEnd w:id="123"/>
    <w:bookmarkStart w:id="124" w:name="ref-Reynolds1994"/>
    <w:p>
      <w:pPr>
        <w:pStyle w:val="Bibliography"/>
      </w:pPr>
      <w:r>
        <w:t xml:space="preserve">Reynolds, R. W. and Smith, T. M.: Improved global sea surface temperature analyses using optimum interpolation, Journal of climate, 7, 929–948, 1994.</w:t>
      </w:r>
    </w:p>
    <w:bookmarkEnd w:id="124"/>
    <w:bookmarkStart w:id="125" w:name="ref-Royer2012"/>
    <w:p>
      <w:pPr>
        <w:pStyle w:val="Bibliography"/>
      </w:pPr>
      <w:r>
        <w:t xml:space="preserve">Royer, D. L.: Climate reconstruction from leaf size and shape: New developments and challenges, The Paleontological Society Papers, 18, 195–212, 2012.</w:t>
      </w:r>
    </w:p>
    <w:bookmarkEnd w:id="125"/>
    <w:bookmarkStart w:id="126" w:name="ref-Royer2004"/>
    <w:p>
      <w:pPr>
        <w:pStyle w:val="Bibliography"/>
      </w:pPr>
      <w:r>
        <w:t xml:space="preserve">Royer, D. L., Berner, R. A., Montañez, I. P., Tabor, N. J., Beerling, D. J., et al.: Co~ 2 as a primary driver of phanerozoic climate, GSA today, 14, 4–10, 2004.</w:t>
      </w:r>
    </w:p>
    <w:bookmarkEnd w:id="126"/>
    <w:bookmarkStart w:id="127" w:name="ref-Salonen2019"/>
    <w:p>
      <w:pPr>
        <w:pStyle w:val="Bibliography"/>
      </w:pPr>
      <w:r>
        <w:t xml:space="preserve">Salonen, J. S., Korpela, M., Williams, J. W., and Luoto, M.: Machine-learning based reconstructions of primary and secondary climate variables from north american and european fossil pollen data, Scientific reports, 9, 15805, 2019.</w:t>
      </w:r>
    </w:p>
    <w:bookmarkEnd w:id="127"/>
    <w:bookmarkStart w:id="128" w:name="ref-Schrag1999"/>
    <w:p>
      <w:pPr>
        <w:pStyle w:val="Bibliography"/>
      </w:pPr>
      <w:r>
        <w:t xml:space="preserve">Schrag, D. P.: Effects of diagenesis on the isotopic record of late paleogene tropical sea surface temperatures, Chemical Geology, 161, 215–224, 1999.</w:t>
      </w:r>
    </w:p>
    <w:bookmarkEnd w:id="128"/>
    <w:bookmarkStart w:id="130" w:name="ref-Scotese2021"/>
    <w:p>
      <w:pPr>
        <w:pStyle w:val="Bibliography"/>
      </w:pPr>
      <w:r>
        <w:t xml:space="preserve">Scotese, C. R., Song, H., Mills, B. J. W., and van der Meer, D. G.: Phanerozoic paleotemperatures:</w:t>
      </w:r>
      <w:r>
        <w:t xml:space="preserve"> </w:t>
      </w:r>
      <w:r>
        <w:t xml:space="preserve">The</w:t>
      </w:r>
      <w:r>
        <w:t xml:space="preserve"> </w:t>
      </w:r>
      <w:r>
        <w:t xml:space="preserve">earth’s changing climate during the last 540 million years, Earth-Science Reviews, 215, 103503,</w:t>
      </w:r>
      <w:r>
        <w:t xml:space="preserve"> </w:t>
      </w:r>
      <w:hyperlink r:id="rId129">
        <w:r>
          <w:rPr>
            <w:rStyle w:val="Hyperlink"/>
          </w:rPr>
          <w:t xml:space="preserve">https://doi.org/10.1016/j.earscirev.2021.103503</w:t>
        </w:r>
      </w:hyperlink>
      <w:r>
        <w:t xml:space="preserve">, 2021.</w:t>
      </w:r>
    </w:p>
    <w:bookmarkEnd w:id="130"/>
    <w:bookmarkStart w:id="131" w:name="ref-Sloan1990"/>
    <w:p>
      <w:pPr>
        <w:pStyle w:val="Bibliography"/>
      </w:pPr>
      <w:r>
        <w:t xml:space="preserve">Sloan, L. C. and Barron, E. J.: " equable" climates during earth history?, Geology, 18, 489–492, 1990.</w:t>
      </w:r>
    </w:p>
    <w:bookmarkEnd w:id="131"/>
    <w:bookmarkStart w:id="133" w:name="ref-song2019"/>
    <w:p>
      <w:pPr>
        <w:pStyle w:val="Bibliography"/>
      </w:pPr>
      <w:r>
        <w:t xml:space="preserve">Song, H., Wignall, P. B., Song, H., Dai, X., and Chu, D.: Seawater Temperature and Dissolved Oxygen over the Past 500 Million Years, Journal of Earth Science, 30, 236–243,</w:t>
      </w:r>
      <w:r>
        <w:t xml:space="preserve"> </w:t>
      </w:r>
      <w:hyperlink r:id="rId132">
        <w:r>
          <w:rPr>
            <w:rStyle w:val="Hyperlink"/>
          </w:rPr>
          <w:t xml:space="preserve">https://doi.org/10.1007/s12583-018-1002-2</w:t>
        </w:r>
      </w:hyperlink>
      <w:r>
        <w:t xml:space="preserve">, 2019.</w:t>
      </w:r>
    </w:p>
    <w:bookmarkEnd w:id="133"/>
    <w:bookmarkStart w:id="135" w:name="ref-Suan2017"/>
    <w:p>
      <w:pPr>
        <w:pStyle w:val="Bibliography"/>
      </w:pPr>
      <w:r>
        <w:t xml:space="preserve">Suan, G., Popescu, S.-M., Suc, J.-P., Schnyder, J., Fauquette, S., Baudin, F., Yoon, D., Piepjohn, K., Sobolev, N. N., and Labrousse, L.: Subtropical climate conditions and mangrove growth in</w:t>
      </w:r>
      <w:r>
        <w:t xml:space="preserve"> </w:t>
      </w:r>
      <w:r>
        <w:t xml:space="preserve">Arctic Siberia</w:t>
      </w:r>
      <w:r>
        <w:t xml:space="preserve"> </w:t>
      </w:r>
      <w:r>
        <w:t xml:space="preserve">during the early</w:t>
      </w:r>
      <w:r>
        <w:t xml:space="preserve"> </w:t>
      </w:r>
      <w:r>
        <w:t xml:space="preserve">Eocene</w:t>
      </w:r>
      <w:r>
        <w:t xml:space="preserve">, Geology, 45, 539–542,</w:t>
      </w:r>
      <w:r>
        <w:t xml:space="preserve"> </w:t>
      </w:r>
      <w:hyperlink r:id="rId134">
        <w:r>
          <w:rPr>
            <w:rStyle w:val="Hyperlink"/>
          </w:rPr>
          <w:t xml:space="preserve">https://doi.org/10.1130/G38547.1</w:t>
        </w:r>
      </w:hyperlink>
      <w:r>
        <w:t xml:space="preserve">, 2017.</w:t>
      </w:r>
    </w:p>
    <w:bookmarkEnd w:id="135"/>
    <w:bookmarkStart w:id="137" w:name="ref-Taylor2004"/>
    <w:p>
      <w:pPr>
        <w:pStyle w:val="Bibliography"/>
      </w:pPr>
      <w:r>
        <w:t xml:space="preserve">Taylor, S. P., Haywood, A. M., Valdes, P. J., and Sellwood, B. W.: An evaluation of two spatial interpolation techniques in global sea-surface temperature reconstructions:</w:t>
      </w:r>
      <w:r>
        <w:t xml:space="preserve"> </w:t>
      </w:r>
      <w:r>
        <w:t xml:space="preserve">Last Glacial Maximum</w:t>
      </w:r>
      <w:r>
        <w:t xml:space="preserve"> </w:t>
      </w:r>
      <w:r>
        <w:t xml:space="preserve">and</w:t>
      </w:r>
      <w:r>
        <w:t xml:space="preserve"> </w:t>
      </w:r>
      <w:r>
        <w:t xml:space="preserve">Pliocene</w:t>
      </w:r>
      <w:r>
        <w:t xml:space="preserve"> </w:t>
      </w:r>
      <w:r>
        <w:t xml:space="preserve">case studies, Quaternary Science Reviews, 23, 1041–1051,</w:t>
      </w:r>
      <w:r>
        <w:t xml:space="preserve"> </w:t>
      </w:r>
      <w:hyperlink r:id="rId136">
        <w:r>
          <w:rPr>
            <w:rStyle w:val="Hyperlink"/>
          </w:rPr>
          <w:t xml:space="preserve">https://doi.org/10.1016/j.quascirev.2003.12.003</w:t>
        </w:r>
      </w:hyperlink>
      <w:r>
        <w:t xml:space="preserve">, 2004.</w:t>
      </w:r>
    </w:p>
    <w:bookmarkEnd w:id="137"/>
    <w:bookmarkStart w:id="138" w:name="ref-Tierney2017"/>
    <w:p>
      <w:pPr>
        <w:pStyle w:val="Bibliography"/>
      </w:pPr>
      <w:r>
        <w:t xml:space="preserve">Tierney, J. E., Sinninghe Damsté, J. S., Pancost, R. D., Sluijs, A., and Zachos, J. C.: Eocene temperature gradients, Nature Geoscience, 10, 538–539, 2017.</w:t>
      </w:r>
    </w:p>
    <w:bookmarkEnd w:id="138"/>
    <w:bookmarkStart w:id="139" w:name="ref-Tierney2020"/>
    <w:p>
      <w:pPr>
        <w:pStyle w:val="Bibliography"/>
      </w:pPr>
      <w:r>
        <w:t xml:space="preserve">Tierney, J. E., Poulsen, C. J., Montañez, I. P., Bhattacharya, T., Feng, R., Ford, H. L., Hönisch, B., Inglis, G. N., Petersen, S. V., Sagoo, N., et al.: Past climates inform our future, Science, 370, eaay3701, 2020.</w:t>
      </w:r>
    </w:p>
    <w:bookmarkEnd w:id="139"/>
    <w:bookmarkStart w:id="141" w:name="ref-Veizer2015"/>
    <w:p>
      <w:pPr>
        <w:pStyle w:val="Bibliography"/>
      </w:pPr>
      <w:r>
        <w:t xml:space="preserve">Veizer, J. and Prokoph, A.: Temperatures and oxygen isotopic composition of</w:t>
      </w:r>
      <w:r>
        <w:t xml:space="preserve"> </w:t>
      </w:r>
      <w:r>
        <w:t xml:space="preserve">Phanerozoic</w:t>
      </w:r>
      <w:r>
        <w:t xml:space="preserve"> </w:t>
      </w:r>
      <w:r>
        <w:t xml:space="preserve">oceans, Earth-Science Reviews, 146, 92–104,</w:t>
      </w:r>
      <w:r>
        <w:t xml:space="preserve"> </w:t>
      </w:r>
      <w:hyperlink r:id="rId140">
        <w:r>
          <w:rPr>
            <w:rStyle w:val="Hyperlink"/>
          </w:rPr>
          <w:t xml:space="preserve">https://doi.org/10.1016/j.earscirev.2015.03.008</w:t>
        </w:r>
      </w:hyperlink>
      <w:r>
        <w:t xml:space="preserve">, 2015.</w:t>
      </w:r>
    </w:p>
    <w:bookmarkEnd w:id="141"/>
    <w:bookmarkStart w:id="142" w:name="ref-Vickers2021"/>
    <w:p>
      <w:pPr>
        <w:pStyle w:val="Bibliography"/>
      </w:pPr>
      <w:r>
        <w:t xml:space="preserve">Vickers, M. L., Bernasconi, S. M., Ullmann, C. V., Lode, S., Looser, N., Morales, L. G., Price, G. D., Wilby, P. R., Hougård, I. W., Hesselbo, S. P., et al.: Marine temperatures underestimated for past greenhouse climate, Scientific reports, 11, 1–9, 2021.</w:t>
      </w:r>
    </w:p>
    <w:bookmarkEnd w:id="142"/>
    <w:bookmarkStart w:id="143" w:name="ref-Westerhold2018"/>
    <w:p>
      <w:pPr>
        <w:pStyle w:val="Bibliography"/>
      </w:pPr>
      <w:r>
        <w:t xml:space="preserve">Westerhold, T., Röhl, U., Donner, B., and Zachos, J. C.: Global extent of early eocene hyperthermal events: A new pacific benthic foraminiferal isotope record from shatsky rise (ODP site 1209), Paleoceanography and Paleoclimatology, 33, 626–642, 2018.</w:t>
      </w:r>
    </w:p>
    <w:bookmarkEnd w:id="143"/>
    <w:bookmarkStart w:id="144" w:name="ref-yamano2001"/>
    <w:p>
      <w:pPr>
        <w:pStyle w:val="Bibliography"/>
      </w:pPr>
      <w:r>
        <w:t xml:space="preserve">Yamano, H., Hori, K., Yamauchi, M., Yamagawa, O., and Ohmura, A.: Highest-latitude coral reef at iki island, japan, Coral Reefs, 20, 9–12, 2001.</w:t>
      </w:r>
    </w:p>
    <w:bookmarkEnd w:id="144"/>
    <w:bookmarkStart w:id="145" w:name="ref-Zamagni2012"/>
    <w:p>
      <w:pPr>
        <w:pStyle w:val="Bibliography"/>
      </w:pPr>
      <w:r>
        <w:t xml:space="preserve">Zamagni, J., Mutti, M., and Košir, A.: The evolution of mid paleocene-early eocene coral communities: How to survive during rapid global warming, Palaeogeography, palaeoclimatology, palaeoecology, 317, 48–65, 2012.</w:t>
      </w:r>
    </w:p>
    <w:bookmarkEnd w:id="145"/>
    <w:bookmarkStart w:id="147" w:name="ref-Zhang2019"/>
    <w:p>
      <w:pPr>
        <w:pStyle w:val="Bibliography"/>
      </w:pPr>
      <w:r>
        <w:t xml:space="preserve">Zhang, L., Hay, W. W., Wang, C., and Gu, X.: The evolution of latitudinal temperature gradients from the latest</w:t>
      </w:r>
      <w:r>
        <w:t xml:space="preserve"> </w:t>
      </w:r>
      <w:r>
        <w:t xml:space="preserve">Cretaceous</w:t>
      </w:r>
      <w:r>
        <w:t xml:space="preserve"> </w:t>
      </w:r>
      <w:r>
        <w:t xml:space="preserve">through the</w:t>
      </w:r>
      <w:r>
        <w:t xml:space="preserve"> </w:t>
      </w:r>
      <w:r>
        <w:t xml:space="preserve">Present</w:t>
      </w:r>
      <w:r>
        <w:t xml:space="preserve">, Earth-Science Reviews, 189, 147–158,</w:t>
      </w:r>
      <w:r>
        <w:t xml:space="preserve"> </w:t>
      </w:r>
      <w:hyperlink r:id="rId146">
        <w:r>
          <w:rPr>
            <w:rStyle w:val="Hyperlink"/>
          </w:rPr>
          <w:t xml:space="preserve">https://doi.org/10.1016/j.earscirev.2019.01.025</w:t>
        </w:r>
      </w:hyperlink>
      <w:r>
        <w:t xml:space="preserve">, 2019.</w:t>
      </w:r>
    </w:p>
    <w:bookmarkEnd w:id="147"/>
    <w:bookmarkStart w:id="148" w:name="ref-Zhu2019"/>
    <w:p>
      <w:pPr>
        <w:pStyle w:val="Bibliography"/>
      </w:pPr>
      <w:r>
        <w:t xml:space="preserve">Zhu, J., Poulsen, C. J., and Tierney, J. E.: Simulation of eocene extreme warmth and high climate sensitivity through cloud feedbacks, Science advances, 5, eaax1874, 2019.</w:t>
      </w:r>
    </w:p>
    <w:bookmarkEnd w:id="148"/>
    <w:bookmarkStart w:id="149" w:name="ref-ziegler1984"/>
    <w:p>
      <w:pPr>
        <w:pStyle w:val="Bibliography"/>
      </w:pPr>
      <w:r>
        <w:t xml:space="preserve">Ziegler, A., Hulver, M., Lottes, A., and Schmachtenberg, W.: Uniformitarianism and palaeoclimates: Inferences from the distribution of carbonate rocks, Geological journal. Special issue, 3–25, 1984.</w:t>
      </w:r>
    </w:p>
    <w:bookmarkEnd w:id="149"/>
    <w:bookmarkEnd w:id="150"/>
    <w:bookmarkEnd w:id="151"/>
    <w:sectPr w:rsidR="009B58D4" w:rsidRPr="009D7010" w:rsidSect="00B138AE">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615660"/>
      <w:docPartObj>
        <w:docPartGallery w:val="Page Numbers (Bottom of Page)"/>
        <w:docPartUnique/>
      </w:docPartObj>
    </w:sdtPr>
    <w:sdtEndPr>
      <w:rPr>
        <w:noProof/>
      </w:rPr>
    </w:sdtEndPr>
    <w:sdtContent>
      <w:p w14:paraId="20823A51" w14:textId="21933526" w:rsidR="00E867B8" w:rsidRDefault="00E867B8" w:rsidP="00E867B8">
        <w:pPr>
          <w:pStyle w:val="FootnoteText"/>
        </w:pPr>
        <w:r>
          <w:fldChar w:fldCharType="begin"/>
        </w:r>
        <w:r>
          <w:instrText xml:space="preserve"> PAGE   \* MERGEFORMAT </w:instrText>
        </w:r>
        <w:r>
          <w:fldChar w:fldCharType="separate"/>
        </w:r>
        <w:r>
          <w:rPr>
            <w:noProof/>
          </w:rPr>
          <w:t>2</w:t>
        </w:r>
        <w:r>
          <w:rPr>
            <w:noProof/>
          </w:rPr>
          <w:fldChar w:fldCharType="end"/>
        </w:r>
      </w:p>
    </w:sdtContent>
  </w:sdt>
  <w:p w14:paraId="030F27C8" w14:textId="77777777" w:rsidR="00E867B8" w:rsidRDefault="00E867B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Number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Number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Heading1" w:type="paragraph">
    <w:name w:val="heading 1"/>
    <w:basedOn w:val="Normal"/>
    <w:next w:val="BodyText"/>
    <w:uiPriority w:val="9"/>
    <w:qFormat/>
    <w:rsid w:val="00E4579E"/>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E4579E"/>
    <w:pPr>
      <w:keepNext/>
      <w:keepLines/>
      <w:spacing w:after="0" w:before="200"/>
      <w:outlineLvl w:val="2"/>
    </w:pPr>
    <w:rPr>
      <w:rFonts w:cs="Times New Roman" w:eastAsiaTheme="majorEastAsia"/>
      <w:b/>
      <w:bCs/>
      <w:color w:themeColor="text1" w:val="000000"/>
    </w:rPr>
  </w:style>
  <w:style w:styleId="Heading4" w:type="paragraph">
    <w:name w:val="heading 4"/>
    <w:basedOn w:val="Normal"/>
    <w:next w:val="BodyText"/>
    <w:uiPriority w:val="9"/>
    <w:unhideWhenUsed/>
    <w:qFormat/>
    <w:rsid w:val="00E4579E"/>
    <w:pPr>
      <w:keepNext/>
      <w:keepLines/>
      <w:spacing w:after="0" w:before="200"/>
      <w:outlineLvl w:val="3"/>
    </w:pPr>
    <w:rPr>
      <w:rFonts w:cs="Times New Roman" w:eastAsiaTheme="majorEastAsia"/>
      <w:bCs/>
      <w:color w:themeColor="text1" w:val="000000"/>
    </w:rPr>
  </w:style>
  <w:style w:styleId="Heading5" w:type="paragraph">
    <w:name w:val="heading 5"/>
    <w:basedOn w:val="Normal"/>
    <w:next w:val="BodyText"/>
    <w:uiPriority w:val="9"/>
    <w:unhideWhenUsed/>
    <w:qFormat/>
    <w:rsid w:val="00E4579E"/>
    <w:pPr>
      <w:keepNext/>
      <w:keepLines/>
      <w:spacing w:after="0" w:before="200"/>
      <w:outlineLvl w:val="4"/>
    </w:pPr>
    <w:rPr>
      <w:rFonts w:cs="Times New Roman" w:eastAsiaTheme="majorEastAsia"/>
      <w:color w:themeColor="text1" w:val="000000"/>
    </w:rPr>
  </w:style>
  <w:style w:styleId="Heading6" w:type="paragraph">
    <w:name w:val="heading 6"/>
    <w:basedOn w:val="Normal"/>
    <w:next w:val="BodyText"/>
    <w:uiPriority w:val="9"/>
    <w:unhideWhenUsed/>
    <w:qFormat/>
    <w:rsid w:val="00E4579E"/>
    <w:pPr>
      <w:keepNext/>
      <w:keepLines/>
      <w:spacing w:after="0" w:before="200"/>
      <w:outlineLvl w:val="5"/>
    </w:pPr>
    <w:rPr>
      <w:rFonts w:cs="Times New Roman" w:eastAsiaTheme="majorEastAsia"/>
      <w:color w:themeColor="text1" w:val="000000"/>
    </w:rPr>
  </w:style>
  <w:style w:styleId="Heading7" w:type="paragraph">
    <w:name w:val="heading 7"/>
    <w:basedOn w:val="Normal"/>
    <w:next w:val="BodyText"/>
    <w:uiPriority w:val="9"/>
    <w:unhideWhenUsed/>
    <w:qFormat/>
    <w:rsid w:val="00E4579E"/>
    <w:pPr>
      <w:keepNext/>
      <w:keepLines/>
      <w:spacing w:after="0" w:before="200"/>
      <w:outlineLvl w:val="6"/>
    </w:pPr>
    <w:rPr>
      <w:rFonts w:cs="Times New Roman" w:eastAsiaTheme="majorEastAsia"/>
      <w:color w:themeColor="text1" w:val="000000"/>
    </w:rPr>
  </w:style>
  <w:style w:styleId="Heading8" w:type="paragraph">
    <w:name w:val="heading 8"/>
    <w:basedOn w:val="Normal"/>
    <w:next w:val="BodyText"/>
    <w:uiPriority w:val="9"/>
    <w:unhideWhenUsed/>
    <w:qFormat/>
    <w:rsid w:val="00E4579E"/>
    <w:pPr>
      <w:keepNext/>
      <w:keepLines/>
      <w:spacing w:after="0" w:before="200"/>
      <w:outlineLvl w:val="7"/>
    </w:pPr>
    <w:rPr>
      <w:rFonts w:cs="Times New Roman" w:eastAsiaTheme="majorEastAsia"/>
      <w:color w:themeColor="tex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F7947"/>
    <w:pPr>
      <w:spacing w:after="180" w:before="180" w:line="360" w:lineRule="auto"/>
      <w:jc w:val="both"/>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E3FD0"/>
    <w:pPr>
      <w:keepNext/>
      <w:keepLines/>
      <w:spacing w:after="120" w:line="360" w:lineRule="auto"/>
      <w:jc w:val="center"/>
    </w:pPr>
    <w:rPr>
      <w:rFonts w:cs="Angsana New" w:eastAsiaTheme="majorEastAsia"/>
      <w:b/>
      <w:bCs/>
      <w:color w:themeColor="text1" w:val="000000"/>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E6DDD"/>
    <w:pPr>
      <w:keepNext/>
      <w:keepLines/>
      <w:spacing w:after="0" w:line="360" w:lineRule="auto"/>
      <w:jc w:val="center"/>
    </w:pPr>
    <w:rPr>
      <w:rFonts w:ascii="Times New Roman" w:hAnsi="Times New Roman"/>
      <w:sz w:val="22"/>
    </w:rPr>
  </w:style>
  <w:style w:styleId="Date" w:type="paragraph">
    <w:name w:val="Date"/>
    <w:next w:val="BodyText"/>
    <w:qFormat/>
    <w:pPr>
      <w:keepNext/>
      <w:keepLines/>
      <w:jc w:val="center"/>
    </w:pPr>
  </w:style>
  <w:style w:customStyle="1" w:styleId="Abstract" w:type="paragraph">
    <w:name w:val="Abstract"/>
    <w:basedOn w:val="Normal"/>
    <w:next w:val="BodyText"/>
    <w:qFormat/>
    <w:rsid w:val="00AD55A2"/>
    <w:pPr>
      <w:keepNext/>
      <w:keepLines/>
      <w:spacing w:after="300" w:before="300"/>
      <w:jc w:val="center"/>
    </w:pPr>
    <w:rPr>
      <w:b/>
      <w:bCs/>
      <w:sz w:val="32"/>
      <w:szCs w:val="32"/>
    </w:rPr>
  </w:style>
  <w:style w:styleId="Bibliography" w:type="paragraph">
    <w:name w:val="Bibliography"/>
    <w:basedOn w:val="Normal"/>
    <w:qFormat/>
    <w:rsid w:val="00E25B66"/>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E867B8"/>
    <w:pPr>
      <w:spacing w:after="0"/>
      <w:jc w:val="right"/>
    </w:pPr>
    <w:rPr>
      <w:color w:themeColor="text1" w:val="00000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CaptionedFigure"/>
    <w:link w:val="CaptionChar"/>
    <w:rsid w:val="00F94E32"/>
  </w:style>
  <w:style w:customStyle="1" w:styleId="TableCaption" w:type="paragraph">
    <w:name w:val="Table Caption"/>
    <w:basedOn w:val="BodyText"/>
    <w:rsid w:val="001571EA"/>
    <w:pPr>
      <w:spacing w:line="240" w:lineRule="auto"/>
    </w:pPr>
  </w:style>
  <w:style w:customStyle="1" w:styleId="ImageCaption" w:type="paragraph">
    <w:name w:val="Image Caption"/>
    <w:basedOn w:val="Caption"/>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CaptionChar" w:type="character">
    <w:name w:val="Caption Char"/>
    <w:basedOn w:val="DefaultParagraphFont"/>
    <w:link w:val="Caption"/>
    <w:rsid w:val="00F94E32"/>
    <w:rPr>
      <w:rFonts w:ascii="Times New Roman" w:cs="Times New Roman" w:hAnsi="Times New Roman"/>
      <w:sz w:val="22"/>
      <w:szCs w:val="22"/>
    </w:rPr>
  </w:style>
  <w:style w:customStyle="1" w:styleId="VerbatimChar" w:type="character">
    <w:name w:val="Verbatim Char"/>
    <w:basedOn w:val="CaptionChar"/>
    <w:link w:val="SourceCode"/>
    <w:rPr>
      <w:rFonts w:ascii="Consolas" w:cs="Times New Roman" w:hAnsi="Consolas"/>
      <w:sz w:val="22"/>
      <w:szCs w:val="22"/>
    </w:rPr>
  </w:style>
  <w:style w:customStyle="1" w:styleId="SectionNumber" w:type="character">
    <w:name w:val="Section Number"/>
    <w:basedOn w:val="CaptionChar"/>
    <w:rPr>
      <w:rFonts w:ascii="Times New Roman" w:cs="Times New Roman" w:hAnsi="Times New Roman"/>
      <w:sz w:val="22"/>
      <w:szCs w:val="22"/>
    </w:rPr>
  </w:style>
  <w:style w:styleId="FootnoteReference" w:type="character">
    <w:name w:val="footnote reference"/>
    <w:basedOn w:val="CaptionChar"/>
    <w:rsid w:val="00E25B66"/>
    <w:rPr>
      <w:rFonts w:ascii="Times New Roman" w:cs="Times New Roman" w:hAnsi="Times New Roman"/>
      <w:sz w:val="24"/>
      <w:szCs w:val="22"/>
      <w:vertAlign w:val="superscript"/>
    </w:rPr>
  </w:style>
  <w:style w:styleId="Hyperlink" w:type="character">
    <w:name w:val="Hyperlink"/>
    <w:basedOn w:val="CaptionChar"/>
    <w:rsid w:val="00174DC2"/>
    <w:rPr>
      <w:rFonts w:ascii="Times New Roman" w:cs="Times New Roman" w:hAnsi="Times New Roman"/>
      <w:color w:themeColor="text1" w:val="000000"/>
      <w:sz w:val="22"/>
      <w:szCs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BodyTextChar" w:type="character">
    <w:name w:val="Body Text Char"/>
    <w:basedOn w:val="DefaultParagraphFont"/>
    <w:link w:val="BodyText"/>
    <w:rsid w:val="00CF7947"/>
    <w:rPr>
      <w:rFonts w:ascii="Times New Roman" w:hAnsi="Times New Roman"/>
      <w:sz w:val="22"/>
    </w:rPr>
  </w:style>
  <w:style w:styleId="Footer" w:type="paragraph">
    <w:name w:val="footer"/>
    <w:basedOn w:val="Normal"/>
    <w:link w:val="FooterChar"/>
    <w:uiPriority w:val="99"/>
    <w:unhideWhenUsed/>
    <w:rsid w:val="00E25B66"/>
    <w:pPr>
      <w:tabs>
        <w:tab w:pos="4513" w:val="center"/>
        <w:tab w:pos="9026" w:val="right"/>
      </w:tabs>
      <w:spacing w:after="0"/>
    </w:pPr>
    <w:rPr>
      <w:sz w:val="16"/>
    </w:rPr>
  </w:style>
  <w:style w:customStyle="1" w:styleId="FooterChar" w:type="character">
    <w:name w:val="Footer Char"/>
    <w:basedOn w:val="DefaultParagraphFont"/>
    <w:link w:val="Footer"/>
    <w:uiPriority w:val="99"/>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 w:styleId="BodyTextFirstIndent" w:type="paragraph">
    <w:name w:val="Body Text First Indent"/>
    <w:basedOn w:val="BodyText"/>
    <w:link w:val="BodyTextFirstIndentChar"/>
    <w:unhideWhenUsed/>
    <w:rsid w:val="00A63A6B"/>
    <w:pPr>
      <w:spacing w:after="200" w:before="0" w:line="240" w:lineRule="auto"/>
      <w:ind w:firstLine="360"/>
      <w:jc w:val="left"/>
    </w:pPr>
    <w:rPr>
      <w:rFonts w:asciiTheme="minorHAnsi" w:hAnsiTheme="minorHAnsi"/>
      <w:sz w:val="24"/>
    </w:rPr>
  </w:style>
  <w:style w:customStyle="1" w:styleId="BodyTextFirstIndentChar" w:type="character">
    <w:name w:val="Body Text First Indent Char"/>
    <w:basedOn w:val="BodyTextChar"/>
    <w:link w:val="BodyTextFirstIndent"/>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 w:type="paragraph">
    <w:name w:val="List"/>
    <w:basedOn w:val="Normal"/>
    <w:unhideWhenUsed/>
    <w:rsid w:val="00ED1205"/>
    <w:pPr>
      <w:ind w:hanging="283" w:left="283"/>
      <w:contextualSpacing/>
    </w:pPr>
  </w:style>
  <w:style w:styleId="List2" w:type="paragraph">
    <w:name w:val="List 2"/>
    <w:basedOn w:val="Normal"/>
    <w:unhideWhenUsed/>
    <w:rsid w:val="00ED1205"/>
    <w:pPr>
      <w:ind w:hanging="283" w:left="566"/>
      <w:contextualSpacing/>
    </w:pPr>
  </w:style>
  <w:style w:styleId="List3" w:type="paragraph">
    <w:name w:val="List 3"/>
    <w:basedOn w:val="Normal"/>
    <w:unhideWhenUsed/>
    <w:rsid w:val="00EA0107"/>
    <w:pPr>
      <w:ind w:hanging="283" w:left="849"/>
      <w:contextualSpacing/>
    </w:pPr>
  </w:style>
  <w:style w:styleId="ListNumber" w:type="paragraph">
    <w:name w:val="List Number"/>
    <w:basedOn w:val="Normal"/>
    <w:unhideWhenUsed/>
    <w:rsid w:val="00F66C3D"/>
    <w:pPr>
      <w:numPr>
        <w:numId w:val="6"/>
      </w:numPr>
      <w:contextualSpacing/>
    </w:pPr>
  </w:style>
  <w:style w:styleId="ListNumber2" w:type="paragraph">
    <w:name w:val="List Number 2"/>
    <w:basedOn w:val="Normal"/>
    <w:unhideWhenUsed/>
    <w:rsid w:val="00F66C3D"/>
    <w:pPr>
      <w:numPr>
        <w:numId w:val="5"/>
      </w:numPr>
      <w:contextualSpacing/>
    </w:pPr>
  </w:style>
  <w:style w:styleId="ListNumber3" w:type="paragraph">
    <w:name w:val="List Number 3"/>
    <w:basedOn w:val="Normal"/>
    <w:unhideWhenUsed/>
    <w:rsid w:val="00F647AB"/>
    <w:pPr>
      <w:numPr>
        <w:numId w:val="4"/>
      </w:numPr>
      <w:contextualSpacing/>
    </w:pPr>
  </w:style>
  <w:style w:styleId="ListContinue" w:type="paragraph">
    <w:name w:val="List Continue"/>
    <w:basedOn w:val="Normal"/>
    <w:unhideWhenUsed/>
    <w:rsid w:val="00ED1205"/>
    <w:pPr>
      <w:spacing w:after="120"/>
      <w:ind w:left="283"/>
      <w:contextualSpacing/>
    </w:pPr>
  </w:style>
  <w:style w:styleId="ListContinue2" w:type="paragraph">
    <w:name w:val="List Continue 2"/>
    <w:basedOn w:val="Normal"/>
    <w:unhideWhenUsed/>
    <w:rsid w:val="00ED1205"/>
    <w:pPr>
      <w:spacing w:after="120"/>
      <w:ind w:left="566"/>
      <w:contextualSpacing/>
    </w:pPr>
  </w:style>
  <w:style w:styleId="ListContinue3" w:type="paragraph">
    <w:name w:val="List Continue 3"/>
    <w:basedOn w:val="Normal"/>
    <w:unhideWhenUsed/>
    <w:rsid w:val="000A63C5"/>
    <w:pPr>
      <w:spacing w:after="120"/>
      <w:ind w:left="849"/>
      <w:contextualSpacing/>
    </w:pPr>
  </w:style>
  <w:style w:styleId="ListBullet" w:type="paragraph">
    <w:name w:val="List Bullet"/>
    <w:basedOn w:val="Normal"/>
    <w:semiHidden/>
    <w:unhideWhenUsed/>
    <w:rsid w:val="00ED1205"/>
    <w:pPr>
      <w:numPr>
        <w:numId w:val="11"/>
      </w:numPr>
      <w:contextualSpacing/>
    </w:pPr>
  </w:style>
  <w:style w:styleId="ListBullet2" w:type="paragraph">
    <w:name w:val="List Bullet 2"/>
    <w:basedOn w:val="Normal"/>
    <w:semiHidden/>
    <w:unhideWhenUsed/>
    <w:rsid w:val="00ED1205"/>
    <w:pPr>
      <w:numPr>
        <w:numId w:val="10"/>
      </w:numPr>
      <w:contextualSpacing/>
    </w:pPr>
  </w:style>
  <w:style w:styleId="Header" w:type="paragraph">
    <w:name w:val="header"/>
    <w:basedOn w:val="Normal"/>
    <w:link w:val="HeaderChar"/>
    <w:unhideWhenUsed/>
    <w:rsid w:val="00E867B8"/>
    <w:pPr>
      <w:tabs>
        <w:tab w:pos="4513" w:val="center"/>
        <w:tab w:pos="9026" w:val="right"/>
      </w:tabs>
      <w:spacing w:after="0"/>
    </w:pPr>
  </w:style>
  <w:style w:customStyle="1" w:styleId="HeaderChar" w:type="character">
    <w:name w:val="Header Char"/>
    <w:basedOn w:val="DefaultParagraphFont"/>
    <w:link w:val="Header"/>
    <w:rsid w:val="00E867B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hyperlink" Id="rId121" Target="https://doi.org/10.1007/s00468-012-0760-1" TargetMode="External" /><Relationship Type="http://schemas.openxmlformats.org/officeDocument/2006/relationships/hyperlink" Id="rId132" Target="https://doi.org/10.1007/s12583-018-1002-2" TargetMode="External" /><Relationship Type="http://schemas.openxmlformats.org/officeDocument/2006/relationships/hyperlink" Id="rId140" Target="https://doi.org/10.1016/j.earscirev.2015.03.008" TargetMode="External" /><Relationship Type="http://schemas.openxmlformats.org/officeDocument/2006/relationships/hyperlink" Id="rId146" Target="https://doi.org/10.1016/j.earscirev.2019.01.025" TargetMode="External" /><Relationship Type="http://schemas.openxmlformats.org/officeDocument/2006/relationships/hyperlink" Id="rId129" Target="https://doi.org/10.1016/j.earscirev.2021.103503" TargetMode="External" /><Relationship Type="http://schemas.openxmlformats.org/officeDocument/2006/relationships/hyperlink" Id="rId80" Target="https://doi.org/10.1016/j.envsoft.2021.105002" TargetMode="External" /><Relationship Type="http://schemas.openxmlformats.org/officeDocument/2006/relationships/hyperlink" Id="rId136" Target="https://doi.org/10.1016/j.quascirev.2003.12.003" TargetMode="External" /><Relationship Type="http://schemas.openxmlformats.org/officeDocument/2006/relationships/hyperlink" Id="rId105" Target="https://doi.org/10.1029/2020GL089044" TargetMode="External" /><Relationship Type="http://schemas.openxmlformats.org/officeDocument/2006/relationships/hyperlink" Id="rId74" Target="https://doi.org/10.1038/nature08399" TargetMode="External" /><Relationship Type="http://schemas.openxmlformats.org/officeDocument/2006/relationships/hyperlink" Id="rId119" Target="https://doi.org/10.1038/nature11300" TargetMode="External" /><Relationship Type="http://schemas.openxmlformats.org/officeDocument/2006/relationships/hyperlink" Id="rId77" Target="https://doi.org/10.1073/pnas.1809600115" TargetMode="External" /><Relationship Type="http://schemas.openxmlformats.org/officeDocument/2006/relationships/hyperlink" Id="rId117" Target="https://doi.org/10.1111/jbi.14238" TargetMode="External" /><Relationship Type="http://schemas.openxmlformats.org/officeDocument/2006/relationships/hyperlink" Id="rId90" Target="https://doi.org/10.1130/0091-7613(1995)023&lt;1044:ECCALT&gt;2.3.CO;2" TargetMode="External" /><Relationship Type="http://schemas.openxmlformats.org/officeDocument/2006/relationships/hyperlink" Id="rId108" Target="https://doi.org/10.1130/G32054.1" TargetMode="External" /><Relationship Type="http://schemas.openxmlformats.org/officeDocument/2006/relationships/hyperlink" Id="rId134" Target="https://doi.org/10.1130/G38547.1" TargetMode="External" /><Relationship Type="http://schemas.openxmlformats.org/officeDocument/2006/relationships/hyperlink" Id="rId100" Target="https://doi.org/10.1130/G49132.1" TargetMode="External" /><Relationship Type="http://schemas.openxmlformats.org/officeDocument/2006/relationships/hyperlink" Id="rId103" Target="https://doi.org/10.31223/X5Z94Q" TargetMode="External" /><Relationship Type="http://schemas.openxmlformats.org/officeDocument/2006/relationships/hyperlink" Id="rId97" Target="https://doi.org/10.5194/cp-16-1953-2020" TargetMode="External" /><Relationship Type="http://schemas.openxmlformats.org/officeDocument/2006/relationships/hyperlink" Id="rId69" Target="https://github.com/KEichenseer/PalaeoClimateGradient" TargetMode="External" /><Relationship Type="http://schemas.openxmlformats.org/officeDocument/2006/relationships/hyperlink" Id="rId70" Target="https://zenodo.org/record/7995969" TargetMode="External" /></Relationships>
</file>

<file path=word/_rels/footnotes.xml.rels><?xml version="1.0" encoding="UTF-8"?><Relationships xmlns="http://schemas.openxmlformats.org/package/2006/relationships"><Relationship Type="http://schemas.openxmlformats.org/officeDocument/2006/relationships/hyperlink" Id="rId121" Target="https://doi.org/10.1007/s00468-012-0760-1" TargetMode="External" /><Relationship Type="http://schemas.openxmlformats.org/officeDocument/2006/relationships/hyperlink" Id="rId132" Target="https://doi.org/10.1007/s12583-018-1002-2" TargetMode="External" /><Relationship Type="http://schemas.openxmlformats.org/officeDocument/2006/relationships/hyperlink" Id="rId140" Target="https://doi.org/10.1016/j.earscirev.2015.03.008" TargetMode="External" /><Relationship Type="http://schemas.openxmlformats.org/officeDocument/2006/relationships/hyperlink" Id="rId146" Target="https://doi.org/10.1016/j.earscirev.2019.01.025" TargetMode="External" /><Relationship Type="http://schemas.openxmlformats.org/officeDocument/2006/relationships/hyperlink" Id="rId129" Target="https://doi.org/10.1016/j.earscirev.2021.103503" TargetMode="External" /><Relationship Type="http://schemas.openxmlformats.org/officeDocument/2006/relationships/hyperlink" Id="rId80" Target="https://doi.org/10.1016/j.envsoft.2021.105002" TargetMode="External" /><Relationship Type="http://schemas.openxmlformats.org/officeDocument/2006/relationships/hyperlink" Id="rId136" Target="https://doi.org/10.1016/j.quascirev.2003.12.003" TargetMode="External" /><Relationship Type="http://schemas.openxmlformats.org/officeDocument/2006/relationships/hyperlink" Id="rId105" Target="https://doi.org/10.1029/2020GL089044" TargetMode="External" /><Relationship Type="http://schemas.openxmlformats.org/officeDocument/2006/relationships/hyperlink" Id="rId74" Target="https://doi.org/10.1038/nature08399" TargetMode="External" /><Relationship Type="http://schemas.openxmlformats.org/officeDocument/2006/relationships/hyperlink" Id="rId119" Target="https://doi.org/10.1038/nature11300" TargetMode="External" /><Relationship Type="http://schemas.openxmlformats.org/officeDocument/2006/relationships/hyperlink" Id="rId77" Target="https://doi.org/10.1073/pnas.1809600115" TargetMode="External" /><Relationship Type="http://schemas.openxmlformats.org/officeDocument/2006/relationships/hyperlink" Id="rId117" Target="https://doi.org/10.1111/jbi.14238" TargetMode="External" /><Relationship Type="http://schemas.openxmlformats.org/officeDocument/2006/relationships/hyperlink" Id="rId90" Target="https://doi.org/10.1130/0091-7613(1995)023&lt;1044:ECCALT&gt;2.3.CO;2" TargetMode="External" /><Relationship Type="http://schemas.openxmlformats.org/officeDocument/2006/relationships/hyperlink" Id="rId108" Target="https://doi.org/10.1130/G32054.1" TargetMode="External" /><Relationship Type="http://schemas.openxmlformats.org/officeDocument/2006/relationships/hyperlink" Id="rId134" Target="https://doi.org/10.1130/G38547.1" TargetMode="External" /><Relationship Type="http://schemas.openxmlformats.org/officeDocument/2006/relationships/hyperlink" Id="rId100" Target="https://doi.org/10.1130/G49132.1" TargetMode="External" /><Relationship Type="http://schemas.openxmlformats.org/officeDocument/2006/relationships/hyperlink" Id="rId103" Target="https://doi.org/10.31223/X5Z94Q" TargetMode="External" /><Relationship Type="http://schemas.openxmlformats.org/officeDocument/2006/relationships/hyperlink" Id="rId97" Target="https://doi.org/10.5194/cp-16-1953-2020" TargetMode="External" /><Relationship Type="http://schemas.openxmlformats.org/officeDocument/2006/relationships/hyperlink" Id="rId69" Target="https://github.com/KEichenseer/PalaeoClimateGradient" TargetMode="External" /><Relationship Type="http://schemas.openxmlformats.org/officeDocument/2006/relationships/hyperlink" Id="rId70" Target="https://zenodo.org/record/79959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multi-proxy reconstruction of early Eocene latitudinal temperature gradients</dc:title>
  <dc:creator>—; Kilian Eichenseer1 and Lewis A. Jones2; —; 1Department of Earth Sciences, Durham University, South Road, DH1 3LE, Durham, United Kingdom; 2Centro de Investigación Mariña, Grupo de Ecoloxía Animal, Departamento de Ecoloxía e Bioloxía Animal, Universidade de Vigo, 36310 Vigo, Spain.; —; Corresponding author: kilian.eichenseer@durham.ac.uk</dc:creator>
  <cp:keywords/>
  <dcterms:created xsi:type="dcterms:W3CDTF">2023-06-05T10:13:57Z</dcterms:created>
  <dcterms:modified xsi:type="dcterms:W3CDTF">2023-06-05T10:13:57Z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 Abstract</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sl">
    <vt:lpwstr>climate-of-the-past.csl</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