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br/>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substantially reduce uncertainty in palaeoclimate reconstructions, allowing for unbiased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 Tierney et al., 2020)</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Acknowledging the assumptions and limitations inherent in geochemical temperature proxies, e.g. experimentally derived calibrations, influences from seasonality, dissolution effects and differential preservation [e.g.</w:t>
      </w:r>
      <w:r>
        <w:t xml:space="preserve"> </w:t>
      </w:r>
      <w:r>
        <w:t xml:space="preserve">Tierney et al. (2017)</w:t>
      </w:r>
      <w:r>
        <w:t xml:space="preserve">; ], can allow for robust estimates of palaeotemperatures at a local scale. However,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The Bayesian approach offers a powerful framework for integrating various sources of uncertainty and modelling complex hierarchical relationships, and is increasingly used in palaeoclimatic reconstructions</w:t>
      </w:r>
      <w:r>
        <w:t xml:space="preserve"> </w:t>
      </w:r>
      <w:r>
        <w:t xml:space="preserve">(e.g. Weitzel et al., 2019; Yang and Bowen, 2022; Burgener et al., 2023)</w:t>
      </w:r>
      <w:r>
        <w:t xml:space="preserve">.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chose a generalised logistic function to accurately infer the shape of the temperature gradient despite a patchy latitudinal coverage. This choice is motivated by the flexibility and ability of this function to approximate a variety of nonlinear patterns in the underlying temperature gradients, that other parametric approaches, such as lower order polynomials</w:t>
      </w:r>
      <w:r>
        <w:t xml:space="preserve"> </w:t>
      </w:r>
      <w:r>
        <w:t xml:space="preserve">(e.g. Bijl et al., 2009;</w:t>
      </w:r>
      <w:r>
        <w:t xml:space="preserve"> </w:t>
      </w:r>
      <w:r>
        <w:rPr>
          <w:bCs/>
          <w:b/>
        </w:rPr>
        <w:t xml:space="preserve">Keating-Bitoni2011?</w:t>
      </w:r>
      <w:r>
        <w:t xml:space="preserve">)</w:t>
      </w:r>
      <w:r>
        <w:t xml:space="preserve">, lack. We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For comparison, a gradient derived from an atmosphere-ocean general circulation model (GCM) ensemble is also shown.</w:t>
      </w:r>
    </w:p>
    <w:tbl>
      <w:tblPr>
        <w:tblStyle w:val="Table"/>
        <w:tblW w:type="pct" w:w="5000"/>
        <w:tblLook w:firstRow="1" w:lastRow="0" w:firstColumn="0" w:lastColumn="0" w:noHBand="0" w:noVBand="0" w:val="0020"/>
        <w:jc w:val="start"/>
      </w:tblPr>
      <w:tblGrid>
        <w:gridCol w:w="2222"/>
        <w:gridCol w:w="202"/>
        <w:gridCol w:w="363"/>
        <w:gridCol w:w="929"/>
        <w:gridCol w:w="1171"/>
        <w:gridCol w:w="3030"/>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 (GCM)</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sea surface temperature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 – 49.1 Ma) and samples originating from near the ocean surface or mixed layer. Samples labelled as</w:t>
      </w:r>
      <w:r>
        <w:t xml:space="preserve"> </w:t>
      </w:r>
      <w:r>
        <w:t xml:space="preserve">“</w:t>
      </w:r>
      <w:r>
        <w:t xml:space="preserve">thermocline</w:t>
      </w:r>
      <w:r>
        <w:t xml:space="preserve">”</w:t>
      </w:r>
      <w:r>
        <w:t xml:space="preserve"> </w:t>
      </w:r>
      <w:r>
        <w:t xml:space="preserve">or</w:t>
      </w:r>
      <w:r>
        <w:t xml:space="preserve"> </w:t>
      </w:r>
      <w:r>
        <w:t xml:space="preserve">“</w:t>
      </w:r>
      <w:r>
        <w:t xml:space="preserve">sub-thermocline</w:t>
      </w:r>
      <w:r>
        <w:t xml:space="preserve">”</w:t>
      </w:r>
      <w:r>
        <w:t xml:space="preserve"> </w:t>
      </w:r>
      <w:r>
        <w:t xml:space="preserve">were excluded.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 – 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 N</w:t>
      </w:r>
      <w:r>
        <w:t xml:space="preserve"> </w:t>
      </w:r>
      <w:r>
        <w:t xml:space="preserve">(Zamagni et al., 2012)</w:t>
      </w:r>
      <w:r>
        <w:t xml:space="preserve">. Using a compilation of Paleocene – 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jc w:val="start"/>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_revised.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r>
                <m:t>1</m:t>
              </m:r>
              <m:r>
                <m:rPr>
                  <m:sty m:val="p"/>
                </m:rPr>
                <m:t>+</m:t>
              </m:r>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use this generalised logistic function because it can follow the equatorial and polar asymptotes observed in the modern, latitudinal SST gradient, but can also accommodate a variety of other shapes, while consisting of only four shape parameters. This flexibility is primarily achieved by shifting the location of the curve along the latitudinal axis by varying</w:t>
      </w:r>
      <w:r>
        <w:t xml:space="preserve"> </w:t>
      </w:r>
      <m:oMath>
        <m:r>
          <m:t>M</m:t>
        </m:r>
      </m:oMath>
      <w:r>
        <w:t xml:space="preserve">, and by altering the steepness of the curve by varying</w:t>
      </w:r>
      <w:r>
        <w:t xml:space="preserve"> </w:t>
      </w:r>
      <m:oMath>
        <m:r>
          <m:t>B</m:t>
        </m:r>
      </m:oMath>
      <w:r>
        <w:t xml:space="preserve">. For example, one limb of a second-order polynomial as in</w:t>
      </w:r>
      <w:r>
        <w:t xml:space="preserve"> </w:t>
      </w:r>
      <w:r>
        <w:t xml:space="preserve">Bijl et al. (2009)</w:t>
      </w:r>
      <w:r>
        <w:t xml:space="preserve"> </w:t>
      </w:r>
      <w:r>
        <w:t xml:space="preserve">can be approximated by increasing</w:t>
      </w:r>
      <w:r>
        <w:t xml:space="preserve"> </w:t>
      </w:r>
      <m:oMath>
        <m:r>
          <m:t>M</m:t>
        </m:r>
      </m:oMath>
      <w:r>
        <w:t xml:space="preserve"> </w:t>
      </w:r>
      <w:r>
        <w:t xml:space="preserve">towards high latitudes, and decreasing</w:t>
      </w:r>
      <w:r>
        <w:t xml:space="preserve"> </w:t>
      </w:r>
      <m:oMath>
        <m:r>
          <m:t>B</m:t>
        </m:r>
      </m:oMath>
      <w:r>
        <w:t xml:space="preserve"> </w:t>
      </w:r>
      <w:r>
        <w:t xml:space="preserve">to reduce the steepness of the curve. The model is designed for modelling the average gradient across both hemispheres, but can also be applied to individual hemispheres, to assess hemispherical differences (Supplementary Material).</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used the empirical, modern gradient, representative of an icehouse climate, and generated three idealised gradients that emulate potential climatic states throughout Earth’s geological history: extreme icehouse, icehouse (modern), greenhouse, and extreme greenhouse</w:t>
      </w:r>
      <w:r>
        <w:t xml:space="preserve"> </w:t>
      </w:r>
      <w:r>
        <w:t xml:space="preserve">(Frakes et al., 1992)</w:t>
      </w:r>
      <w:r>
        <w:t xml:space="preserve">. The idealised gradients serve to test whether our model setup is able to infer gradients that are strongly different from the modern from a varying amount of samples.</w:t>
      </w:r>
    </w:p>
    <w:p>
      <w:pPr>
        <w:pStyle w:val="BodyText"/>
      </w:pPr>
      <w:r>
        <w:t xml:space="preserve">We created test data from these gradients as follows: To capture both limited sample size and skewed geographic origins of samples, we randomly sampled (200 iterations) the latitudes of the EECO data set (n = 34) used in this study, at sample sizes of 5, 10 and 20, and also used the full set of 34 latitudes. For each latitude, we inferred a location mean temperature from the gradients, adding random noise from a normal distribution with a standard deviation of 2.2, which is the residual standard deviation of modern sea surface temperature averages from the modelled modern gradient (see below). We then randomly allocated a sample size</w:t>
      </w:r>
      <w:r>
        <w:t xml:space="preserve"> </w:t>
      </w:r>
      <m:oMath>
        <m:r>
          <m:t>s</m:t>
        </m:r>
      </m:oMath>
      <w:r>
        <w:t xml:space="preserve"> </w:t>
      </w:r>
      <w:r>
        <w:t xml:space="preserve">from the sample sizes present in the EECO data set to each location, and randomly generated</w:t>
      </w:r>
      <w:r>
        <w:t xml:space="preserve"> </w:t>
      </w:r>
      <m:oMath>
        <m:r>
          <m:t>s</m:t>
        </m:r>
      </m:oMath>
      <w:r>
        <w:t xml:space="preserve"> </w:t>
      </w:r>
      <w:r>
        <w:t xml:space="preserve">temperature data from a normal distribution with mean equal to the previously generated location mean temperatures, and a standard deviation of 3.8. This standard deviation is the average standard deviation of the EECO geochemical proxy data, and with that we aim to simulate randomly distributed errors in the proxy data. This approach should give a fair assessment of how the model setup can be affected by the known unknowns (quantifiable errors), but we acknowledge that it cannot quantify the potential impact of unknown, systematic offsets that may bias all proxy data from one location in the same direction.</w:t>
      </w:r>
    </w:p>
    <w:p>
      <w:pPr>
        <w:pStyle w:val="BodyText"/>
      </w:pPr>
      <w:r>
        <w:t xml:space="preserve">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where then taken from all temperature estimates obtained at the latitudes of interest.</w:t>
      </w:r>
    </w:p>
    <w:p>
      <w:pPr>
        <w:pStyle w:val="BodyText"/>
      </w:pPr>
      <w:r>
        <w:t xml:space="preserve">The latitudinal gradient is calculated as the difference between the modelled temperature at the equator (0° latitude) and at the poles (90° absolute latitude). To facilitate comparison with earlier estimates, we also calculate the gradient with the temperature at the polar circle (66.6° absolute latitude) being used instead of the temperature at the poles. Given the sigmoidal shape of the modern as well as the Eocene gradient (see Fig. 4), these results are broadly comparable to a gradient inferred from the zonal average of equatorial and high-latitude temperatures, as has been done in some earlier studies</w:t>
      </w:r>
      <w:r>
        <w:t xml:space="preserve"> </w:t>
      </w:r>
      <w:r>
        <w:t xml:space="preserve">(Evans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jc w:val="start"/>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_revised_final.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jc w:val="start"/>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_revised.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w:t>
            </w:r>
            <m:oMath>
              <m:sSup>
                <m:e>
                  <m:r>
                    <m:t>R</m:t>
                  </m:r>
                </m:e>
                <m:sup>
                  <m:r>
                    <m:t>2</m:t>
                  </m:r>
                </m:sup>
              </m:sSup>
              <m:r>
                <m:rPr>
                  <m:sty m:val="p"/>
                </m:rPr>
                <m:t>=</m:t>
              </m:r>
              <m:r>
                <m:t>0.97</m:t>
              </m:r>
              <m:r>
                <m:rPr>
                  <m:sty m:val="p"/>
                </m:rPr>
                <m:t>,</m:t>
              </m:r>
              <m:r>
                <m:t>N</m:t>
              </m:r>
              <m:r>
                <m:rPr>
                  <m:sty m:val="p"/>
                </m:rPr>
                <m:t>=</m:t>
              </m:r>
              <m:r>
                <m:t>42</m:t>
              </m:r>
              <m:r>
                <m:rPr>
                  <m:sty m:val="p"/>
                </m:rPr>
                <m:t>,</m:t>
              </m:r>
              <m:r>
                <m:t>896</m:t>
              </m:r>
              <m:r>
                <m:rPr>
                  <m:sty m:val="p"/>
                </m:rPr>
                <m:t>)</m:t>
              </m:r>
            </m:oMath>
            <w:r>
              <w:t xml:space="preserve">. Grey points depict the individual cell values of the Bio-ORACLE grid of mean sea surface temperatures, which were used to infer the empirical and the modelled gradient.</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(black line) is explained by the modelled gradient (</w:t>
      </w:r>
      <m:oMath>
        <m:r>
          <m:t>99.7</m:t>
        </m:r>
        <m:r>
          <m:rPr>
            <m:sty m:val="p"/>
          </m:rPr>
          <m:t>%</m:t>
        </m:r>
      </m:oMath>
      <w:r>
        <w:t xml:space="preserve">). The empirical gradient spans 29.3°C from the equator to the poles, the modelled gradient is only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Eocene temperature gradient reconstructed with our Bayesian model is starkly different from the modern (Fig 4). Modelled, median equatorial temperatures are 4.2 (95% CI: 0.2 – 8.3)°C higher for the EECO, and polar temperatures are 25.0 (17.0 – 29.1)°C higher. This results in a flattened latitudinal temperature gradient of 9.0 ( 2.5 – 17.8)°C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slightly lower at 7.8 ( 2.2 – 13.7)°C.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 – 4.9 (3.8 – 6.5)°C – which is more than double the</w:t>
      </w:r>
      <w:r>
        <w:t xml:space="preserve"> </w:t>
      </w:r>
      <m:oMath>
        <m:r>
          <m:t>σ</m:t>
        </m:r>
      </m:oMath>
      <w:r>
        <w:t xml:space="preserve"> </w:t>
      </w:r>
      <w:r>
        <w:t xml:space="preserve">for the modern gradient, 2.2. This signifies that the early Eocene data does not fit as well to the logistic latitudinal gradient model, which can also be seen from the drastic departure of some of the proxy data from the gradient estimates (Fig. 4).</w:t>
      </w:r>
    </w:p>
    <w:p>
      <w:pPr>
        <w:pStyle w:val="BodyText"/>
      </w:pPr>
      <w:r>
        <w:t xml:space="preserve">The early Eocene GMST is estimated at 28.7 (26.7 – 30.7)°C, 11.1°C higher than the modern. A model run excluding the ecological proxies increases the GMST by 1.6 (-1.8 – 4.8)°C. The median latitudinal gradient is similar when excluding the ecological proxies, with a median of 9.2°C, but with a 20% wider 95% CI (Fig. S2). This indicates that the ecological proxy data are broadly in agreement with the geochemical proxies, while providing additional constraints on the shape of the early Eocene temperature gradient.</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6.5 (3.5 – 9.4)°C. The inferred latitudinal gradient is somewhat steeper in the Northern Hemisphere (steeper by 4.8°C, although the 95% CI spans -6.6 – 14.3°C), but the large uncertainties associated with both gradients, and the lack of polar proxy data in the Southern Hemisphere preclude a more precise statement (see Fig. S3).</w:t>
      </w:r>
    </w:p>
    <w:tbl>
      <w:tblPr>
        <w:tblStyle w:val="Table"/>
        <w:tblW w:type="pct" w:w="5000"/>
        <w:tblLook w:firstRow="0" w:lastRow="0" w:firstColumn="0" w:lastColumn="0" w:noHBand="0" w:noVBand="0" w:val="0000"/>
        <w:jc w:val="start"/>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_revised.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even with small sample sizes (</w:t>
      </w:r>
      <w:r>
        <w:rPr>
          <w:iCs/>
          <w:i/>
        </w:rPr>
        <w:t xml:space="preserve">n</w:t>
      </w:r>
      <w:r>
        <w:t xml:space="preserve"> </w:t>
      </w:r>
      <w:r>
        <w:t xml:space="preserve">= 10 – 20)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 – 21°C (Table 1); a more recent reconstruction that includes terrestrial air and sea surface temperatures arrives at a gradient of ~13°C</w:t>
      </w:r>
      <w:r>
        <w:t xml:space="preserve"> </w:t>
      </w:r>
      <w:r>
        <w:t xml:space="preserve">(Inglis et al., 2020)</w:t>
      </w:r>
      <w:r>
        <w:t xml:space="preserve">. Our polar circle to equatorial gradient estimate is lower than most previous estimates at 7.8°C, although the 95% credible interval extends up to 13.7°C and thus overlaps earlier estimates based on shallow water proxies. The confirmation of a very flat gradient by both geochemical and ecological shallow water data indicates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w:t>
      </w:r>
    </w:p>
    <w:p>
      <w:pPr>
        <w:pStyle w:val="BodyText"/>
      </w:pPr>
      <w:r>
        <w:t xml:space="preserve">Discrepancies between earlier, proxy-based reconstructions and our modelling results are most pronounced in latitudes beyond the polar circle, as earlier approaches</w:t>
      </w:r>
      <w:r>
        <w:t xml:space="preserve"> </w:t>
      </w:r>
      <w:r>
        <w:t xml:space="preserve">(e.g. Tierney et al., 2017)</w:t>
      </w:r>
      <w:r>
        <w:t xml:space="preserve"> </w:t>
      </w:r>
      <w:r>
        <w:t xml:space="preserve">predict almost linearly decreasing SSTs towards the poles, whereas our median prediction suggests only a slight decrease beyond the polar circle. The scarcity of temperature records in this range leads to widening credible intervals in our prediction, including the possibility of stronger temperature decreases. Polar temperature estimates from our model are thus conservative in that they admit large uncertainty where data is absent, which is desirable. However, the presence of high proxy-derived temperature estimates at ~ 60° latitudes forces the modelled median temperature curve to be too high at ~ 24°C, relative to the temperatures indicated by the high-latitude mangrove communities (15.6 - 22.5°C). In contrast, the extrapolated polar temperatures of most previous proxy-based models are likely too low, given the abundance of ecological data indicating temperate or subtropical high-latitude climates during the EECO</w:t>
      </w:r>
      <w:r>
        <w:t xml:space="preserve"> </w:t>
      </w:r>
      <w:r>
        <w:t xml:space="preserve">(Pross et al., 2012; Popescu et al., 2021)</w:t>
      </w:r>
      <w:r>
        <w:t xml:space="preserve">.</w:t>
      </w:r>
    </w:p>
    <w:p>
      <w:pPr>
        <w:pStyle w:val="BodyText"/>
      </w:pPr>
      <w:r>
        <w:t xml:space="preserve">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 Seasonality</w:t>
      </w:r>
      <w:r>
        <w:t xml:space="preserve"> </w:t>
      </w:r>
      <w:r>
        <w:t xml:space="preserve">(Keating-Bitonti et al., 2011)</w:t>
      </w:r>
      <w:r>
        <w:t xml:space="preserve"> </w:t>
      </w:r>
      <w:r>
        <w:t xml:space="preserve">and temporal changes within the EECO</w:t>
      </w:r>
      <w:r>
        <w:t xml:space="preserve"> </w:t>
      </w:r>
      <w:r>
        <w:t xml:space="preserve">(Westerhold et al., 2018)</w:t>
      </w:r>
      <w:r>
        <w:t xml:space="preserve"> </w:t>
      </w:r>
      <w:r>
        <w:t xml:space="preserve">may also contribute to the large variability of the EECO proxy data.</w:t>
      </w:r>
    </w:p>
    <w:p>
      <w:pPr>
        <w:pStyle w:val="BodyText"/>
      </w:pPr>
      <w:r>
        <w:t xml:space="preserve">Recent, marine GMST estimates of the EECO and of the early Eocene range from 23.4 – 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28.7°C.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 For the purpose of open access, the authors have applied a Creative Commons Attribution (CC BY) licence to any Author Accepted Manuscript version arising from this submission.</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1"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w:t>
      </w:r>
      <w:hyperlink r:id="rId70">
        <w:r>
          <w:rPr>
            <w:rStyle w:val="Hyperlink"/>
          </w:rPr>
          <w:t xml:space="preserve">https://zenodo.org/record/7995969</w:t>
        </w:r>
      </w:hyperlink>
      <w:r>
        <w:t xml:space="preserve">).</w:t>
      </w:r>
    </w:p>
    <w:bookmarkEnd w:id="71"/>
    <w:bookmarkStart w:id="153" w:name="references"/>
    <w:p>
      <w:pPr>
        <w:pStyle w:val="Heading1"/>
      </w:pPr>
      <w:r>
        <w:t xml:space="preserve">References</w:t>
      </w:r>
    </w:p>
    <w:bookmarkStart w:id="152" w:name="refs"/>
    <w:bookmarkStart w:id="72"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2"/>
    <w:bookmarkStart w:id="73" w:name="ref-Beer2008"/>
    <w:p>
      <w:pPr>
        <w:pStyle w:val="Bibliography"/>
      </w:pPr>
      <w:r>
        <w:t xml:space="preserve">Beer, J., Abreu, J., and Steinhilber, F.: Sun and planets from a climate point of view, Proceedings of the International Astronomical Union, 4, 29–43, 2008.</w:t>
      </w:r>
    </w:p>
    <w:bookmarkEnd w:id="73"/>
    <w:bookmarkStart w:id="7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4">
        <w:r>
          <w:rPr>
            <w:rStyle w:val="Hyperlink"/>
          </w:rPr>
          <w:t xml:space="preserve">https://doi.org/10.1038/nature08399</w:t>
        </w:r>
      </w:hyperlink>
      <w:r>
        <w:t xml:space="preserve">, 2009.</w:t>
      </w:r>
    </w:p>
    <w:bookmarkEnd w:id="75"/>
    <w:bookmarkStart w:id="76"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6"/>
    <w:bookmarkStart w:id="78"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7">
        <w:r>
          <w:rPr>
            <w:rStyle w:val="Hyperlink"/>
          </w:rPr>
          <w:t xml:space="preserve">https://doi.org/10.1073/pnas.1809600115</w:t>
        </w:r>
      </w:hyperlink>
      <w:r>
        <w:t xml:space="preserve">, 2018.</w:t>
      </w:r>
    </w:p>
    <w:bookmarkEnd w:id="78"/>
    <w:bookmarkStart w:id="79"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9"/>
    <w:bookmarkStart w:id="81"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0">
        <w:r>
          <w:rPr>
            <w:rStyle w:val="Hyperlink"/>
          </w:rPr>
          <w:t xml:space="preserve">https://doi.org/10.1016/j.envsoft.2021.105002</w:t>
        </w:r>
      </w:hyperlink>
      <w:r>
        <w:t xml:space="preserve">, 2021.</w:t>
      </w:r>
    </w:p>
    <w:bookmarkEnd w:id="81"/>
    <w:bookmarkStart w:id="82"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2"/>
    <w:bookmarkStart w:id="83"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3"/>
    <w:bookmarkStart w:id="84"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4"/>
    <w:bookmarkStart w:id="85" w:name="ref-Frakes1992"/>
    <w:p>
      <w:pPr>
        <w:pStyle w:val="Bibliography"/>
      </w:pPr>
      <w:r>
        <w:t xml:space="preserve">Frakes, L. A., Francis, J. E., and Syktus, J. I.: Climate modes of the phanerozoic, 1992.</w:t>
      </w:r>
    </w:p>
    <w:bookmarkEnd w:id="85"/>
    <w:bookmarkStart w:id="86" w:name="ref-Gelman2013"/>
    <w:p>
      <w:pPr>
        <w:pStyle w:val="Bibliography"/>
      </w:pPr>
      <w:r>
        <w:t xml:space="preserve">Gelman, A., Carlin, J. B., Stern, H. S., Dunson, D. B., Vehtari, A., and Rubin, D. B.: Bayesian data analysis, CRC press, 2013.</w:t>
      </w:r>
    </w:p>
    <w:bookmarkEnd w:id="86"/>
    <w:bookmarkStart w:id="87" w:name="ref-Gelman2019"/>
    <w:p>
      <w:pPr>
        <w:pStyle w:val="Bibliography"/>
      </w:pPr>
      <w:r>
        <w:t xml:space="preserve">Gelman, A., Goodrich, B., Gabry, J., and Vehtari, A.: R-squared for bayesian regression models, The American Statistician, 2019.</w:t>
      </w:r>
    </w:p>
    <w:bookmarkEnd w:id="87"/>
    <w:bookmarkStart w:id="88" w:name="ref-Gilks1995"/>
    <w:p>
      <w:pPr>
        <w:pStyle w:val="Bibliography"/>
      </w:pPr>
      <w:r>
        <w:t xml:space="preserve">Gilks, W. R., Richardson, S., and Spiegelhalter, D.: Markov chain monte carlo in practice, CRC press, 1995.</w:t>
      </w:r>
    </w:p>
    <w:bookmarkEnd w:id="88"/>
    <w:bookmarkStart w:id="89" w:name="ref-Greenwood2017"/>
    <w:p>
      <w:pPr>
        <w:pStyle w:val="Bibliography"/>
      </w:pPr>
      <w:r>
        <w:t xml:space="preserve">Greenwood, D., Keefe, R., Reichgelt, T., and Webb, J.: Eocene paleobotanical altimetry of victoria’s eastern uplands, Australian Journal of Earth Sciences, 64, 625–637, 2017.</w:t>
      </w:r>
    </w:p>
    <w:bookmarkEnd w:id="89"/>
    <w:bookmarkStart w:id="91" w:name="ref-Greenwood1995"/>
    <w:p>
      <w:pPr>
        <w:pStyle w:val="Bibliography"/>
      </w:pPr>
      <w:r>
        <w:t xml:space="preserve">Greenwood, D. R. and Wing, S. L.: Eocene continental climates and latitudinal temperature gradients, Geology, 23, 1044,</w:t>
      </w:r>
      <w:r>
        <w:t xml:space="preserve"> </w:t>
      </w:r>
      <w:hyperlink r:id="rId90">
        <w:r>
          <w:rPr>
            <w:rStyle w:val="Hyperlink"/>
          </w:rPr>
          <w:t xml:space="preserve">https://doi.org/10.1130/0091-7613(1995)023&lt;1044:ECCALT&gt;2.3.CO;2</w:t>
        </w:r>
      </w:hyperlink>
      <w:r>
        <w:t xml:space="preserve">, 1995.</w:t>
      </w:r>
    </w:p>
    <w:bookmarkEnd w:id="91"/>
    <w:bookmarkStart w:id="92" w:name="ref-Grossman2022"/>
    <w:p>
      <w:pPr>
        <w:pStyle w:val="Bibliography"/>
      </w:pPr>
      <w:r>
        <w:t xml:space="preserve">Grossman, E. L. and Joachimski, M. M.: Ocean temperatures through the phanerozoic reassessed, Scientific Reports, 12, 8938, 2022.</w:t>
      </w:r>
    </w:p>
    <w:bookmarkEnd w:id="92"/>
    <w:bookmarkStart w:id="93"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3"/>
    <w:bookmarkStart w:id="94" w:name="ref-Hoegh2011"/>
    <w:p>
      <w:pPr>
        <w:pStyle w:val="Bibliography"/>
      </w:pPr>
      <w:r>
        <w:t xml:space="preserve">Hoegh-Guldberg, O.: Coral reef ecosystems and anthropogenic climate change, Regional Environmental Change, 11, 215–227, 2011.</w:t>
      </w:r>
    </w:p>
    <w:bookmarkEnd w:id="94"/>
    <w:bookmarkStart w:id="95"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5"/>
    <w:bookmarkStart w:id="96" w:name="ref-Huber2011"/>
    <w:p>
      <w:pPr>
        <w:pStyle w:val="Bibliography"/>
      </w:pPr>
      <w:r>
        <w:t xml:space="preserve">Huber, M. and Caballero, R.: The early eocene equable climate problem revisited, Climate of the Past, 7, 603–633, 2011.</w:t>
      </w:r>
    </w:p>
    <w:bookmarkEnd w:id="96"/>
    <w:bookmarkStart w:id="98"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7">
        <w:r>
          <w:rPr>
            <w:rStyle w:val="Hyperlink"/>
          </w:rPr>
          <w:t xml:space="preserve">https://doi.org/10.5194/cp-16-1953-2020</w:t>
        </w:r>
      </w:hyperlink>
      <w:r>
        <w:t xml:space="preserve">, 2020.</w:t>
      </w:r>
    </w:p>
    <w:bookmarkEnd w:id="98"/>
    <w:bookmarkStart w:id="99" w:name="ref-johannes1983"/>
    <w:p>
      <w:pPr>
        <w:pStyle w:val="Bibliography"/>
      </w:pPr>
      <w:r>
        <w:t xml:space="preserve">Johannes, R., Wiebe, W., Crossland, C., Rimmer, D., and Smith, S.: Latitudinal limits of coral reef growth., Marine ecology progress series. Oldendorf, 11, 105–111, 1983.</w:t>
      </w:r>
    </w:p>
    <w:bookmarkEnd w:id="99"/>
    <w:bookmarkStart w:id="101"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0">
        <w:r>
          <w:rPr>
            <w:rStyle w:val="Hyperlink"/>
          </w:rPr>
          <w:t xml:space="preserve">https://doi.org/10.1130/G49132.1</w:t>
        </w:r>
      </w:hyperlink>
      <w:r>
        <w:t xml:space="preserve">, 2022.</w:t>
      </w:r>
    </w:p>
    <w:bookmarkEnd w:id="101"/>
    <w:bookmarkStart w:id="102" w:name="ref-jones2022reef"/>
    <w:p>
      <w:pPr>
        <w:pStyle w:val="Bibliography"/>
      </w:pPr>
      <w:r>
        <w:t xml:space="preserve">Jones, L. A., Mannion, P. D., Farnsworth, A., Bragg, F., and Lunt, D. J.: Climatic and tectonic drivers shaped the tropical distribution of coral reefs, Nature communications, 13, 1–10, 2022.</w:t>
      </w:r>
    </w:p>
    <w:bookmarkEnd w:id="102"/>
    <w:bookmarkStart w:id="104"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3">
        <w:r>
          <w:rPr>
            <w:rStyle w:val="Hyperlink"/>
          </w:rPr>
          <w:t xml:space="preserve">https://doi.org/10.31223/X5Z94Q</w:t>
        </w:r>
      </w:hyperlink>
      <w:r>
        <w:t xml:space="preserve">, 2023.</w:t>
      </w:r>
    </w:p>
    <w:bookmarkEnd w:id="104"/>
    <w:bookmarkStart w:id="106"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5">
        <w:r>
          <w:rPr>
            <w:rStyle w:val="Hyperlink"/>
          </w:rPr>
          <w:t xml:space="preserve">https://doi.org/10.1029/2020GL089044</w:t>
        </w:r>
      </w:hyperlink>
      <w:r>
        <w:t xml:space="preserve">, 2020.</w:t>
      </w:r>
    </w:p>
    <w:bookmarkEnd w:id="106"/>
    <w:bookmarkStart w:id="107"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7"/>
    <w:bookmarkStart w:id="109"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08">
        <w:r>
          <w:rPr>
            <w:rStyle w:val="Hyperlink"/>
          </w:rPr>
          <w:t xml:space="preserve">https://doi.org/10.1130/G32054.1</w:t>
        </w:r>
      </w:hyperlink>
      <w:r>
        <w:t xml:space="preserve">, 2011.</w:t>
      </w:r>
    </w:p>
    <w:bookmarkEnd w:id="109"/>
    <w:bookmarkStart w:id="110" w:name="ref-kiessling2001"/>
    <w:p>
      <w:pPr>
        <w:pStyle w:val="Bibliography"/>
      </w:pPr>
      <w:r>
        <w:t xml:space="preserve">Kiessling, W.: Paleoclimatic significance of phanerozoic reefs, Geology, 29, 751–754, 2001.</w:t>
      </w:r>
    </w:p>
    <w:bookmarkEnd w:id="110"/>
    <w:bookmarkStart w:id="111" w:name="ref-kleypas1999"/>
    <w:p>
      <w:pPr>
        <w:pStyle w:val="Bibliography"/>
      </w:pPr>
      <w:r>
        <w:t xml:space="preserve">Kleypas, J. A., McManus, J. W., and Meñez, L. A.: Environmental limits to coral reef development: Where do we draw the line?, American zoologist, 39, 146–159, 1999.</w:t>
      </w:r>
    </w:p>
    <w:bookmarkEnd w:id="111"/>
    <w:bookmarkStart w:id="112"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2"/>
    <w:bookmarkStart w:id="113" w:name="ref-Markwick1994"/>
    <w:p>
      <w:pPr>
        <w:pStyle w:val="Bibliography"/>
      </w:pPr>
      <w:r>
        <w:t xml:space="preserve">Markwick, P. J.: "Equability," continentality, and tertiary "climate": The crocodilian perspective, Geology, 22, 613–616, 1994.</w:t>
      </w:r>
    </w:p>
    <w:bookmarkEnd w:id="113"/>
    <w:bookmarkStart w:id="114"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4"/>
    <w:bookmarkStart w:id="115" w:name="ref-Muir2015"/>
    <w:p>
      <w:pPr>
        <w:pStyle w:val="Bibliography"/>
      </w:pPr>
      <w:r>
        <w:t xml:space="preserve">Muir, P. R., Wallace, C. C., Done, T., and Aguirre, J. D.: Limited scope for latitudinal extension of reef corals, Science, 348, 1135–1138, 2015.</w:t>
      </w:r>
    </w:p>
    <w:bookmarkEnd w:id="115"/>
    <w:bookmarkStart w:id="116"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6"/>
    <w:bookmarkStart w:id="118"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17">
        <w:r>
          <w:rPr>
            <w:rStyle w:val="Hyperlink"/>
          </w:rPr>
          <w:t xml:space="preserve">https://doi.org/10.1111/jbi.14238</w:t>
        </w:r>
      </w:hyperlink>
      <w:r>
        <w:t xml:space="preserve">, 2021.</w:t>
      </w:r>
    </w:p>
    <w:bookmarkEnd w:id="118"/>
    <w:bookmarkStart w:id="120"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19">
        <w:r>
          <w:rPr>
            <w:rStyle w:val="Hyperlink"/>
          </w:rPr>
          <w:t xml:space="preserve">https://doi.org/10.1038/nature11300</w:t>
        </w:r>
      </w:hyperlink>
      <w:r>
        <w:t xml:space="preserve">, 2012.</w:t>
      </w:r>
    </w:p>
    <w:bookmarkEnd w:id="120"/>
    <w:bookmarkStart w:id="122"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1">
        <w:r>
          <w:rPr>
            <w:rStyle w:val="Hyperlink"/>
          </w:rPr>
          <w:t xml:space="preserve">https://doi.org/10.1007/s00468-012-0760-1</w:t>
        </w:r>
      </w:hyperlink>
      <w:r>
        <w:t xml:space="preserve">, 2012.</w:t>
      </w:r>
    </w:p>
    <w:bookmarkEnd w:id="122"/>
    <w:bookmarkStart w:id="123" w:name="ref-Rasmussen2004"/>
    <w:p>
      <w:pPr>
        <w:pStyle w:val="Bibliography"/>
      </w:pPr>
      <w:r>
        <w:t xml:space="preserve">Rasmussen, C. E. and Williams, C. K.: Gaussian processes in machine learning, Lecture notes in computer science, 3176, 63–71, 2004.</w:t>
      </w:r>
    </w:p>
    <w:bookmarkEnd w:id="123"/>
    <w:bookmarkStart w:id="124" w:name="ref-Reynolds1994"/>
    <w:p>
      <w:pPr>
        <w:pStyle w:val="Bibliography"/>
      </w:pPr>
      <w:r>
        <w:t xml:space="preserve">Reynolds, R. W. and Smith, T. M.: Improved global sea surface temperature analyses using optimum interpolation, Journal of climate, 7, 929–948, 1994.</w:t>
      </w:r>
    </w:p>
    <w:bookmarkEnd w:id="124"/>
    <w:bookmarkStart w:id="125" w:name="ref-Royer2012"/>
    <w:p>
      <w:pPr>
        <w:pStyle w:val="Bibliography"/>
      </w:pPr>
      <w:r>
        <w:t xml:space="preserve">Royer, D. L.: Climate reconstruction from leaf size and shape: New developments and challenges, The Paleontological Society Papers, 18, 195–212, 2012.</w:t>
      </w:r>
    </w:p>
    <w:bookmarkEnd w:id="125"/>
    <w:bookmarkStart w:id="126" w:name="ref-Royer2004"/>
    <w:p>
      <w:pPr>
        <w:pStyle w:val="Bibliography"/>
      </w:pPr>
      <w:r>
        <w:t xml:space="preserve">Royer, D. L., Berner, R. A., Montañez, I. P., Tabor, N. J., Beerling, D. J., et al.: Co~ 2 as a primary driver of phanerozoic climate, GSA today, 14, 4–10, 2004.</w:t>
      </w:r>
    </w:p>
    <w:bookmarkEnd w:id="126"/>
    <w:bookmarkStart w:id="127"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27"/>
    <w:bookmarkStart w:id="128" w:name="ref-Schrag1999"/>
    <w:p>
      <w:pPr>
        <w:pStyle w:val="Bibliography"/>
      </w:pPr>
      <w:r>
        <w:t xml:space="preserve">Schrag, D. P.: Effects of diagenesis on the isotopic record of late paleogene tropical sea surface temperatures, Chemical Geology, 161, 215–224, 1999.</w:t>
      </w:r>
    </w:p>
    <w:bookmarkEnd w:id="128"/>
    <w:bookmarkStart w:id="130"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29">
        <w:r>
          <w:rPr>
            <w:rStyle w:val="Hyperlink"/>
          </w:rPr>
          <w:t xml:space="preserve">https://doi.org/10.1016/j.earscirev.2021.103503</w:t>
        </w:r>
      </w:hyperlink>
      <w:r>
        <w:t xml:space="preserve">, 2021.</w:t>
      </w:r>
    </w:p>
    <w:bookmarkEnd w:id="130"/>
    <w:bookmarkStart w:id="131" w:name="ref-Sloan1990"/>
    <w:p>
      <w:pPr>
        <w:pStyle w:val="Bibliography"/>
      </w:pPr>
      <w:r>
        <w:t xml:space="preserve">Sloan, L. C. and Barron, E. J.: " equable" climates during earth history?, Geology, 18, 489–492, 1990.</w:t>
      </w:r>
    </w:p>
    <w:bookmarkEnd w:id="131"/>
    <w:bookmarkStart w:id="133"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2">
        <w:r>
          <w:rPr>
            <w:rStyle w:val="Hyperlink"/>
          </w:rPr>
          <w:t xml:space="preserve">https://doi.org/10.1007/s12583-018-1002-2</w:t>
        </w:r>
      </w:hyperlink>
      <w:r>
        <w:t xml:space="preserve">, 2019.</w:t>
      </w:r>
    </w:p>
    <w:bookmarkEnd w:id="133"/>
    <w:bookmarkStart w:id="135"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4">
        <w:r>
          <w:rPr>
            <w:rStyle w:val="Hyperlink"/>
          </w:rPr>
          <w:t xml:space="preserve">https://doi.org/10.1130/G38547.1</w:t>
        </w:r>
      </w:hyperlink>
      <w:r>
        <w:t xml:space="preserve">, 2017.</w:t>
      </w:r>
    </w:p>
    <w:bookmarkEnd w:id="135"/>
    <w:bookmarkStart w:id="137"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6">
        <w:r>
          <w:rPr>
            <w:rStyle w:val="Hyperlink"/>
          </w:rPr>
          <w:t xml:space="preserve">https://doi.org/10.1016/j.quascirev.2003.12.003</w:t>
        </w:r>
      </w:hyperlink>
      <w:r>
        <w:t xml:space="preserve">, 2004.</w:t>
      </w:r>
    </w:p>
    <w:bookmarkEnd w:id="137"/>
    <w:bookmarkStart w:id="138" w:name="ref-Tierney2017"/>
    <w:p>
      <w:pPr>
        <w:pStyle w:val="Bibliography"/>
      </w:pPr>
      <w:r>
        <w:t xml:space="preserve">Tierney, J. E., Sinninghe Damsté, J. S., Pancost, R. D., Sluijs, A., and Zachos, J. C.: Eocene temperature gradients, Nature Geoscience, 10, 538–539, 2017.</w:t>
      </w:r>
    </w:p>
    <w:bookmarkEnd w:id="138"/>
    <w:bookmarkStart w:id="139"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39"/>
    <w:bookmarkStart w:id="141"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0">
        <w:r>
          <w:rPr>
            <w:rStyle w:val="Hyperlink"/>
          </w:rPr>
          <w:t xml:space="preserve">https://doi.org/10.1016/j.earscirev.2015.03.008</w:t>
        </w:r>
      </w:hyperlink>
      <w:r>
        <w:t xml:space="preserve">, 2015.</w:t>
      </w:r>
    </w:p>
    <w:bookmarkEnd w:id="141"/>
    <w:bookmarkStart w:id="142"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2"/>
    <w:bookmarkStart w:id="143" w:name="ref-Weitzel2019"/>
    <w:p>
      <w:pPr>
        <w:pStyle w:val="Bibliography"/>
      </w:pPr>
      <w:r>
        <w:t xml:space="preserve">Weitzel, N., Hense, A., and Ohlwein, C.: Combining a pollen and macrofossil synthesis with climate simulations for spatial reconstructions of european climate using bayesian filtering, Climate of the Past, 15, 1275–1301, 2019.</w:t>
      </w:r>
    </w:p>
    <w:bookmarkEnd w:id="143"/>
    <w:bookmarkStart w:id="144"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4"/>
    <w:bookmarkStart w:id="145" w:name="ref-yamano2001"/>
    <w:p>
      <w:pPr>
        <w:pStyle w:val="Bibliography"/>
      </w:pPr>
      <w:r>
        <w:t xml:space="preserve">Yamano, H., Hori, K., Yamauchi, M., Yamagawa, O., and Ohmura, A.: Highest-latitude coral reef at iki island, japan, Coral Reefs, 20, 9–12, 2001.</w:t>
      </w:r>
    </w:p>
    <w:bookmarkEnd w:id="145"/>
    <w:bookmarkStart w:id="146" w:name="ref-Yang2022"/>
    <w:p>
      <w:pPr>
        <w:pStyle w:val="Bibliography"/>
      </w:pPr>
      <w:r>
        <w:t xml:space="preserve">Yang, D. and Bowen, G. J.: Integrating plant wax abundance and isotopes for paleo-vegetation and paleoclimate reconstructions: A multi-source mixing model using a bayesian framework, Climate of the Past, 18, 2181–2210, 2022.</w:t>
      </w:r>
    </w:p>
    <w:bookmarkEnd w:id="146"/>
    <w:bookmarkStart w:id="147"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47"/>
    <w:bookmarkStart w:id="149"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48">
        <w:r>
          <w:rPr>
            <w:rStyle w:val="Hyperlink"/>
          </w:rPr>
          <w:t xml:space="preserve">https://doi.org/10.1016/j.earscirev.2019.01.025</w:t>
        </w:r>
      </w:hyperlink>
      <w:r>
        <w:t xml:space="preserve">, 2019.</w:t>
      </w:r>
    </w:p>
    <w:bookmarkEnd w:id="149"/>
    <w:bookmarkStart w:id="150" w:name="ref-Zhu2019"/>
    <w:p>
      <w:pPr>
        <w:pStyle w:val="Bibliography"/>
      </w:pPr>
      <w:r>
        <w:t xml:space="preserve">Zhu, J., Poulsen, C. J., and Tierney, J. E.: Simulation of eocene extreme warmth and high climate sensitivity through cloud feedbacks, Science advances, 5, eaax1874, 2019.</w:t>
      </w:r>
    </w:p>
    <w:bookmarkEnd w:id="150"/>
    <w:bookmarkStart w:id="151"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1"/>
    <w:bookmarkEnd w:id="152"/>
    <w:bookmarkEnd w:id="153"/>
    <w:sectPr w:rsidR="009B58D4" w:rsidRPr="009D7010" w:rsidSect="00B138AE">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615660"/>
      <w:docPartObj>
        <w:docPartGallery w:val="Page Numbers (Bottom of Page)"/>
        <w:docPartUnique/>
      </w:docPartObj>
    </w:sdtPr>
    <w:sdtEndPr>
      <w:rPr>
        <w:noProof/>
      </w:rPr>
    </w:sdtEndPr>
    <w:sdtContent>
      <w:p w14:paraId="20823A51" w14:textId="21933526" w:rsidR="00E867B8" w:rsidRDefault="00E867B8" w:rsidP="00E867B8">
        <w:pPr>
          <w:pStyle w:val="FootnoteText"/>
        </w:pPr>
        <w:r>
          <w:fldChar w:fldCharType="begin"/>
        </w:r>
        <w:r>
          <w:instrText xml:space="preserve"> PAGE   \* MERGEFORMAT </w:instrText>
        </w:r>
        <w:r>
          <w:fldChar w:fldCharType="separate"/>
        </w:r>
        <w:r>
          <w:rPr>
            <w:noProof/>
          </w:rPr>
          <w:t>2</w:t>
        </w:r>
        <w:r>
          <w:rPr>
            <w:noProof/>
          </w:rPr>
          <w:fldChar w:fldCharType="end"/>
        </w:r>
      </w:p>
    </w:sdtContent>
  </w:sdt>
  <w:p w14:paraId="030F27C8" w14:textId="77777777" w:rsidR="00E867B8" w:rsidRDefault="00E867B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867B8"/>
    <w:pPr>
      <w:spacing w:after="0"/>
      <w:jc w:val="right"/>
    </w:pPr>
    <w:rPr>
      <w:color w:themeColor="text1" w:val="00000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uiPriority w:val="99"/>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uiPriority w:val="99"/>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 w:styleId="Header" w:type="paragraph">
    <w:name w:val="header"/>
    <w:basedOn w:val="Normal"/>
    <w:link w:val="HeaderChar"/>
    <w:unhideWhenUsed/>
    <w:rsid w:val="00E867B8"/>
    <w:pPr>
      <w:tabs>
        <w:tab w:pos="4513" w:val="center"/>
        <w:tab w:pos="9026" w:val="right"/>
      </w:tabs>
      <w:spacing w:after="0"/>
    </w:pPr>
  </w:style>
  <w:style w:customStyle="1" w:styleId="HeaderChar" w:type="character">
    <w:name w:val="Header Char"/>
    <w:basedOn w:val="DefaultParagraphFont"/>
    <w:link w:val="Header"/>
    <w:rsid w:val="00E867B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1" Target="https://doi.org/10.1007/s00468-012-0760-1" TargetMode="External" /><Relationship Type="http://schemas.openxmlformats.org/officeDocument/2006/relationships/hyperlink" Id="rId132" Target="https://doi.org/10.1007/s12583-018-1002-2" TargetMode="External" /><Relationship Type="http://schemas.openxmlformats.org/officeDocument/2006/relationships/hyperlink" Id="rId140" Target="https://doi.org/10.1016/j.earscirev.2015.03.008" TargetMode="External" /><Relationship Type="http://schemas.openxmlformats.org/officeDocument/2006/relationships/hyperlink" Id="rId148" Target="https://doi.org/10.1016/j.earscirev.2019.01.025" TargetMode="External" /><Relationship Type="http://schemas.openxmlformats.org/officeDocument/2006/relationships/hyperlink" Id="rId129"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6" Target="https://doi.org/10.1016/j.quascirev.2003.12.003" TargetMode="External" /><Relationship Type="http://schemas.openxmlformats.org/officeDocument/2006/relationships/hyperlink" Id="rId105"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19"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17" Target="https://doi.org/10.1111/jbi.14238" TargetMode="External" /><Relationship Type="http://schemas.openxmlformats.org/officeDocument/2006/relationships/hyperlink" Id="rId90" Target="https://doi.org/10.1130/0091-7613(1995)023&lt;1044:ECCALT&gt;2.3.CO;2" TargetMode="External" /><Relationship Type="http://schemas.openxmlformats.org/officeDocument/2006/relationships/hyperlink" Id="rId108" Target="https://doi.org/10.1130/G32054.1" TargetMode="External" /><Relationship Type="http://schemas.openxmlformats.org/officeDocument/2006/relationships/hyperlink" Id="rId134" Target="https://doi.org/10.1130/G38547.1" TargetMode="External" /><Relationship Type="http://schemas.openxmlformats.org/officeDocument/2006/relationships/hyperlink" Id="rId100" Target="https://doi.org/10.1130/G49132.1" TargetMode="External" /><Relationship Type="http://schemas.openxmlformats.org/officeDocument/2006/relationships/hyperlink" Id="rId103" Target="https://doi.org/10.31223/X5Z94Q" TargetMode="External" /><Relationship Type="http://schemas.openxmlformats.org/officeDocument/2006/relationships/hyperlink" Id="rId97"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_rels/footnotes.xml.rels><?xml version="1.0" encoding="UTF-8"?><Relationships xmlns="http://schemas.openxmlformats.org/package/2006/relationships"><Relationship Type="http://schemas.openxmlformats.org/officeDocument/2006/relationships/hyperlink" Id="rId121" Target="https://doi.org/10.1007/s00468-012-0760-1" TargetMode="External" /><Relationship Type="http://schemas.openxmlformats.org/officeDocument/2006/relationships/hyperlink" Id="rId132" Target="https://doi.org/10.1007/s12583-018-1002-2" TargetMode="External" /><Relationship Type="http://schemas.openxmlformats.org/officeDocument/2006/relationships/hyperlink" Id="rId140" Target="https://doi.org/10.1016/j.earscirev.2015.03.008" TargetMode="External" /><Relationship Type="http://schemas.openxmlformats.org/officeDocument/2006/relationships/hyperlink" Id="rId148" Target="https://doi.org/10.1016/j.earscirev.2019.01.025" TargetMode="External" /><Relationship Type="http://schemas.openxmlformats.org/officeDocument/2006/relationships/hyperlink" Id="rId129"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6" Target="https://doi.org/10.1016/j.quascirev.2003.12.003" TargetMode="External" /><Relationship Type="http://schemas.openxmlformats.org/officeDocument/2006/relationships/hyperlink" Id="rId105"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19"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17" Target="https://doi.org/10.1111/jbi.14238" TargetMode="External" /><Relationship Type="http://schemas.openxmlformats.org/officeDocument/2006/relationships/hyperlink" Id="rId90" Target="https://doi.org/10.1130/0091-7613(1995)023&lt;1044:ECCALT&gt;2.3.CO;2" TargetMode="External" /><Relationship Type="http://schemas.openxmlformats.org/officeDocument/2006/relationships/hyperlink" Id="rId108" Target="https://doi.org/10.1130/G32054.1" TargetMode="External" /><Relationship Type="http://schemas.openxmlformats.org/officeDocument/2006/relationships/hyperlink" Id="rId134" Target="https://doi.org/10.1130/G38547.1" TargetMode="External" /><Relationship Type="http://schemas.openxmlformats.org/officeDocument/2006/relationships/hyperlink" Id="rId100" Target="https://doi.org/10.1130/G49132.1" TargetMode="External" /><Relationship Type="http://schemas.openxmlformats.org/officeDocument/2006/relationships/hyperlink" Id="rId103" Target="https://doi.org/10.31223/X5Z94Q" TargetMode="External" /><Relationship Type="http://schemas.openxmlformats.org/officeDocument/2006/relationships/hyperlink" Id="rId97"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172</Words>
  <Characters>985</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2023-09-15T11:25:12Z</dcterms:created>
  <dcterms:modified xsi:type="dcterms:W3CDTF">2023-09-15T11:25:12Z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