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w:t>
      </w:r>
      <w:r>
        <w:t xml:space="preserve"> </w:t>
      </w:r>
      <w:r>
        <w:rPr>
          <w:bCs/>
          <w:b/>
        </w:rPr>
        <w:t xml:space="preserve">Evans2018?</w:t>
      </w:r>
      <w:r>
        <w:t xml:space="preserve">)</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w:t>
      </w:r>
      <w:r>
        <w:rPr>
          <w:bCs/>
          <w:b/>
        </w:rPr>
        <w:t xml:space="preserve">Faucette2007?</w:t>
      </w:r>
      <w:r>
        <w:t xml:space="preserve">;</w:t>
      </w:r>
      <w:r>
        <w:t xml:space="preserve"> </w:t>
      </w:r>
      <w:r>
        <w:rPr>
          <w:bCs/>
          <w:b/>
        </w:rPr>
        <w:t xml:space="preserve">Kvacek2007?</w:t>
      </w:r>
      <w:r>
        <w:t xml:space="preserve">)</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w:t>
      </w:r>
      <w:r>
        <w:rPr>
          <w:bCs/>
          <w:b/>
        </w:rPr>
        <w:t xml:space="preserve">Zamagni2012?</w:t>
      </w:r>
      <w:r>
        <w:t xml:space="preserve">)</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agree that the latitudinal SST gradient of the early Eocene climatic optimum was significantly shallower than the modern</w:t>
      </w:r>
      <w:r>
        <w:t xml:space="preserve"> </w:t>
      </w:r>
      <w:r>
        <w:t xml:space="preserve">(</w:t>
      </w:r>
      <w:r>
        <w:rPr>
          <w:bCs/>
          <w:b/>
        </w:rPr>
        <w:t xml:space="preserve">Huber2011?</w:t>
      </w:r>
      <w:r>
        <w:t xml:space="preserve">)</w:t>
      </w:r>
      <w:r>
        <w:t xml:space="preserve">, but beyond that, there is little agreement.</w:t>
      </w:r>
      <w:r>
        <w:t xml:space="preserve"> </w:t>
      </w:r>
      <w:r>
        <w:t xml:space="preserve">(</w:t>
      </w:r>
      <w:r>
        <w:rPr>
          <w:bCs/>
          <w:b/>
        </w:rPr>
        <w:t xml:space="preserve">Evans2018?</w:t>
      </w:r>
      <w:r>
        <w:t xml:space="preserve">)</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w:t>
      </w:r>
      <w:r>
        <w:rPr>
          <w:bCs/>
          <w:b/>
        </w:rPr>
        <w:t xml:space="preserve">Tierney2017?</w:t>
      </w:r>
      <w:r>
        <w:t xml:space="preserve">)</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w:t>
      </w:r>
      <w:r>
        <w:rPr>
          <w:bCs/>
          <w:b/>
        </w:rPr>
        <w:t xml:space="preserve">Tierney2017?</w:t>
      </w:r>
      <w:r>
        <w:t xml:space="preserve">)</w:t>
      </w:r>
      <w:r>
        <w:t xml:space="preserve">), which predicts a polar circle to equatorial gradient of 26degC.</w:t>
      </w:r>
      <w:r>
        <w:t xml:space="preserve"> </w:t>
      </w:r>
      <w:r>
        <w:t xml:space="preserve">(</w:t>
      </w:r>
      <w:r>
        <w:rPr>
          <w:bCs/>
          <w:b/>
        </w:rPr>
        <w:t xml:space="preserve">Keating-Bitoni?</w:t>
      </w:r>
      <w:r>
        <w:t xml:space="preserve">)</w:t>
      </w:r>
      <w:r>
        <w:t xml:space="preserve"> </w:t>
      </w:r>
      <w:r>
        <w:t xml:space="preserve">show a proxy-based SST gradient of ~ 13degC, and</w:t>
      </w:r>
      <w:r>
        <w:t xml:space="preserve"> </w:t>
      </w:r>
      <w:r>
        <w:t xml:space="preserve">(</w:t>
      </w:r>
      <w:r>
        <w:rPr>
          <w:bCs/>
          <w:b/>
        </w:rPr>
        <w:t xml:space="preserve">Bij2009?</w:t>
      </w:r>
      <w:r>
        <w:t xml:space="preserve">)</w:t>
      </w:r>
      <w:r>
        <w:t xml:space="preserve"> </w:t>
      </w:r>
      <w:r>
        <w:t xml:space="preserve">model a gradient of ~9degC in the northern and only ~5degC in the southern hemisphere.</w:t>
      </w:r>
      <w:r>
        <w:t xml:space="preserve"> </w:t>
      </w:r>
      <w:r>
        <w:t xml:space="preserve">Our polar circle to equatorial gradient is lower than most previous estimates at 7.8degC, although the 95% credible interval overlap with several of the listed gradient estimates.</w:t>
      </w:r>
    </w:p>
    <w:p>
      <w:pPr>
        <w:pStyle w:val="BodyText"/>
      </w:pPr>
      <w:r>
        <w:t xml:space="preserve">[add table on lat gradients]</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 In contrast, the extrapolated polar temperatures of most previous proxy-based models are likely too low, given the abundance of ecological data indicating temperate or subtropical high-latitude climates during the EECO [@ @]</w:t>
      </w:r>
    </w:p>
    <w:p>
      <w:pPr>
        <w:pStyle w:val="BodyText"/>
      </w:pPr>
      <w:r>
        <w:t xml:space="preserve">The very high variability of the proxy record in mid-latitudes results in large uncertainties on the shape of temperature gradient and on the GMSsT.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Seasonality</w:t>
      </w:r>
      <w:r>
        <w:t xml:space="preserve"> </w:t>
      </w:r>
      <w:r>
        <w:t xml:space="preserve">(</w:t>
      </w:r>
      <w:r>
        <w:rPr>
          <w:bCs/>
          <w:b/>
        </w:rPr>
        <w:t xml:space="preserve">Keating-Bitoni?</w:t>
      </w:r>
      <w:r>
        <w:t xml:space="preserve">)</w:t>
      </w:r>
      <w:r>
        <w:t xml:space="preserve"> </w:t>
      </w:r>
      <w:r>
        <w:t xml:space="preserve">and temporal changes within the EECO</w:t>
      </w:r>
      <w:r>
        <w:t xml:space="preserve"> </w:t>
      </w:r>
      <w:r>
        <w:t xml:space="preserve">(</w:t>
      </w:r>
      <w:r>
        <w:rPr>
          <w:bCs/>
          <w:b/>
        </w:rPr>
        <w:t xml:space="preserve">Westerhold2018?</w:t>
      </w:r>
      <w:r>
        <w:t xml:space="preserve">)</w:t>
      </w:r>
      <w:r>
        <w:t xml:space="preserve"> </w:t>
      </w:r>
      <w:r>
        <w:t xml:space="preserve">may also contribute to the large variability of the EECO proxy data.</w:t>
      </w:r>
    </w:p>
    <w:p>
      <w:pPr>
        <w:pStyle w:val="BodyText"/>
      </w:pPr>
      <w:r>
        <w:t xml:space="preserve">GMSsT</w:t>
      </w:r>
    </w:p>
    <w:p>
      <w:pPr>
        <w:pStyle w:val="BodyText"/>
      </w:pPr>
      <w:r>
        <w:t xml:space="preserve">28 degC from bottom water temperatures</w:t>
      </w:r>
    </w:p>
    <w:p>
      <w:pPr>
        <w:pStyle w:val="BodyText"/>
      </w:pPr>
      <w:r>
        <w:t xml:space="preserve">as shown in their Supplementary figure S4a would be ~ 21.5degC when taking difference between temperatures at the equator and at the poles, but only ~ 13.4degC when taking the difference between temperatures at the polar circles and the equator. This stark difference is due the almost linear gradient in mid - high latitudes modeled by the authors.</w:t>
      </w:r>
    </w:p>
    <w:p>
      <w:pPr>
        <w:pStyle w:val="BodyText"/>
      </w:pPr>
      <w:r>
        <w:t xml:space="preserve">on the exact nature of the EECO SST gradientProxy-based estimates put the EECO SST gradient at ~ 21.5</w:t>
      </w:r>
      <w:r>
        <w:t xml:space="preserve"> </w:t>
      </w:r>
      <w:r>
        <w:t xml:space="preserve">(Inglis</w:t>
      </w:r>
      <w:r>
        <w:t xml:space="preserve"> </w:t>
      </w:r>
      <w:r>
        <w:rPr>
          <w:iCs/>
          <w:i/>
        </w:rPr>
        <w:t xml:space="preserve">et al.</w:t>
      </w:r>
      <w:r>
        <w:t xml:space="preserve"> </w:t>
      </w:r>
      <w:r>
        <w:t xml:space="preserve">2020)</w:t>
      </w:r>
      <w:r>
        <w:t xml:space="preserve">, at ~ 20.128</w:t>
      </w:r>
      <w:r>
        <w:t xml:space="preserve"> </w:t>
      </w:r>
      <w:r>
        <w:t xml:space="preserve">(</w:t>
      </w:r>
      <w:r>
        <w:rPr>
          <w:bCs/>
          <w:b/>
        </w:rPr>
        <w:t xml:space="preserve">Evans2018?</w:t>
      </w:r>
      <w:r>
        <w:t xml:space="preserve">)</w:t>
      </w:r>
    </w:p>
    <w:p>
      <w:pPr>
        <w:pStyle w:val="BodyText"/>
      </w:pPr>
      <w:r>
        <w:t xml:space="preserve">Estimating the GMST without bias is achieved by intersecting the modeled temperature gradient at narrow latitudinal intervals and adjusting for the differing sizes of latitudinal bands through weighting.</w:t>
      </w:r>
    </w:p>
    <w:p>
      <w:pPr>
        <w:pStyle w:val="BodyText"/>
      </w:pPr>
      <w:r>
        <w:t xml:space="preserve">Estimating the GMST from sparse proxies is prone to bias</w:t>
      </w:r>
      <w:r>
        <w:t xml:space="preserve"> </w:t>
      </w:r>
      <w:r>
        <w:t xml:space="preserve">(Jones &amp; Eichenseer 2022)</w:t>
      </w:r>
      <w:r>
        <w:t xml:space="preserve">, and</w:t>
      </w:r>
    </w:p>
    <w:p>
      <w:pPr>
        <w:pStyle w:val="BodyText"/>
      </w:pPr>
      <w:r>
        <w:t xml:space="preserve">Modeling the latitudinal temperature gradient provides a comprehensive temperature distribution across all latitudes, which allows to estimate GMST even</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9"/>
    <w:bookmarkEnd w:id="40"/>
    <w:bookmarkStart w:id="41" w:name="conclusions"/>
    <w:p>
      <w:pPr>
        <w:pStyle w:val="Heading1"/>
      </w:pPr>
      <w:r>
        <w:t xml:space="preserve">Conclusions</w:t>
      </w:r>
    </w:p>
    <w:p>
      <w:pPr>
        <w:numPr>
          <w:ilvl w:val="0"/>
          <w:numId w:val="1004"/>
        </w:numPr>
        <w:pStyle w:val="Compact"/>
      </w:pPr>
      <w:r>
        <w:t xml:space="preserve">focus on gradient rather than gmst - gmst can easily be calculated from gradient.</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2023-02-12T20:58:25Z</dcterms:created>
  <dcterms:modified xsi:type="dcterms:W3CDTF">2023-02-12T20:58:25Z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