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Early</w:t>
      </w:r>
      <w:r>
        <w:t xml:space="preserve"> </w:t>
      </w:r>
      <w:r>
        <w:t xml:space="preserve">Eocene</w:t>
      </w:r>
      <w:r>
        <w:t xml:space="preserve"> </w:t>
      </w:r>
      <w:r>
        <w:t xml:space="preserve">Climate</w:t>
      </w:r>
      <w:r>
        <w:t xml:space="preserve"> </w:t>
      </w:r>
      <w:r>
        <w:t xml:space="preserve">Optimum</w:t>
      </w:r>
      <w:r>
        <w:t xml:space="preserve"> </w:t>
      </w:r>
      <w:r>
        <w:t xml:space="preserve">reconstructed</w:t>
      </w:r>
      <w:r>
        <w:t xml:space="preserve"> </w:t>
      </w:r>
      <w:r>
        <w:t xml:space="preserve">with</w:t>
      </w:r>
      <w:r>
        <w:t xml:space="preserve"> </w:t>
      </w:r>
      <w:r>
        <w:t xml:space="preserve">Bayesian</w:t>
      </w:r>
      <w:r>
        <w:t xml:space="preserve"> </w:t>
      </w:r>
      <w:r>
        <w:t xml:space="preserve">multi-proxy</w:t>
      </w:r>
      <w:r>
        <w:t xml:space="preserve"> </w:t>
      </w:r>
      <w:r>
        <w:t xml:space="preserve">integration</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w:t>
      </w:r>
      <w:r>
        <w:rPr>
          <w:bCs/>
          <w:b/>
        </w:rPr>
        <w:t xml:space="preserve">Jones2022?</w:t>
      </w:r>
      <w:r>
        <w:t xml:space="preserve">)</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29" w:name="materials-methods"/>
    <w:p>
      <w:pPr>
        <w:pStyle w:val="Heading1"/>
      </w:pPr>
      <w:r>
        <w:t xml:space="preserve">Materials &amp; Methods</w:t>
      </w:r>
    </w:p>
    <w:bookmarkStart w:id="24" w:name="geochemical-data"/>
    <w:p>
      <w:pPr>
        <w:pStyle w:val="Heading2"/>
      </w:pPr>
      <w:r>
        <w:t xml:space="preserve">Geochemical data</w:t>
      </w:r>
    </w:p>
    <w:p>
      <w:pPr>
        <w:pStyle w:val="FirstParagraph"/>
      </w:pPr>
      <w:r>
        <w:rPr>
          <w:bCs/>
          <w:b/>
        </w:rPr>
        <w:t xml:space="preserve">d18O.</w:t>
      </w:r>
    </w:p>
    <w:p>
      <w:pPr>
        <w:pStyle w:val="BodyText"/>
      </w:pPr>
      <w:r>
        <w:rPr>
          <w:bCs/>
          <w:b/>
        </w:rPr>
        <w:t xml:space="preserve">d47.</w:t>
      </w:r>
    </w:p>
    <w:p>
      <w:pPr>
        <w:pStyle w:val="BodyText"/>
      </w:pPr>
      <w:r>
        <w:rPr>
          <w:bCs/>
          <w:b/>
        </w:rPr>
        <w:t xml:space="preserve">Mg/Ca.</w:t>
      </w:r>
    </w:p>
    <w:p>
      <w:pPr>
        <w:pStyle w:val="BodyText"/>
      </w:pPr>
      <w:r>
        <w:rPr>
          <w:bCs/>
          <w:b/>
        </w:rPr>
        <w:t xml:space="preserve">TEX86.</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Coral reefs built by zooxanthellate-bearing, shallow water corals are confined to the tropics - substropics. The coldest</w:t>
      </w:r>
    </w:p>
    <w:p>
      <w:pPr>
        <w:pStyle w:val="BodyText"/>
      </w:pPr>
      <w:r>
        <w:rPr>
          <w:bCs/>
          <w:b/>
        </w:rPr>
        <w:t xml:space="preserve">Mangroves.</w:t>
      </w:r>
      <w:r>
        <w:t xml:space="preserve"> </w:t>
      </w:r>
      <w:r>
        <w:t xml:space="preserve">Recent mangroves occur in the tropics - subtropics. Although many factors besides temperature determine the extent of mangrove distributions, empirical temperature limits have been established for the genera</w:t>
      </w:r>
      <w:r>
        <w:t xml:space="preserve"> </w:t>
      </w:r>
      <w:r>
        <w:rPr>
          <w:iCs/>
          <w:i/>
        </w:rPr>
        <w:t xml:space="preserve">Avicennia</w:t>
      </w:r>
      <w:r>
        <w:t xml:space="preserve"> </w:t>
      </w:r>
      <w:r>
        <w:t xml:space="preserve">and</w:t>
      </w:r>
      <w:r>
        <w:t xml:space="preserve"> </w:t>
      </w:r>
      <w:r>
        <w:rPr>
          <w:iCs/>
          <w:i/>
        </w:rPr>
        <w:t xml:space="preserve">Rhizophora</w:t>
      </w:r>
      <w:r>
        <w:t xml:space="preserve">, with lower mean annual SST limits of 15.6 degC and 20.8 degC, respectively</w:t>
      </w:r>
      <w:r>
        <w:t xml:space="preserve"> </w:t>
      </w:r>
      <w:r>
        <w:t xml:space="preserve">(</w:t>
      </w:r>
      <w:r>
        <w:rPr>
          <w:bCs/>
          <w:b/>
        </w:rPr>
        <w:t xml:space="preserve">Quisthoudt2012?</w:t>
      </w:r>
      <w:r>
        <w:t xml:space="preserve">)</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in polar latitudes</w:t>
      </w:r>
      <w:r>
        <w:t xml:space="preserve"> </w:t>
      </w:r>
      <w:r>
        <w:t xml:space="preserve">(</w:t>
      </w:r>
      <w:r>
        <w:rPr>
          <w:bCs/>
          <w:b/>
        </w:rPr>
        <w:t xml:space="preserve">Suan2017?</w:t>
      </w:r>
      <w:r>
        <w:t xml:space="preserve">;</w:t>
      </w:r>
      <w:r>
        <w:t xml:space="preserve"> </w:t>
      </w:r>
      <w:r>
        <w:rPr>
          <w:bCs/>
          <w:b/>
        </w:rPr>
        <w:t xml:space="preserve">Popescu2021?</w:t>
      </w:r>
      <w:r>
        <w:t xml:space="preserve">)</w:t>
      </w:r>
      <w:r>
        <w:t xml:space="preserve">. Assuming that Eocene members of these mangrove taxa had similar climatic requirements as their modern relatives, the presence and absence of</w:t>
      </w:r>
      <w:r>
        <w:t xml:space="preserve"> </w:t>
      </w:r>
      <w:r>
        <w:rPr>
          <w:iCs/>
          <w:i/>
        </w:rPr>
        <w:t xml:space="preserve">Avicennia</w:t>
      </w:r>
      <w:r>
        <w:t xml:space="preserve"> </w:t>
      </w:r>
      <w:r>
        <w:t xml:space="preserve">and Rhizophoraceae pollen can be used as a temperature proxy. To translate mangrove occurrences from the compilation by</w:t>
      </w:r>
      <w:r>
        <w:t xml:space="preserve"> </w:t>
      </w:r>
      <w:r>
        <w:t xml:space="preserve">(</w:t>
      </w:r>
      <w:r>
        <w:rPr>
          <w:bCs/>
          <w:b/>
        </w:rPr>
        <w:t xml:space="preserve">Popescu2021?</w:t>
      </w:r>
      <w:r>
        <w:t xml:space="preserve">)</w:t>
      </w:r>
      <w:r>
        <w:t xml:space="preserve"> </w:t>
      </w:r>
      <w:r>
        <w:t xml:space="preserve">to a quantitative temperature proxy, we allocate locations at which</w:t>
      </w:r>
      <w:r>
        <w:t xml:space="preserve"> </w:t>
      </w:r>
      <w:r>
        <w:rPr>
          <w:iCs/>
          <w:i/>
        </w:rPr>
        <w:t xml:space="preserve">Avicennia</w:t>
      </w:r>
      <w:r>
        <w:t xml:space="preserve"> </w:t>
      </w:r>
      <w:r>
        <w:t xml:space="preserve">pollen, but no Rhizophoraceae pollen were found, a mean temperature between the lower</w:t>
      </w:r>
      <w:r>
        <w:t xml:space="preserve"> </w:t>
      </w:r>
      <w:r>
        <w:rPr>
          <w:iCs/>
          <w:i/>
        </w:rPr>
        <w:t xml:space="preserve">Avicennia</w:t>
      </w:r>
      <w:r>
        <w:t xml:space="preserve"> </w:t>
      </w:r>
      <w:r>
        <w:t xml:space="preserve">and Rhizophoraceae limit (18.2 degC), with a standard deviation of 1.33 degC, thus placing 95 % of the probability density within that interval (see Fig. 1x). The range of temperatures in which both taxa occur in the modern is very wide (20.8 and 28 deC), hence occurrences of both</w:t>
      </w:r>
      <w:r>
        <w:t xml:space="preserve"> </w:t>
      </w:r>
      <w:r>
        <w:rPr>
          <w:iCs/>
          <w:i/>
        </w:rPr>
        <w:t xml:space="preserve">Avicennia</w:t>
      </w:r>
      <w:r>
        <w:t xml:space="preserve"> </w:t>
      </w:r>
      <w:r>
        <w:t xml:space="preserve">and Rhizophoraceae pollen were not used in the analysis.</w:t>
      </w:r>
    </w:p>
    <w:p>
      <w:pPr>
        <w:pStyle w:val="BodyText"/>
      </w:pPr>
      <w:r>
        <w:t xml:space="preserve">[Fig 1: Map and distribution of proxy data and ecological data]</w:t>
      </w:r>
    </w:p>
    <w:bookmarkEnd w:id="25"/>
    <w:bookmarkStart w:id="26" w:name="bayesian-framework"/>
    <w:p>
      <w:pPr>
        <w:pStyle w:val="Heading2"/>
      </w:pPr>
      <w:r>
        <w:t xml:space="preserve">Bayesian framework</w:t>
      </w:r>
    </w:p>
    <w:p>
      <w:pPr>
        <w:pStyle w:val="FirstParagraph"/>
      </w:pPr>
      <w:r>
        <w:rPr>
          <w:bCs/>
          <w:b/>
        </w:rPr>
        <w:t xml:space="preserve">Model structure.</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take a hierarchical approach and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w:t>
      </w:r>
      <w:r>
        <w:t xml:space="preserve">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This structure implies that</w:t>
      </w:r>
      <w:r>
        <w:t xml:space="preserve"> </w:t>
      </w:r>
      <m:oMath>
        <m:sSub>
          <m:e>
            <m:r>
              <m:t>μ</m:t>
            </m:r>
          </m:e>
          <m:sub>
            <m:r>
              <m:t>j</m:t>
            </m:r>
          </m:sub>
        </m:sSub>
      </m:oMath>
      <w:r>
        <w:t xml:space="preserve"> </w:t>
      </w:r>
      <w:r>
        <w:t xml:space="preserve">is not fixed at the mean of the temperatures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of location</w:t>
      </w:r>
      <w:r>
        <w:t xml:space="preserve"> </w:t>
      </w:r>
      <m:oMath>
        <m:r>
          <m:t>j</m:t>
        </m:r>
      </m:oMath>
      <w:r>
        <w:t xml:space="preserve">, but is drawn (</w:t>
      </w:r>
      <w:r>
        <w:rPr>
          <w:rStyle w:val="VerbatimChar"/>
        </w:rPr>
        <w:t xml:space="preserve">regularised</w:t>
      </w:r>
      <w:r>
        <w:t xml:space="preserve">) towards the overall logistic regression curve. The pull towards the regression curve 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regression curve than well-sampled locations with consistent temperature observations.</w:t>
      </w:r>
    </w:p>
    <w:p>
      <w:pPr>
        <w:pStyle w:val="BodyText"/>
      </w:pPr>
      <w:r>
        <w:rPr>
          <w:bCs/>
          <w:b/>
        </w:rPr>
        <w:t xml:space="preserve">Priors.</w:t>
      </w:r>
      <w:r>
        <w:t xml:space="preserve"> </w:t>
      </w:r>
      <w:r>
        <w:t xml:space="preserve">In the Bayesian framework, priors need to be placed on the unknown parameters of a model. For</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 </w:t>
      </w:r>
      <w:r>
        <w:t xml:space="preserve">we use weakly informative inverse-gamma priors with shape parameter</w:t>
      </w:r>
      <w:r>
        <w:t xml:space="preserve"> </w:t>
      </w:r>
      <m:oMath>
        <m:r>
          <m:t>a</m:t>
        </m:r>
        <m:r>
          <m:t>l</m:t>
        </m:r>
        <m:r>
          <m:t>p</m:t>
        </m:r>
        <m:r>
          <m:t>h</m:t>
        </m:r>
        <m:r>
          <m:t>a</m:t>
        </m:r>
      </m:oMath>
      <w:r>
        <w:t xml:space="preserve"> </w:t>
      </w:r>
      <w:r>
        <w:t xml:space="preserve">= … and scale parameter</w:t>
      </w:r>
      <w:r>
        <w:t xml:space="preserve"> </w:t>
      </w:r>
      <m:oMath>
        <m:r>
          <m:t>b</m:t>
        </m:r>
        <m:r>
          <m:t>e</m:t>
        </m:r>
        <m:r>
          <m:t>t</m:t>
        </m:r>
        <m:r>
          <m:t>a</m:t>
        </m:r>
      </m:oMath>
      <w:r>
        <w:t xml:space="preserve"> </w:t>
      </w:r>
      <w:r>
        <w:t xml:space="preserve">= … . Moderately changing these priors has little effect on the model outcome, which is desirable as we have little a-priori knowledge of these parameters. 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basic physical principles. Specifically, we put a skew-normal prior on the lower asymptote</w:t>
      </w:r>
      <w:r>
        <w:t xml:space="preserve"> </w:t>
      </w:r>
      <m:oMath>
        <m:r>
          <m:t>A</m:t>
        </m:r>
      </m:oMath>
      <w:r>
        <w:t xml:space="preserve">, with … . This constrains</w:t>
      </w:r>
      <w:r>
        <w:t xml:space="preserve"> </w:t>
      </w:r>
      <m:oMath>
        <m:r>
          <m:t>A</m:t>
        </m:r>
      </m:oMath>
      <w:r>
        <w:t xml:space="preserve"> </w:t>
      </w:r>
      <w:r>
        <w:t xml:space="preserve">to not be</w:t>
      </w:r>
      <w:r>
        <w:t xml:space="preserve"> </w:t>
      </w:r>
      <m:oMath>
        <m:r>
          <m:rPr>
            <m:sty m:val="p"/>
          </m:rPr>
          <m:t>&lt;</m:t>
        </m:r>
        <m:r>
          <m:rPr>
            <m:sty m:val="p"/>
          </m:rPr>
          <m:t>&lt;</m:t>
        </m:r>
        <m:r>
          <m:rPr>
            <m:sty m:val="p"/>
          </m:rPr>
          <m:t>−</m:t>
        </m:r>
        <m:sSup>
          <m:e>
            <m:r>
              <m:t>2</m:t>
            </m:r>
          </m:e>
          <m:sup>
            <m:r>
              <m:rPr>
                <m:sty m:val="p"/>
              </m:rPr>
              <m:t>∘</m:t>
            </m:r>
          </m:sup>
        </m:sSup>
        <m:r>
          <m:t>C</m:t>
        </m:r>
      </m:oMath>
      <w:r>
        <w:t xml:space="preserve">, which is the freezing point of sea water. We chose this distribution such that its mode is</w:t>
      </w:r>
      <w:r>
        <w:t xml:space="preserve"> </w:t>
      </w:r>
      <m:oMath>
        <m:r>
          <m:t> </m:t>
        </m:r>
        <m:sSup>
          <m:e>
            <m:r>
              <m:t>0</m:t>
            </m:r>
          </m:e>
          <m:sup>
            <m:r>
              <m:rPr>
                <m:sty m:val="p"/>
              </m:rPr>
              <m:t>∘</m:t>
            </m:r>
          </m:sup>
        </m:sSup>
        <m:r>
          <m:t>C</m:t>
        </m:r>
      </m:oMath>
      <w:r>
        <w:t xml:space="preserve">, slightly higher than the modern…</w:t>
      </w:r>
    </w:p>
    <w:p>
      <w:pPr>
        <w:numPr>
          <w:ilvl w:val="0"/>
          <w:numId w:val="1002"/>
        </w:numPr>
        <w:pStyle w:val="Compact"/>
      </w:pPr>
      <w:r>
        <w:t xml:space="preserve">logistic regression</w:t>
      </w:r>
    </w:p>
    <w:p>
      <w:pPr>
        <w:numPr>
          <w:ilvl w:val="0"/>
          <w:numId w:val="1002"/>
        </w:numPr>
        <w:pStyle w:val="Compact"/>
      </w:pPr>
      <w:r>
        <w:t xml:space="preserve">hierarchical model structure</w:t>
      </w:r>
    </w:p>
    <w:p>
      <w:pPr>
        <w:numPr>
          <w:ilvl w:val="0"/>
          <w:numId w:val="1002"/>
        </w:numPr>
        <w:pStyle w:val="Compact"/>
      </w:pPr>
      <w:r>
        <w:t xml:space="preserve">choice of priors (based on modern, see below)</w:t>
      </w:r>
    </w:p>
    <w:p>
      <w:pPr>
        <w:pStyle w:val="FirstParagraph"/>
      </w:pPr>
      <w:r>
        <w:t xml:space="preserve">[Fig. 2: Model structure and visualisation of parameters and priors]</w:t>
      </w:r>
    </w:p>
    <w:bookmarkEnd w:id="26"/>
    <w:bookmarkStart w:id="27"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bookmarkEnd w:id="27"/>
    <w:bookmarkStart w:id="28" w:name="model-application"/>
    <w:p>
      <w:pPr>
        <w:pStyle w:val="Heading2"/>
      </w:pPr>
      <w:r>
        <w:t xml:space="preserve">Model application</w:t>
      </w:r>
    </w:p>
    <w:p>
      <w:pPr>
        <w:numPr>
          <w:ilvl w:val="0"/>
          <w:numId w:val="1003"/>
        </w:numPr>
        <w:pStyle w:val="Compact"/>
      </w:pPr>
      <w:r>
        <w:t xml:space="preserve">Calculate lat gradient</w:t>
      </w:r>
    </w:p>
    <w:p>
      <w:pPr>
        <w:numPr>
          <w:ilvl w:val="0"/>
          <w:numId w:val="1003"/>
        </w:numPr>
        <w:pStyle w:val="Compact"/>
      </w:pPr>
      <w:r>
        <w:t xml:space="preserve">Calculate global T</w:t>
      </w:r>
    </w:p>
    <w:p>
      <w:pPr>
        <w:pStyle w:val="FirstParagraph"/>
      </w:pPr>
      <w:r>
        <w:t xml:space="preserve">[Fig. 4]</w:t>
      </w:r>
    </w:p>
    <w:bookmarkEnd w:id="28"/>
    <w:bookmarkEnd w:id="29"/>
    <w:bookmarkStart w:id="33" w:name="results"/>
    <w:p>
      <w:pPr>
        <w:pStyle w:val="Heading1"/>
      </w:pPr>
      <w:r>
        <w:t xml:space="preserve">Results</w:t>
      </w:r>
    </w:p>
    <w:bookmarkStart w:id="30" w:name="model-validation-1"/>
    <w:p>
      <w:pPr>
        <w:pStyle w:val="Heading2"/>
      </w:pPr>
      <w:r>
        <w:t xml:space="preserve">Model validation</w:t>
      </w:r>
    </w:p>
    <w:p>
      <w:pPr>
        <w:numPr>
          <w:ilvl w:val="0"/>
          <w:numId w:val="1004"/>
        </w:numPr>
        <w:pStyle w:val="Compact"/>
      </w:pPr>
      <w:r>
        <w:t xml:space="preserve">Show that the modern gradient can be reproduced with Eocene sampling distribution</w:t>
      </w:r>
      <w:r>
        <w:t xml:space="preserve"> </w:t>
      </w:r>
      <w:r>
        <w:t xml:space="preserve">[Fig 3 - Modern gradient]</w:t>
      </w:r>
    </w:p>
    <w:bookmarkEnd w:id="30"/>
    <w:bookmarkStart w:id="31" w:name="eeco-reconstruction"/>
    <w:p>
      <w:pPr>
        <w:pStyle w:val="Heading2"/>
      </w:pPr>
      <w:r>
        <w:t xml:space="preserve">EECO reconstruction</w:t>
      </w:r>
    </w:p>
    <w:p>
      <w:pPr>
        <w:numPr>
          <w:ilvl w:val="0"/>
          <w:numId w:val="1005"/>
        </w:numPr>
        <w:pStyle w:val="Compact"/>
      </w:pPr>
      <w:r>
        <w:t xml:space="preserve">Show Eocene gradient</w:t>
      </w:r>
    </w:p>
    <w:p>
      <w:pPr>
        <w:numPr>
          <w:ilvl w:val="0"/>
          <w:numId w:val="1005"/>
        </w:numPr>
        <w:pStyle w:val="Compact"/>
      </w:pPr>
      <w:r>
        <w:t xml:space="preserve">Global t</w:t>
      </w:r>
    </w:p>
    <w:p>
      <w:pPr>
        <w:numPr>
          <w:ilvl w:val="0"/>
          <w:numId w:val="1005"/>
        </w:numPr>
        <w:pStyle w:val="Compact"/>
      </w:pPr>
      <w:r>
        <w:t xml:space="preserve">report lat gradient</w:t>
      </w:r>
    </w:p>
    <w:bookmarkEnd w:id="31"/>
    <w:bookmarkStart w:id="32" w:name="X02380864f243120a1a130909e24818e79af2972"/>
    <w:p>
      <w:pPr>
        <w:pStyle w:val="Heading2"/>
      </w:pPr>
      <w:r>
        <w:t xml:space="preserve">Fig 4 - compare Eocene gradient with previous reconstructions / ES models</w:t>
      </w:r>
    </w:p>
    <w:p>
      <w:pPr>
        <w:numPr>
          <w:ilvl w:val="0"/>
          <w:numId w:val="1006"/>
        </w:numPr>
      </w:pPr>
      <w:r>
        <w:t xml:space="preserve">x1 Draw samples from the posterior gradient to get a latitudinal gradient of deg C / deg lat with uncertainty (intercept gradient at 0 and 90 deg lat)</w:t>
      </w:r>
    </w:p>
    <w:p>
      <w:pPr>
        <w:numPr>
          <w:ilvl w:val="0"/>
          <w:numId w:val="1006"/>
        </w:numPr>
      </w:pPr>
      <w:r>
        <w:t xml:space="preserve">x2 generate global average temperature, and tropical, temperate, polar temperatures in a similar way, accounting for area</w:t>
      </w:r>
    </w:p>
    <w:bookmarkEnd w:id="32"/>
    <w:bookmarkEnd w:id="33"/>
    <w:bookmarkStart w:id="34" w:name="discussion"/>
    <w:p>
      <w:pPr>
        <w:pStyle w:val="Heading1"/>
      </w:pPr>
      <w:r>
        <w:t xml:space="preserve">Discussion</w:t>
      </w:r>
    </w:p>
    <w:p>
      <w:pPr>
        <w:numPr>
          <w:ilvl w:val="0"/>
          <w:numId w:val="1007"/>
        </w:numPr>
        <w:pStyle w:val="Compact"/>
      </w:pPr>
      <w:r>
        <w:t xml:space="preserve">x1 compare lat gradient to literature estimates, e.g. Zhang2019</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37" w:name="author-contributions"/>
    <w:p>
      <w:pPr>
        <w:pStyle w:val="Heading1"/>
      </w:pPr>
      <w:r>
        <w:t xml:space="preserve">Author contributions</w:t>
      </w:r>
    </w:p>
    <w:bookmarkEnd w:id="37"/>
    <w:bookmarkStart w:id="38" w:name="data-accessibility"/>
    <w:p>
      <w:pPr>
        <w:pStyle w:val="Heading1"/>
      </w:pPr>
      <w:r>
        <w:t xml:space="preserve">Data accessibility</w:t>
      </w:r>
    </w:p>
    <w:bookmarkEnd w:id="38"/>
    <w:bookmarkStart w:id="39" w:name="references"/>
    <w:p>
      <w:pPr>
        <w:pStyle w:val="Heading1"/>
      </w:pPr>
      <w:r>
        <w:t xml:space="preserve">References</w:t>
      </w:r>
    </w:p>
    <w:bookmarkEnd w:id="39"/>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Eocene Climate Optimum reconstructed with Bayesian multi-proxy integration</dc:title>
  <dc:creator>Kilian Eichenseer and Lewis A. Jones</dc:creator>
  <cp:keywords/>
  <dcterms:created xsi:type="dcterms:W3CDTF">2022-09-02T16:15:56Z</dcterms:created>
  <dcterms:modified xsi:type="dcterms:W3CDTF">2022-09-02T16:15:56Z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