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for</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use geochemical proxy data, palaeobiological or lithological climate indicators, or earth system modelling.</w:t>
      </w:r>
    </w:p>
    <w:p>
      <w:pPr>
        <w:pStyle w:val="BodyText"/>
      </w:pPr>
      <w:r>
        <w:t xml:space="preserve">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Palaeobiological and lithological climate data provide a different method of reconstructing palaeotemperatures, using e.g. leaf physiognomy and floral assemblages to derive palaeotemperature proxies</w:t>
      </w:r>
      <w:r>
        <w:t xml:space="preserve"> </w:t>
      </w:r>
      <w:r>
        <w:t xml:space="preserve">(Greenwood</w:t>
      </w:r>
      <w:r>
        <w:t xml:space="preserve"> </w:t>
      </w:r>
      <w:r>
        <w:rPr>
          <w:iCs/>
          <w:i/>
        </w:rPr>
        <w:t xml:space="preserve">et al.</w:t>
      </w:r>
      <w:r>
        <w:t xml:space="preserve"> </w:t>
      </w:r>
      <w:r>
        <w:t xml:space="preserve">2003)</w:t>
      </w:r>
      <w:r>
        <w:t xml:space="preserve">, or using lithological indicators to determine the range of palaeoclimatic belts</w:t>
      </w:r>
      <w:r>
        <w:t xml:space="preserve"> </w:t>
      </w:r>
      <w:r>
        <w:t xml:space="preserve">(Scotese</w:t>
      </w:r>
      <w:r>
        <w:t xml:space="preserve"> </w:t>
      </w:r>
      <w:r>
        <w:rPr>
          <w:iCs/>
          <w:i/>
        </w:rPr>
        <w:t xml:space="preserve">et al.</w:t>
      </w:r>
      <w:r>
        <w:t xml:space="preserve"> </w:t>
      </w:r>
      <w:r>
        <w:t xml:space="preserve">2021)</w:t>
      </w:r>
      <w:r>
        <w:t xml:space="preserve">. To capture complex dependencies between proxies and climate data, machine learning approaches</w:t>
      </w:r>
      <w:r>
        <w:t xml:space="preserve"> </w:t>
      </w:r>
      <w:r>
        <w:t xml:space="preserve">(Chandra</w:t>
      </w:r>
      <w:r>
        <w:t xml:space="preserve"> </w:t>
      </w:r>
      <w:r>
        <w:rPr>
          <w:iCs/>
          <w:i/>
        </w:rPr>
        <w:t xml:space="preserve">et al.</w:t>
      </w:r>
      <w:r>
        <w:t xml:space="preserve"> </w:t>
      </w:r>
      <w:r>
        <w:t xml:space="preserve">2021)</w:t>
      </w:r>
      <w:r>
        <w:t xml:space="preserve"> </w:t>
      </w:r>
      <w:r>
        <w:t xml:space="preserve">or articifical neural networks</w:t>
      </w:r>
      <w:r>
        <w:t xml:space="preserve"> </w:t>
      </w:r>
      <w:r>
        <w:t xml:space="preserve">(</w:t>
      </w:r>
      <w:r>
        <w:rPr>
          <w:bCs/>
          <w:b/>
        </w:rPr>
        <w:t xml:space="preserve">Malmgren1997?</w:t>
      </w:r>
      <w:r>
        <w:t xml:space="preserve">;</w:t>
      </w:r>
      <w:r>
        <w:t xml:space="preserve"> </w:t>
      </w:r>
      <w:r>
        <w:rPr>
          <w:bCs/>
          <w:b/>
        </w:rPr>
        <w:t xml:space="preserve">Lauchstedt2017?</w:t>
      </w:r>
      <w:r>
        <w:t xml:space="preserve">)</w:t>
      </w:r>
      <w:r>
        <w:t xml:space="preserve"> </w:t>
      </w:r>
      <w:r>
        <w:t xml:space="preserve">are sometimes used.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To make inferences on a regional or global scale, proxy-based climate reconstructions need some way of extrapolating a generally sparse record of local findings. Taking the mean of multiple local estimates to summarise regional or global climate variables</w:t>
      </w:r>
      <w:r>
        <w:t xml:space="preserve"> </w:t>
      </w:r>
      <w:r>
        <w:t xml:space="preserve">(e.g. Veizer &amp; Prokoph 2015)</w:t>
      </w:r>
      <w:r>
        <w:t xml:space="preserve"> </w:t>
      </w:r>
      <w:r>
        <w:t xml:space="preserve">is a straightforward approach, but is likely to result in biased climate reconstructions</w:t>
      </w:r>
      <w:r>
        <w:t xml:space="preserve"> </w:t>
      </w:r>
      <w:r>
        <w:t xml:space="preserve">(Jones &amp; Eichenseer 2022)</w:t>
      </w:r>
      <w:r>
        <w:t xml:space="preserve">. Reconstructions that take into account the spatial distribution of climate data are… ### HERE###</w:t>
      </w:r>
      <w:r>
        <w:t xml:space="preserve"> </w:t>
      </w:r>
      <w:r>
        <w:t xml:space="preserve">provide an alternative that can be employed more readily by a broad range of workers. Examples of this approach include the visualisation of proxy compilations along a latitudinal gradient</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were used to assess the convergence and mixing of the MCMC chains (Supplementary Materials S1).</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Modeling the latitudinal temperature gradient facilitates accurate reconstruction of global average temperatures. The modern, global mean sea surface temperature estimate is 17.6 degC when using the full, modern data set. When reduced to the early Eocene sampling distribution, the modern global mean sea surface temperature is estimated at 17.8 (95% CI: 16 - 19.7) degC. The deviations from the full modern estimate are again very low, with a 95 % credible interval of -0.8 to 1.3 degC.</w:t>
      </w:r>
    </w:p>
    <w:bookmarkEnd w:id="32"/>
    <w:bookmarkStart w:id="33"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(95% CI: 0.2 - 8.3) degC higher for the Eocene, and polar temperatures are higher by 25.0 (95% CI: 17.0 - 29.1) degC. This results in a flattened latitudinal temperature gradient of 9.0 (95% CI: 2.5 - 17.8) degC for the Eocene, as opposed to 29.6 degC for the modern.</w:t>
      </w:r>
    </w:p>
    <w:p>
      <w:pPr>
        <w:pStyle w:val="BodyText"/>
      </w:pPr>
      <w:r>
        <w:t xml:space="preserve">The high variability of early Eocene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early Eocene gradient, 4.9 (95% CI: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global early Eocene mean sea surface temperature is estimated at 28.8 (95% CI: 25.7 - 31.7) degC, significantly higher than the modern (17.6 degC).</w:t>
      </w:r>
    </w:p>
    <w:p>
      <w:pPr>
        <w:pStyle w:val="BodyText"/>
      </w:pPr>
      <w:r>
        <w:t xml:space="preserve">A model run excluding the ecological proxies results in a similar median latitudinal gradient ( 9.2 degC), but with a 20% wider 95% CI (Supplementary materials). This indicates that the ecological proxy data are broadly in agreement with the geochemical proxy data,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seperately to each hemispheres results in substantial differences in hemispherical, average temperatures, with the southern hemisphere being warmer by …</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pStyle w:val="FirstParagraph"/>
      </w:pPr>
      <w:r>
        <w:rPr>
          <w:bCs/>
          <w:b/>
        </w:rPr>
        <w:t xml:space="preserve">Eocene temperature gradients.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5" w:name="references"/>
    <w:p>
      <w:pPr>
        <w:pStyle w:val="Heading1"/>
      </w:pPr>
      <w:r>
        <w:t xml:space="preserve">References</w:t>
      </w:r>
    </w:p>
    <w:bookmarkStart w:id="84"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1995"/>
    <w:p>
      <w:pPr>
        <w:pStyle w:val="Bibliography"/>
      </w:pPr>
      <w:r>
        <w:t xml:space="preserve">GREENWOOD, D. R. and WING, S. L. 1995.</w:t>
      </w:r>
      <w:r>
        <w:t xml:space="preserve"> </w:t>
      </w:r>
      <w:hyperlink r:id="rId47">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8"/>
    <w:bookmarkStart w:id="50" w:name="ref-Greenwood2003"/>
    <w:p>
      <w:pPr>
        <w:pStyle w:val="Bibliography"/>
      </w:pPr>
      <w:r>
        <w:t xml:space="preserve">———, MOSS, P. T., ROWETT, A. I., VADALA, A. J. and KEEFE, R. L. 2003.</w:t>
      </w:r>
      <w:r>
        <w:t xml:space="preserve"> </w:t>
      </w:r>
      <w:hyperlink r:id="rId49">
        <w:r>
          <w:rPr>
            <w:rStyle w:val="Hyperlink"/>
          </w:rPr>
          <w:t xml:space="preserve">Plant communities and climate change in southeastern</w:t>
        </w:r>
        <w:r>
          <w:rPr>
            <w:rStyle w:val="Hyperlink"/>
          </w:rPr>
          <w:t xml:space="preserve"> </w:t>
        </w:r>
        <w:r>
          <w:rPr>
            <w:rStyle w:val="Hyperlink"/>
          </w:rPr>
          <w:t xml:space="preserve">Australia</w:t>
        </w:r>
        <w:r>
          <w:rPr>
            <w:rStyle w:val="Hyperlink"/>
          </w:rPr>
          <w:t xml:space="preserve"> </w:t>
        </w:r>
        <w:r>
          <w:rPr>
            <w:rStyle w:val="Hyperlink"/>
          </w:rPr>
          <w:t xml:space="preserve">during the early</w:t>
        </w:r>
        <w:r>
          <w:rPr>
            <w:rStyle w:val="Hyperlink"/>
          </w:rPr>
          <w:t xml:space="preserve"> </w:t>
        </w:r>
        <w:r>
          <w:rPr>
            <w:rStyle w:val="Hyperlink"/>
          </w:rPr>
          <w:t xml:space="preserve">Paleogene</w:t>
        </w:r>
      </w:hyperlink>
      <w:r>
        <w:t xml:space="preserve">.</w:t>
      </w:r>
      <w:r>
        <w:t xml:space="preserve"> </w:t>
      </w:r>
      <w:r>
        <w:rPr>
          <w:iCs/>
          <w:i/>
        </w:rPr>
        <w:t xml:space="preserve">In</w:t>
      </w:r>
      <w:r>
        <w:t xml:space="preserve"> </w:t>
      </w:r>
      <w:r>
        <w:rPr>
          <w:iCs/>
          <w:i/>
        </w:rPr>
        <w:t xml:space="preserve">Causes and Consequences of Globally Warm Climates in the Early</w:t>
      </w:r>
      <w:r>
        <w:rPr>
          <w:iCs/>
          <w:i/>
        </w:rPr>
        <w:t xml:space="preserve"> </w:t>
      </w:r>
      <w:r>
        <w:rPr>
          <w:iCs/>
          <w:i/>
        </w:rPr>
        <w:t xml:space="preserve">Paleogene</w:t>
      </w:r>
      <w:r>
        <w:t xml:space="preserve">,</w:t>
      </w:r>
      <w:r>
        <w:t xml:space="preserve"> </w:t>
      </w:r>
      <w:r>
        <w:t xml:space="preserve">Geological Society of America</w:t>
      </w:r>
      <w:r>
        <w:t xml:space="preserve">.</w:t>
      </w:r>
    </w:p>
    <w:bookmarkEnd w:id="50"/>
    <w:bookmarkStart w:id="5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1"/>
    <w:bookmarkStart w:id="53"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2">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3"/>
    <w:bookmarkStart w:id="5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4"/>
    <w:bookmarkStart w:id="56" w:name="ref-Jones2022"/>
    <w:p>
      <w:pPr>
        <w:pStyle w:val="Bibliography"/>
      </w:pPr>
      <w:r>
        <w:t xml:space="preserve">JONES, L. A. and EICHENSEER, K. 2022.</w:t>
      </w:r>
      <w:r>
        <w:t xml:space="preserve"> </w:t>
      </w:r>
      <w:hyperlink r:id="rId5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6"/>
    <w:bookmarkStart w:id="5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7"/>
    <w:bookmarkStart w:id="58"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8"/>
    <w:bookmarkStart w:id="59"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9"/>
    <w:bookmarkStart w:id="61" w:name="ref-Liu2009"/>
    <w:p>
      <w:pPr>
        <w:pStyle w:val="Bibliography"/>
      </w:pPr>
      <w:r>
        <w:t xml:space="preserve">LIU, Z., PAGANI, M., ZINNIKER, D., DECONTO, R., HUBER, M., BRINKHUIS, H., SHAH, S. R., LECKIE, R. M. and PEARSON, A. 2009.</w:t>
      </w:r>
      <w:r>
        <w:t xml:space="preserve"> </w:t>
      </w:r>
      <w:hyperlink r:id="rId60">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1"/>
    <w:bookmarkStart w:id="62"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2"/>
    <w:bookmarkStart w:id="64" w:name="ref-Popescu2021"/>
    <w:p>
      <w:pPr>
        <w:pStyle w:val="Bibliography"/>
      </w:pPr>
      <w:r>
        <w:t xml:space="preserve">POPESCU, S.-M., SUC, J.-P., FAUQUETTE, S., BESSEDIK, M., JIMÉNEZ-MORENO, G., ROBIN, C. and LABROUSSE, L. 2021.</w:t>
      </w:r>
      <w:r>
        <w:t xml:space="preserve"> </w:t>
      </w:r>
      <w:hyperlink r:id="rId63">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4"/>
    <w:bookmarkStart w:id="66"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5">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6"/>
    <w:bookmarkStart w:id="68" w:name="ref-Quisthoudt2012"/>
    <w:p>
      <w:pPr>
        <w:pStyle w:val="Bibliography"/>
      </w:pPr>
      <w:r>
        <w:t xml:space="preserve">QUISTHOUDT, K., SCHMITZ, N., RANDIN, C. F., DAHDOUH-GUEBAS, F., ROBERT, E. M. R. and KOEDAM, N. 2012.</w:t>
      </w:r>
      <w:r>
        <w:t xml:space="preserve"> </w:t>
      </w:r>
      <w:hyperlink r:id="rId67">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8"/>
    <w:bookmarkStart w:id="69"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9"/>
    <w:bookmarkStart w:id="71" w:name="ref-Scotese2021"/>
    <w:p>
      <w:pPr>
        <w:pStyle w:val="Bibliography"/>
      </w:pPr>
      <w:r>
        <w:t xml:space="preserve">SCOTESE, C. R., SONG, H., MILLS, B. J. W. and VAN DER MEER, D. G. 2021.</w:t>
      </w:r>
      <w:r>
        <w:t xml:space="preserve"> </w:t>
      </w:r>
      <w:hyperlink r:id="rId70">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1"/>
    <w:bookmarkStart w:id="73" w:name="ref-Suan2017"/>
    <w:p>
      <w:pPr>
        <w:pStyle w:val="Bibliography"/>
      </w:pPr>
      <w:r>
        <w:t xml:space="preserve">SUAN, G., POPESCU, S.-M., SUC, J.-P., SCHNYDER, J., FAUQUETTE, S., BAUDIN, F., YOON, D., PIEPJOHN, K., SOBOLEV, N. N. and LABROUSSE, L. 2017.</w:t>
      </w:r>
      <w:r>
        <w:t xml:space="preserve"> </w:t>
      </w:r>
      <w:hyperlink r:id="rId72">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3"/>
    <w:bookmarkStart w:id="75" w:name="ref-Taylor2004"/>
    <w:p>
      <w:pPr>
        <w:pStyle w:val="Bibliography"/>
      </w:pPr>
      <w:r>
        <w:t xml:space="preserve">TAYLOR, S. P., HAYWOOD, A. M., VALDES, P. J. and SELLWOOD, B. W. 2004.</w:t>
      </w:r>
      <w:r>
        <w:t xml:space="preserve"> </w:t>
      </w:r>
      <w:hyperlink r:id="rId74">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5"/>
    <w:bookmarkStart w:id="77" w:name="ref-Veizer2015"/>
    <w:p>
      <w:pPr>
        <w:pStyle w:val="Bibliography"/>
      </w:pPr>
      <w:r>
        <w:t xml:space="preserve">VEIZER, J. and PROKOPH, A. 2015.</w:t>
      </w:r>
      <w:r>
        <w:t xml:space="preserve"> </w:t>
      </w:r>
      <w:hyperlink r:id="rId76">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7"/>
    <w:bookmarkStart w:id="78"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8"/>
    <w:bookmarkStart w:id="79"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9"/>
    <w:bookmarkStart w:id="80"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0"/>
    <w:bookmarkStart w:id="82" w:name="ref-Zhang2019"/>
    <w:p>
      <w:pPr>
        <w:pStyle w:val="Bibliography"/>
      </w:pPr>
      <w:r>
        <w:t xml:space="preserve">ZHANG, L., HAY, W. W., WANG, C. and GU, X. 2019.</w:t>
      </w:r>
      <w:r>
        <w:t xml:space="preserve"> </w:t>
      </w:r>
      <w:hyperlink r:id="rId81">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2"/>
    <w:bookmarkStart w:id="83"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3"/>
    <w:bookmarkEnd w:id="84"/>
    <w:bookmarkEnd w:id="85"/>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latitudinal temperature gradients for the Early Eocene</dc:title>
  <dc:creator>Kilian Eichenseer and Lewis A. Jones</dc:creator>
  <cp:keywords/>
  <dcterms:created xsi:type="dcterms:W3CDTF">2023-01-24T21:21:15Z</dcterms:created>
  <dcterms:modified xsi:type="dcterms:W3CDTF">2023-01-24T21:21:15Z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