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1) geochemical proxy data, 2) ecological or lithological climate indicators, or 3)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To generate regional or global average estimates, the mean of multiple local estimates is taken</w:t>
      </w:r>
      <w:r>
        <w:t xml:space="preserve"> </w:t>
      </w:r>
      <w:r>
        <w:t xml:space="preserve">(e.g. Veizer &amp; Prokoph 2015)</w:t>
      </w:r>
      <w:r>
        <w:t xml:space="preserve">. This approach has the advantage of being transparent and easy to reproduce, modify or expand with new data, but is prone to sampling bias</w:t>
      </w:r>
      <w:r>
        <w:t xml:space="preserve"> </w:t>
      </w:r>
      <w:r>
        <w:t xml:space="preserve">(Jones &amp; Eichenseer 2022)</w:t>
      </w:r>
      <w:r>
        <w:t xml:space="preserve">. Ecological and lithological climate data provide an alternative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Despite some recent advances</w:t>
      </w:r>
      <w:r>
        <w:t xml:space="preserve"> </w:t>
      </w:r>
      <w:r>
        <w:t xml:space="preserve">(Chandra</w:t>
      </w:r>
      <w:r>
        <w:t xml:space="preserve"> </w:t>
      </w:r>
      <w:r>
        <w:rPr>
          <w:iCs/>
          <w:i/>
        </w:rPr>
        <w:t xml:space="preserve">et al.</w:t>
      </w:r>
      <w:r>
        <w:t xml:space="preserve"> </w:t>
      </w:r>
      <w:r>
        <w:t xml:space="preserve">2021)</w:t>
      </w:r>
      <w:r>
        <w:t xml:space="preserve">, ecological and lithological climate indicators are still rarely used in quantitative palaeoclimate reconstructions, particularly for the marine realm.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Spatially resolved climate reconstructions 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w:t>
      </w:r>
      <m:oMath>
        <m:r>
          <m:t>n</m:t>
        </m:r>
        <m:r>
          <m:rPr>
            <m:sty m:val="p"/>
          </m:rPr>
          <m:t>=</m:t>
        </m:r>
        <m:r>
          <m:t>34</m:t>
        </m:r>
      </m:oMath>
      <w:r>
        <w:t xml:space="preserve">)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Comparison to existing methods.</w:t>
      </w:r>
      <w:r>
        <w:t xml:space="preserve"> </w:t>
      </w:r>
      <w:r>
        <w:t xml:space="preserve">Latitudinal temperature gradients have been estimated with a variety of parametric and non-parametric statistical techniques. Parametric methods include polynomials</w:t>
      </w:r>
      <w:r>
        <w:t xml:space="preserve"> </w:t>
      </w:r>
      <w:r>
        <w:t xml:space="preserve">(</w:t>
      </w:r>
      <w:r>
        <w:rPr>
          <w:bCs/>
          <w:b/>
        </w:rPr>
        <w:t xml:space="preserve">Greenwood1995b?</w:t>
      </w:r>
      <w:r>
        <w:t xml:space="preserve">;</w:t>
      </w:r>
      <w:r>
        <w:t xml:space="preserve"> </w:t>
      </w:r>
      <w:r>
        <w:rPr>
          <w:bCs/>
          <w:b/>
        </w:rPr>
        <w:t xml:space="preserve">Bij2009?</w:t>
      </w:r>
      <w:r>
        <w:t xml:space="preserve">)</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w:t>
      </w:r>
      <w:r>
        <w:rPr>
          <w:bCs/>
          <w:b/>
        </w:rPr>
        <w:t xml:space="preserve">Zhang2019?</w:t>
      </w:r>
      <w:r>
        <w:t xml:space="preserve">)</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1" w:name="references"/>
    <w:p>
      <w:pPr>
        <w:pStyle w:val="Heading1"/>
      </w:pPr>
      <w:r>
        <w:t xml:space="preserve">References</w:t>
      </w:r>
    </w:p>
    <w:bookmarkStart w:id="80"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2003"/>
    <w:p>
      <w:pPr>
        <w:pStyle w:val="Bibliography"/>
      </w:pPr>
      <w:r>
        <w:t xml:space="preserve">GREENWOOD, D. R., MOSS, P. T., ROWETT, A. I., VADALA, A. J. and KEEFE, R. L. 2003.</w:t>
      </w:r>
      <w:r>
        <w:t xml:space="preserve"> </w:t>
      </w:r>
      <w:hyperlink r:id="rId47">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48"/>
    <w:bookmarkStart w:id="49"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9"/>
    <w:bookmarkStart w:id="51"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0">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1"/>
    <w:bookmarkStart w:id="5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2"/>
    <w:bookmarkStart w:id="54" w:name="ref-Jones2022"/>
    <w:p>
      <w:pPr>
        <w:pStyle w:val="Bibliography"/>
      </w:pPr>
      <w:r>
        <w:t xml:space="preserve">JONES, L. A. and EICHENSEER, K. 2022.</w:t>
      </w:r>
      <w:r>
        <w:t xml:space="preserve"> </w:t>
      </w:r>
      <w:hyperlink r:id="rId5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4"/>
    <w:bookmarkStart w:id="5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5"/>
    <w:bookmarkStart w:id="5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6"/>
    <w:bookmarkStart w:id="5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7"/>
    <w:bookmarkStart w:id="59" w:name="ref-Liu2009"/>
    <w:p>
      <w:pPr>
        <w:pStyle w:val="Bibliography"/>
      </w:pPr>
      <w:r>
        <w:t xml:space="preserve">LIU, Z., PAGANI, M., ZINNIKER, D., DECONTO, R., HUBER, M., BRINKHUIS, H., SHAH, S. R., LECKIE, R. M. and PEARSON, A. 2009.</w:t>
      </w:r>
      <w:r>
        <w:t xml:space="preserve"> </w:t>
      </w:r>
      <w:hyperlink r:id="rId58">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59"/>
    <w:bookmarkStart w:id="60"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0"/>
    <w:bookmarkStart w:id="62" w:name="ref-Popescu2021"/>
    <w:p>
      <w:pPr>
        <w:pStyle w:val="Bibliography"/>
      </w:pPr>
      <w:r>
        <w:t xml:space="preserve">POPESCU, S.-M., SUC, J.-P., FAUQUETTE, S., BESSEDIK, M., JIMÉNEZ-MORENO, G., ROBIN, C. and LABROUSSE, L. 2021.</w:t>
      </w:r>
      <w:r>
        <w:t xml:space="preserve"> </w:t>
      </w:r>
      <w:hyperlink r:id="rId61">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2"/>
    <w:bookmarkStart w:id="64"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3">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4"/>
    <w:bookmarkStart w:id="66" w:name="ref-Quisthoudt2012"/>
    <w:p>
      <w:pPr>
        <w:pStyle w:val="Bibliography"/>
      </w:pPr>
      <w:r>
        <w:t xml:space="preserve">QUISTHOUDT, K., SCHMITZ, N., RANDIN, C. F., DAHDOUH-GUEBAS, F., ROBERT, E. M. R. and KOEDAM, N. 2012.</w:t>
      </w:r>
      <w:r>
        <w:t xml:space="preserve"> </w:t>
      </w:r>
      <w:hyperlink r:id="rId65">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6"/>
    <w:bookmarkStart w:id="67"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7"/>
    <w:bookmarkStart w:id="69" w:name="ref-Scotese2021"/>
    <w:p>
      <w:pPr>
        <w:pStyle w:val="Bibliography"/>
      </w:pPr>
      <w:r>
        <w:t xml:space="preserve">SCOTESE, C. R., SONG, H., MILLS, B. J. W. and VAN DER MEER, D. G. 2021.</w:t>
      </w:r>
      <w:r>
        <w:t xml:space="preserve"> </w:t>
      </w:r>
      <w:hyperlink r:id="rId68">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69"/>
    <w:bookmarkStart w:id="71" w:name="ref-Suan2017"/>
    <w:p>
      <w:pPr>
        <w:pStyle w:val="Bibliography"/>
      </w:pPr>
      <w:r>
        <w:t xml:space="preserve">SUAN, G., POPESCU, S.-M., SUC, J.-P., SCHNYDER, J., FAUQUETTE, S., BAUDIN, F., YOON, D., PIEPJOHN, K., SOBOLEV, N. N. and LABROUSSE, L. 2017.</w:t>
      </w:r>
      <w:r>
        <w:t xml:space="preserve"> </w:t>
      </w:r>
      <w:hyperlink r:id="rId70">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1"/>
    <w:bookmarkStart w:id="73" w:name="ref-Taylor2004"/>
    <w:p>
      <w:pPr>
        <w:pStyle w:val="Bibliography"/>
      </w:pPr>
      <w:r>
        <w:t xml:space="preserve">TAYLOR, S. P., HAYWOOD, A. M., VALDES, P. J. and SELLWOOD, B. W. 2004.</w:t>
      </w:r>
      <w:r>
        <w:t xml:space="preserve"> </w:t>
      </w:r>
      <w:hyperlink r:id="rId72">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3"/>
    <w:bookmarkStart w:id="75" w:name="ref-Veizer2015"/>
    <w:p>
      <w:pPr>
        <w:pStyle w:val="Bibliography"/>
      </w:pPr>
      <w:r>
        <w:t xml:space="preserve">VEIZER, J. and PROKOPH, A. 2015.</w:t>
      </w:r>
      <w:r>
        <w:t xml:space="preserve"> </w:t>
      </w:r>
      <w:hyperlink r:id="rId74">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5"/>
    <w:bookmarkStart w:id="76"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6"/>
    <w:bookmarkStart w:id="77"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7"/>
    <w:bookmarkStart w:id="78"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8"/>
    <w:bookmarkStart w:id="79"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79"/>
    <w:bookmarkEnd w:id="80"/>
    <w:bookmarkEnd w:id="81"/>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468-012-0760-1" TargetMode="External" /><Relationship Type="http://schemas.openxmlformats.org/officeDocument/2006/relationships/hyperlink" Id="rId74" Target="https://doi.org/10.1016/j.earscirev.2015.03.008" TargetMode="External" /><Relationship Type="http://schemas.openxmlformats.org/officeDocument/2006/relationships/hyperlink" Id="rId68"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2"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3"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1" Target="https://doi.org/10.1111/jbi.14238" TargetMode="External" /><Relationship Type="http://schemas.openxmlformats.org/officeDocument/2006/relationships/hyperlink" Id="rId58" Target="https://doi.org/10.1126/science.1166368" TargetMode="External" /><Relationship Type="http://schemas.openxmlformats.org/officeDocument/2006/relationships/hyperlink" Id="rId47" Target="https://doi.org/10.1130/0-8137-2369-8.365" TargetMode="External" /><Relationship Type="http://schemas.openxmlformats.org/officeDocument/2006/relationships/hyperlink" Id="rId70" Target="https://doi.org/10.1130/G38547.1" TargetMode="External" /><Relationship Type="http://schemas.openxmlformats.org/officeDocument/2006/relationships/hyperlink" Id="rId53" Target="https://doi.org/10.1130/G49132.1" TargetMode="External" /><Relationship Type="http://schemas.openxmlformats.org/officeDocument/2006/relationships/hyperlink" Id="rId50"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468-012-0760-1" TargetMode="External" /><Relationship Type="http://schemas.openxmlformats.org/officeDocument/2006/relationships/hyperlink" Id="rId74" Target="https://doi.org/10.1016/j.earscirev.2015.03.008" TargetMode="External" /><Relationship Type="http://schemas.openxmlformats.org/officeDocument/2006/relationships/hyperlink" Id="rId68"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2"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3"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1" Target="https://doi.org/10.1111/jbi.14238" TargetMode="External" /><Relationship Type="http://schemas.openxmlformats.org/officeDocument/2006/relationships/hyperlink" Id="rId58" Target="https://doi.org/10.1126/science.1166368" TargetMode="External" /><Relationship Type="http://schemas.openxmlformats.org/officeDocument/2006/relationships/hyperlink" Id="rId47" Target="https://doi.org/10.1130/0-8137-2369-8.365" TargetMode="External" /><Relationship Type="http://schemas.openxmlformats.org/officeDocument/2006/relationships/hyperlink" Id="rId70" Target="https://doi.org/10.1130/G38547.1" TargetMode="External" /><Relationship Type="http://schemas.openxmlformats.org/officeDocument/2006/relationships/hyperlink" Id="rId53" Target="https://doi.org/10.1130/G49132.1" TargetMode="External" /><Relationship Type="http://schemas.openxmlformats.org/officeDocument/2006/relationships/hyperlink" Id="rId50"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the early Eocene latitudinal temperature gradient</dc:title>
  <dc:creator>Kilian Eichenseer and Lewis A. Jones</dc:creator>
  <cp:keywords/>
  <dcterms:created xsi:type="dcterms:W3CDTF">2022-12-04T22:06:40Z</dcterms:created>
  <dcterms:modified xsi:type="dcterms:W3CDTF">2022-12-04T22:06:40Z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