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Early</w:t>
      </w:r>
      <w:r>
        <w:t xml:space="preserve"> </w:t>
      </w:r>
      <w:r>
        <w:t xml:space="preserve">Eocene</w:t>
      </w:r>
      <w:r>
        <w:t xml:space="preserve"> </w:t>
      </w:r>
      <w:r>
        <w:t xml:space="preserve">Climate</w:t>
      </w:r>
      <w:r>
        <w:t xml:space="preserve"> </w:t>
      </w:r>
      <w:r>
        <w:t xml:space="preserve">Optimum</w:t>
      </w:r>
      <w:r>
        <w:t xml:space="preserve"> </w:t>
      </w:r>
      <w:r>
        <w:t xml:space="preserve">reconstructed</w:t>
      </w:r>
      <w:r>
        <w:t xml:space="preserve"> </w:t>
      </w:r>
      <w:r>
        <w:t xml:space="preserve">with</w:t>
      </w:r>
      <w:r>
        <w:t xml:space="preserve"> </w:t>
      </w:r>
      <w:r>
        <w:t xml:space="preserve">Bayesian</w:t>
      </w:r>
      <w:r>
        <w:t xml:space="preserve"> </w:t>
      </w:r>
      <w:r>
        <w:t xml:space="preserve">multi-proxy</w:t>
      </w:r>
      <w:r>
        <w:t xml:space="preserve"> </w:t>
      </w:r>
      <w:r>
        <w:t xml:space="preserve">integration</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29" w:name="materials-methods"/>
    <w:p>
      <w:pPr>
        <w:pStyle w:val="Heading1"/>
      </w:pPr>
      <w:r>
        <w:t xml:space="preserve">Materials &amp; Methods</w:t>
      </w:r>
    </w:p>
    <w:bookmarkStart w:id="24" w:name="geochemical-data"/>
    <w:p>
      <w:pPr>
        <w:pStyle w:val="Heading2"/>
      </w:pPr>
      <w:r>
        <w:t xml:space="preserve">Geochemical data</w:t>
      </w:r>
    </w:p>
    <w:p>
      <w:pPr>
        <w:pStyle w:val="FirstParagraph"/>
      </w:pPr>
      <w:r>
        <w:rPr>
          <w:bCs/>
          <w:b/>
        </w:rPr>
        <w:t xml:space="preserve">d18O.</w:t>
      </w:r>
    </w:p>
    <w:p>
      <w:pPr>
        <w:pStyle w:val="BodyText"/>
      </w:pPr>
      <w:r>
        <w:rPr>
          <w:bCs/>
          <w:b/>
        </w:rPr>
        <w:t xml:space="preserve">d47.</w:t>
      </w:r>
    </w:p>
    <w:p>
      <w:pPr>
        <w:pStyle w:val="BodyText"/>
      </w:pPr>
      <w:r>
        <w:rPr>
          <w:bCs/>
          <w:b/>
        </w:rPr>
        <w:t xml:space="preserve">Mg/Ca.</w:t>
      </w:r>
    </w:p>
    <w:p>
      <w:pPr>
        <w:pStyle w:val="BodyText"/>
      </w:pPr>
      <w:r>
        <w:rPr>
          <w:bCs/>
          <w:b/>
        </w:rPr>
        <w:t xml:space="preserve">TEX86.</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Coral reefs built by zooxanthellate-bearing, shallow water corals are confined to the tropics - substropics. The coldest</w:t>
      </w:r>
    </w:p>
    <w:p>
      <w:pPr>
        <w:pStyle w:val="BodyText"/>
      </w:pPr>
      <w:r>
        <w:rPr>
          <w:bCs/>
          <w:b/>
        </w:rPr>
        <w:t xml:space="preserve">Mangroves.</w:t>
      </w:r>
      <w:r>
        <w:t xml:space="preserve"> </w:t>
      </w:r>
      <w:r>
        <w:t xml:space="preserve">Recent mangroves occur in the tropics - subtropics. Although many factors besides temperature determine the extent of mangrove distributions, empirical temperature limits have been established for the genera</w:t>
      </w:r>
      <w:r>
        <w:t xml:space="preserve"> </w:t>
      </w:r>
      <w:r>
        <w:rPr>
          <w:iCs/>
          <w:i/>
        </w:rPr>
        <w:t xml:space="preserve">Avicennia</w:t>
      </w:r>
      <w:r>
        <w:t xml:space="preserve"> </w:t>
      </w:r>
      <w:r>
        <w:t xml:space="preserve">and</w:t>
      </w:r>
      <w:r>
        <w:t xml:space="preserve"> </w:t>
      </w:r>
      <w:r>
        <w:rPr>
          <w:iCs/>
          <w:i/>
        </w:rPr>
        <w:t xml:space="preserve">Rhizophora</w:t>
      </w:r>
      <w:r>
        <w:t xml:space="preserve">, with lower mean annual SST limits of 15.6 degC and 20.8 degC, respectively</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in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had similar climatic requirements as their modern relatives, the presence and absence of</w:t>
      </w:r>
      <w:r>
        <w:t xml:space="preserve"> </w:t>
      </w:r>
      <w:r>
        <w:rPr>
          <w:iCs/>
          <w:i/>
        </w:rPr>
        <w:t xml:space="preserve">Avicennia</w:t>
      </w:r>
      <w:r>
        <w:t xml:space="preserve"> </w:t>
      </w:r>
      <w:r>
        <w:t xml:space="preserve">and Rhizophoraceae pollen can be used as a temperature proxy. To translate mangrove occurrences from the compilation by</w:t>
      </w:r>
      <w:r>
        <w:t xml:space="preserve"> </w:t>
      </w:r>
      <w:r>
        <w:t xml:space="preserve">Popescu</w:t>
      </w:r>
      <w:r>
        <w:t xml:space="preserve"> </w:t>
      </w:r>
      <w:r>
        <w:rPr>
          <w:iCs/>
          <w:i/>
        </w:rPr>
        <w:t xml:space="preserve">et al.</w:t>
      </w:r>
      <w:r>
        <w:t xml:space="preserve"> </w:t>
      </w:r>
      <w:r>
        <w:t xml:space="preserve">(2021)</w:t>
      </w:r>
      <w:r>
        <w:t xml:space="preserve"> </w:t>
      </w:r>
      <w:r>
        <w:t xml:space="preserve">to a quantitative temperature proxy, we allocate locations at which</w:t>
      </w:r>
      <w:r>
        <w:t xml:space="preserve"> </w:t>
      </w:r>
      <w:r>
        <w:rPr>
          <w:iCs/>
          <w:i/>
        </w:rPr>
        <w:t xml:space="preserve">Avicennia</w:t>
      </w:r>
      <w:r>
        <w:t xml:space="preserve"> </w:t>
      </w:r>
      <w:r>
        <w:t xml:space="preserve">pollen, but no Rhizophoraceae pollen were found, a mean temperature between the lower</w:t>
      </w:r>
      <w:r>
        <w:t xml:space="preserve"> </w:t>
      </w:r>
      <w:r>
        <w:rPr>
          <w:iCs/>
          <w:i/>
        </w:rPr>
        <w:t xml:space="preserve">Avicennia</w:t>
      </w:r>
      <w:r>
        <w:t xml:space="preserve"> </w:t>
      </w:r>
      <w:r>
        <w:t xml:space="preserve">and Rhizophoraceae limit (18.2 degC), with a standard deviation of 1.33 degC, thus placing 95 % of the probability density within that interval (see Fig. 1x). The range of temperatures in which both taxa occur in the modern is very wide (20.8 and 28 deC), hence occurrences of both</w:t>
      </w:r>
      <w:r>
        <w:t xml:space="preserve"> </w:t>
      </w:r>
      <w:r>
        <w:rPr>
          <w:iCs/>
          <w:i/>
        </w:rPr>
        <w:t xml:space="preserve">Avicennia</w:t>
      </w:r>
      <w:r>
        <w:t xml:space="preserve"> </w:t>
      </w:r>
      <w:r>
        <w:t xml:space="preserve">and Rhizophoraceae pollen were not used in the analysis.</w:t>
      </w:r>
    </w:p>
    <w:p>
      <w:pPr>
        <w:pStyle w:val="BodyText"/>
      </w:pPr>
      <w:r>
        <w:t xml:space="preserve">[Fig 1: Map and distribution of proxy data and ecological data]</w:t>
      </w:r>
    </w:p>
    <w:bookmarkEnd w:id="25"/>
    <w:bookmarkStart w:id="26"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6"/>
    <w:bookmarkStart w:id="27"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bookmarkEnd w:id="27"/>
    <w:bookmarkStart w:id="28" w:name="model-application"/>
    <w:p>
      <w:pPr>
        <w:pStyle w:val="Heading2"/>
      </w:pPr>
      <w:r>
        <w:t xml:space="preserve">Model application</w:t>
      </w:r>
    </w:p>
    <w:p>
      <w:pPr>
        <w:numPr>
          <w:ilvl w:val="0"/>
          <w:numId w:val="1002"/>
        </w:numPr>
        <w:pStyle w:val="Compact"/>
      </w:pPr>
      <w:r>
        <w:t xml:space="preserve">Calculate lat gradient</w:t>
      </w:r>
    </w:p>
    <w:p>
      <w:pPr>
        <w:numPr>
          <w:ilvl w:val="0"/>
          <w:numId w:val="1002"/>
        </w:numPr>
        <w:pStyle w:val="Compact"/>
      </w:pPr>
      <w:r>
        <w:t xml:space="preserve">Calculate global T</w:t>
      </w:r>
    </w:p>
    <w:p>
      <w:pPr>
        <w:pStyle w:val="FirstParagraph"/>
      </w:pPr>
      <w:r>
        <w:t xml:space="preserve">[Fig. 4]</w:t>
      </w:r>
    </w:p>
    <w:bookmarkEnd w:id="28"/>
    <w:bookmarkEnd w:id="29"/>
    <w:bookmarkStart w:id="33" w:name="results"/>
    <w:p>
      <w:pPr>
        <w:pStyle w:val="Heading1"/>
      </w:pPr>
      <w:r>
        <w:t xml:space="preserve">Results</w:t>
      </w:r>
    </w:p>
    <w:bookmarkStart w:id="30" w:name="model-validation-1"/>
    <w:p>
      <w:pPr>
        <w:pStyle w:val="Heading2"/>
      </w:pPr>
      <w:r>
        <w:t xml:space="preserve">Model validation</w:t>
      </w:r>
    </w:p>
    <w:p>
      <w:pPr>
        <w:numPr>
          <w:ilvl w:val="0"/>
          <w:numId w:val="1003"/>
        </w:numPr>
        <w:pStyle w:val="Compact"/>
      </w:pPr>
      <w:r>
        <w:t xml:space="preserve">Show that the modern gradient can be reproduced with Eocene sampling distribution</w:t>
      </w:r>
      <w:r>
        <w:t xml:space="preserve"> </w:t>
      </w:r>
      <w:r>
        <w:t xml:space="preserve">[Fig 3 - Modern gradient]</w:t>
      </w:r>
    </w:p>
    <w:bookmarkEnd w:id="30"/>
    <w:bookmarkStart w:id="31" w:name="eeco-reconstruction"/>
    <w:p>
      <w:pPr>
        <w:pStyle w:val="Heading2"/>
      </w:pPr>
      <w:r>
        <w:t xml:space="preserve">EECO reconstruction</w:t>
      </w:r>
    </w:p>
    <w:p>
      <w:pPr>
        <w:numPr>
          <w:ilvl w:val="0"/>
          <w:numId w:val="1004"/>
        </w:numPr>
        <w:pStyle w:val="Compact"/>
      </w:pPr>
      <w:r>
        <w:t xml:space="preserve">Show Eocene gradient</w:t>
      </w:r>
    </w:p>
    <w:p>
      <w:pPr>
        <w:numPr>
          <w:ilvl w:val="0"/>
          <w:numId w:val="1004"/>
        </w:numPr>
        <w:pStyle w:val="Compact"/>
      </w:pPr>
      <w:r>
        <w:t xml:space="preserve">Global t</w:t>
      </w:r>
    </w:p>
    <w:p>
      <w:pPr>
        <w:numPr>
          <w:ilvl w:val="0"/>
          <w:numId w:val="1004"/>
        </w:numPr>
        <w:pStyle w:val="Compact"/>
      </w:pPr>
      <w:r>
        <w:t xml:space="preserve">report lat gradient</w:t>
      </w:r>
    </w:p>
    <w:bookmarkEnd w:id="31"/>
    <w:bookmarkStart w:id="32" w:name="X02380864f243120a1a130909e24818e79af2972"/>
    <w:p>
      <w:pPr>
        <w:pStyle w:val="Heading2"/>
      </w:pPr>
      <w:r>
        <w:t xml:space="preserve">Fig 4 - compare Eocene gradient with previous reconstructions / ES models</w:t>
      </w:r>
    </w:p>
    <w:p>
      <w:pPr>
        <w:numPr>
          <w:ilvl w:val="0"/>
          <w:numId w:val="1005"/>
        </w:numPr>
      </w:pPr>
      <w:r>
        <w:t xml:space="preserve">x1 Draw samples from the posterior gradient to get a latitudinal gradient of deg C / deg lat with uncertainty (intercept gradient at 0 and 90 deg lat)</w:t>
      </w:r>
    </w:p>
    <w:p>
      <w:pPr>
        <w:numPr>
          <w:ilvl w:val="0"/>
          <w:numId w:val="1005"/>
        </w:numPr>
      </w:pPr>
      <w:r>
        <w:t xml:space="preserve">x2 generate global average temperature, and tropical, temperate, polar temperatures in a similar way, accounting for area</w:t>
      </w:r>
    </w:p>
    <w:bookmarkEnd w:id="32"/>
    <w:bookmarkEnd w:id="33"/>
    <w:bookmarkStart w:id="34" w:name="discussion"/>
    <w:p>
      <w:pPr>
        <w:pStyle w:val="Heading1"/>
      </w:pPr>
      <w:r>
        <w:t xml:space="preserve">Discussion</w:t>
      </w:r>
    </w:p>
    <w:p>
      <w:pPr>
        <w:numPr>
          <w:ilvl w:val="0"/>
          <w:numId w:val="1006"/>
        </w:numPr>
        <w:pStyle w:val="Compact"/>
      </w:pPr>
      <w:r>
        <w:t xml:space="preserve">x1 compare lat gradient to literature estimates, e.g. Zhang2019</w:t>
      </w:r>
    </w:p>
    <w:bookmarkEnd w:id="34"/>
    <w:bookmarkStart w:id="35" w:name="conclusions"/>
    <w:p>
      <w:pPr>
        <w:pStyle w:val="Heading1"/>
      </w:pPr>
      <w:r>
        <w:t xml:space="preserve">Conclusions</w:t>
      </w:r>
    </w:p>
    <w:bookmarkEnd w:id="35"/>
    <w:bookmarkStart w:id="36" w:name="acknowledgements"/>
    <w:p>
      <w:pPr>
        <w:pStyle w:val="Heading1"/>
      </w:pPr>
      <w:r>
        <w:t xml:space="preserve">Acknowledgements</w:t>
      </w:r>
    </w:p>
    <w:bookmarkEnd w:id="36"/>
    <w:bookmarkStart w:id="37" w:name="author-contributions"/>
    <w:p>
      <w:pPr>
        <w:pStyle w:val="Heading1"/>
      </w:pPr>
      <w:r>
        <w:t xml:space="preserve">Author contributions</w:t>
      </w:r>
    </w:p>
    <w:bookmarkEnd w:id="37"/>
    <w:bookmarkStart w:id="38" w:name="data-accessibility"/>
    <w:p>
      <w:pPr>
        <w:pStyle w:val="Heading1"/>
      </w:pPr>
      <w:r>
        <w:t xml:space="preserve">Data accessibility</w:t>
      </w:r>
    </w:p>
    <w:bookmarkEnd w:id="38"/>
    <w:bookmarkStart w:id="48" w:name="references"/>
    <w:p>
      <w:pPr>
        <w:pStyle w:val="Heading1"/>
      </w:pPr>
      <w:r>
        <w:t xml:space="preserve">References</w:t>
      </w:r>
    </w:p>
    <w:bookmarkStart w:id="47" w:name="refs"/>
    <w:bookmarkStart w:id="40" w:name="ref-Jones2022"/>
    <w:p>
      <w:pPr>
        <w:pStyle w:val="Bibliography"/>
      </w:pPr>
      <w:r>
        <w:t xml:space="preserve">JONES, L. A. and EICHENSEER, K. 2022.</w:t>
      </w:r>
      <w:r>
        <w:t xml:space="preserve"> </w:t>
      </w:r>
      <w:hyperlink r:id="rId39">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0"/>
    <w:bookmarkStart w:id="42" w:name="ref-Popescu2021"/>
    <w:p>
      <w:pPr>
        <w:pStyle w:val="Bibliography"/>
      </w:pPr>
      <w:r>
        <w:t xml:space="preserve">POPESCU, S.-M., SUC, J.-P., FAUQUETTE, S., BESSEDIK, M., JIMÉNEZ-MORENO, G., ROBIN, C. and LABROUSSE, L. 2021.</w:t>
      </w:r>
      <w:r>
        <w:t xml:space="preserve"> </w:t>
      </w:r>
      <w:hyperlink r:id="rId41">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42"/>
    <w:bookmarkStart w:id="44" w:name="ref-Quisthoudt2012"/>
    <w:p>
      <w:pPr>
        <w:pStyle w:val="Bibliography"/>
      </w:pPr>
      <w:r>
        <w:t xml:space="preserve">QUISTHOUDT, K., SCHMITZ, N., RANDIN, C. F., DAHDOUH-GUEBAS, F., ROBERT, E. M. R. and KOEDAM, N. 2012.</w:t>
      </w:r>
      <w:r>
        <w:t xml:space="preserve"> </w:t>
      </w:r>
      <w:hyperlink r:id="rId43">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44"/>
    <w:bookmarkStart w:id="46" w:name="ref-Suan2017"/>
    <w:p>
      <w:pPr>
        <w:pStyle w:val="Bibliography"/>
      </w:pPr>
      <w:r>
        <w:t xml:space="preserve">SUAN, G., POPESCU, S.-M., SUC, J.-P., SCHNYDER, J., FAUQUETTE, S., BAUDIN, F., YOON, D., PIEPJOHN, K., SOBOLEV, N. N. and LABROUSSE, L. 2017.</w:t>
      </w:r>
      <w:r>
        <w:t xml:space="preserve"> </w:t>
      </w:r>
      <w:hyperlink r:id="rId45">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46"/>
    <w:bookmarkEnd w:id="47"/>
    <w:bookmarkEnd w:id="48"/>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s://doi.org/10.1007/s00468-012-0760-1" TargetMode="External" /><Relationship Type="http://schemas.openxmlformats.org/officeDocument/2006/relationships/hyperlink" Id="rId41" Target="https://doi.org/10.1111/jbi.14238" TargetMode="External" /><Relationship Type="http://schemas.openxmlformats.org/officeDocument/2006/relationships/hyperlink" Id="rId45" Target="https://doi.org/10.1130/G38547.1" TargetMode="External" /><Relationship Type="http://schemas.openxmlformats.org/officeDocument/2006/relationships/hyperlink" Id="rId39"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07/s00468-012-0760-1" TargetMode="External" /><Relationship Type="http://schemas.openxmlformats.org/officeDocument/2006/relationships/hyperlink" Id="rId41" Target="https://doi.org/10.1111/jbi.14238" TargetMode="External" /><Relationship Type="http://schemas.openxmlformats.org/officeDocument/2006/relationships/hyperlink" Id="rId45" Target="https://doi.org/10.1130/G38547.1" TargetMode="External" /><Relationship Type="http://schemas.openxmlformats.org/officeDocument/2006/relationships/hyperlink" Id="rId39"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Early Eocene Climate Optimum reconstructed with Bayesian multi-proxy integration</dc:title>
  <dc:creator>Kilian Eichenseer and Lewis A. Jones</dc:creator>
  <cp:keywords/>
  <dcterms:created xsi:type="dcterms:W3CDTF">2022-09-20T09:37:52Z</dcterms:created>
  <dcterms:modified xsi:type="dcterms:W3CDTF">2022-09-20T09:37:52Z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