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g" ContentType="image/jpeg"/>
  <Override PartName="/word/media/rId24.png" ContentType="image/png"/>
  <Override PartName="/word/media/rId32.png" ContentType="image/png"/>
  <Override PartName="/word/media/rId37.png" ContentType="image/png"/>
  <Override PartName="/word/media/rId4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gradients</w:t>
      </w:r>
    </w:p>
    <w:p>
      <w:pPr>
        <w:pStyle w:val="Author"/>
      </w:pPr>
      <w:r>
        <w:t xml:space="preserve">—</w:t>
      </w:r>
    </w:p>
    <w:p>
      <w:pPr>
        <w:pStyle w:val="Author"/>
      </w:pPr>
      <w:r>
        <w:t xml:space="preserve">Kilian</w:t>
      </w:r>
      <w:r>
        <w:t xml:space="preserve"> </w:t>
      </w:r>
      <w:r>
        <w:t xml:space="preserve">Eichenseer</w:t>
      </w:r>
      <w:r>
        <w:rPr>
          <w:vertAlign w:val="superscript"/>
        </w:rPr>
        <w:t xml:space="preserve">1</w:t>
      </w:r>
      <w:r>
        <w:t xml:space="preserve"> </w:t>
      </w:r>
      <w:r>
        <w:t xml:space="preserve">and</w:t>
      </w:r>
      <w:r>
        <w:t xml:space="preserve"> </w:t>
      </w:r>
      <w:r>
        <w:t xml:space="preserve">Lewis</w:t>
      </w:r>
      <w:r>
        <w:t xml:space="preserve"> </w:t>
      </w:r>
      <w:r>
        <w:t xml:space="preserve">A.</w:t>
      </w:r>
      <w:r>
        <w:t xml:space="preserve"> </w:t>
      </w:r>
      <w:r>
        <w:t xml:space="preserve">Jones</w:t>
      </w:r>
      <w:r>
        <w:rPr>
          <w:vertAlign w:val="superscript"/>
        </w:rPr>
        <w:t xml:space="preserve">2</w:t>
      </w:r>
    </w:p>
    <w:p>
      <w:pPr>
        <w:pStyle w:val="Author"/>
      </w:pPr>
      <w:r>
        <w:t xml:space="preserve">—</w:t>
      </w:r>
    </w:p>
    <w:p>
      <w:pPr>
        <w:pStyle w:val="Author"/>
      </w:pPr>
      <w:r>
        <w:rPr>
          <w:vertAlign w:val="superscript"/>
        </w:rPr>
        <w:t xml:space="preserve">1</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rPr>
          <w:vertAlign w:val="superscript"/>
        </w:rPr>
        <w:t xml:space="preserve">2</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kilian.eichenseer@durham.ac.uk</w:t>
      </w:r>
    </w:p>
    <w:tbl>
      <w:tblPr>
        <w:tblStyle w:val="Table"/>
        <w:tblW w:type="pct" w:w="5000"/>
        <w:tblLook w:firstRow="0" w:lastRow="0" w:firstColumn="0" w:lastColumn="0" w:noHBand="0" w:noVBand="0" w:val="0000"/>
        <w:jc w:val="start"/>
      </w:tblPr>
      <w:tblGrid>
        <w:gridCol w:w="7920"/>
      </w:tblGrid>
      <w:tr>
        <w:tc>
          <w:tcPr/>
          <w:bookmarkStart w:id="23" w:name="fig-S1"/>
          <w:p>
            <w:pPr>
              <w:jc w:val="center"/>
            </w:pPr>
            <w:r>
              <w:drawing>
                <wp:inline>
                  <wp:extent cx="5759999" cy="2742380"/>
                  <wp:effectExtent b="0" l="0" r="0" t="0"/>
                  <wp:docPr descr="" title="" id="21" name="Picture"/>
                  <a:graphic>
                    <a:graphicData uri="http://schemas.openxmlformats.org/drawingml/2006/picture">
                      <pic:pic>
                        <pic:nvPicPr>
                          <pic:cNvPr descr="../figures/SM/FigS1-Traceplot.jpg" id="22" name="Picture"/>
                          <pic:cNvPicPr>
                            <a:picLocks noChangeArrowheads="1" noChangeAspect="1"/>
                          </pic:cNvPicPr>
                        </pic:nvPicPr>
                        <pic:blipFill>
                          <a:blip r:embed="rId20"/>
                          <a:stretch>
                            <a:fillRect/>
                          </a:stretch>
                        </pic:blipFill>
                        <pic:spPr bwMode="auto">
                          <a:xfrm>
                            <a:off x="0" y="0"/>
                            <a:ext cx="5759999" cy="27423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bookmarkEnd w:id="23"/>
        </w:tc>
      </w:tr>
    </w:tbl>
    <w:p/>
    <w:tbl>
      <w:tblPr>
        <w:tblStyle w:val="Table"/>
        <w:tblW w:type="pct" w:w="5000"/>
        <w:tblLook w:firstRow="0" w:lastRow="0" w:firstColumn="0" w:lastColumn="0" w:noHBand="0" w:noVBand="0" w:val="0000"/>
        <w:jc w:val="start"/>
      </w:tblPr>
      <w:tblGrid>
        <w:gridCol w:w="7920"/>
      </w:tblGrid>
      <w:tr>
        <w:tc>
          <w:tcPr/>
          <w:bookmarkStart w:id="27" w:name="fig-S2"/>
          <w:p>
            <w:pPr>
              <w:jc w:val="center"/>
            </w:pPr>
            <w:r>
              <w:drawing>
                <wp:inline>
                  <wp:extent cx="3779999" cy="2785263"/>
                  <wp:effectExtent b="0" l="0" r="0" t="0"/>
                  <wp:docPr descr="" title="" id="25" name="Picture"/>
                  <a:graphic>
                    <a:graphicData uri="http://schemas.openxmlformats.org/drawingml/2006/picture">
                      <pic:pic>
                        <pic:nvPicPr>
                          <pic:cNvPr descr="../figures/SM/FigS2_geochem_eeco.png" id="26" name="Picture"/>
                          <pic:cNvPicPr>
                            <a:picLocks noChangeArrowheads="1" noChangeAspect="1"/>
                          </pic:cNvPicPr>
                        </pic:nvPicPr>
                        <pic:blipFill>
                          <a:blip r:embed="rId24"/>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2: Estimated latitudinal temperature gradient using only the geochemical proxy data (yellow), showing the median (line) and 95% credible interval (shading). Symbols with vertical lines show the median and 95% credible intervals of</w:t>
            </w:r>
            <w:r>
              <w:t xml:space="preserve"> </w:t>
            </w:r>
            <m:oMath>
              <m:sSub>
                <m:e>
                  <m:r>
                    <m:t>μ</m:t>
                  </m:r>
                </m:e>
                <m:sub>
                  <m:r>
                    <m:t>j</m:t>
                  </m:r>
                </m:sub>
              </m:sSub>
            </m:oMath>
            <w:r>
              <w:t xml:space="preserve">. The blue line and shading in the background show the latitudinal temperature gradient with the geochemical and ecological proxy data, as in Figure 4.</w:t>
            </w:r>
          </w:p>
          <w:bookmarkEnd w:id="2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1" w:name="fig-S3"/>
          <w:p>
            <w:pPr>
              <w:jc w:val="center"/>
            </w:pPr>
            <w:r>
              <w:drawing>
                <wp:inline>
                  <wp:extent cx="3779999" cy="2785263"/>
                  <wp:effectExtent b="0" l="0" r="0" t="0"/>
                  <wp:docPr descr="" title="" id="29" name="Picture"/>
                  <a:graphic>
                    <a:graphicData uri="http://schemas.openxmlformats.org/drawingml/2006/picture">
                      <pic:pic>
                        <pic:nvPicPr>
                          <pic:cNvPr descr="../figures/SM/FigS_wider-ecol-limits.png" id="30" name="Picture"/>
                          <pic:cNvPicPr>
                            <a:picLocks noChangeArrowheads="1" noChangeAspect="1"/>
                          </pic:cNvPicPr>
                        </pic:nvPicPr>
                        <pic:blipFill>
                          <a:blip r:embed="rId28"/>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3: Estimated latitudinal temperature gradient using only wider ecological limits for the coral data and for the</w:t>
            </w:r>
            <w:r>
              <w:t xml:space="preserve"> </w:t>
            </w:r>
            <w:r>
              <w:rPr>
                <w:iCs/>
                <w:i/>
              </w:rPr>
              <w:t xml:space="preserve">Avicennia</w:t>
            </w:r>
            <w:r>
              <w:t xml:space="preserve">-Rhizophoraceae mangrove assemblage (orange), showing the median (line) and 95% credible interval (shading). The ecological limits were expanded to include</w:t>
            </w:r>
            <w:r>
              <w:t xml:space="preserve"> </w:t>
            </w:r>
            <m:oMath>
              <m:r>
                <m:t>95</m:t>
              </m:r>
              <m:r>
                <m:rPr>
                  <m:sty m:val="p"/>
                </m:rPr>
                <m:t>%</m:t>
              </m:r>
            </m:oMath>
            <w:r>
              <w:t xml:space="preserve"> </w:t>
            </w:r>
            <w:r>
              <w:t xml:space="preserve">of the probability density in the interval of</w:t>
            </w:r>
            <w:r>
              <w:t xml:space="preserve"> </w:t>
            </w:r>
            <m:oMath>
              <m:r>
                <m:t>16.0</m:t>
              </m:r>
            </m:oMath>
            <w:r>
              <w:t xml:space="preserve"> </w:t>
            </w:r>
            <w:r>
              <w:t xml:space="preserve">to</w:t>
            </w:r>
            <w:r>
              <w:t xml:space="preserve"> </w:t>
            </w:r>
            <m:oMath>
              <m:r>
                <m:t>35.6</m:t>
              </m:r>
            </m:oMath>
            <w:r>
              <w:t xml:space="preserve">°C, using the minimal monthly temperature experienced by coral reefs (Kleypas et al., 1999), and a theoretical maximum derived by Jones et al. (2022). Symbols with vertical lines show the median and 95% credible intervals of</w:t>
            </w:r>
            <w:r>
              <w:t xml:space="preserve"> </w:t>
            </w:r>
            <m:oMath>
              <m:sSub>
                <m:e>
                  <m:r>
                    <m:t>μ</m:t>
                  </m:r>
                </m:e>
                <m:sub>
                  <m:r>
                    <m:t>j</m:t>
                  </m:r>
                </m:sub>
              </m:sSub>
            </m:oMath>
            <w:r>
              <w:t xml:space="preserve">. The black line and shading in the background show the latitudinal temperature gradient with the narrower ecological limits, as in Figure 4.</w:t>
            </w:r>
          </w:p>
          <w:bookmarkEnd w:id="3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5" w:name="fig-S4"/>
          <w:p>
            <w:pPr>
              <w:jc w:val="center"/>
            </w:pPr>
            <w:r>
              <w:drawing>
                <wp:inline>
                  <wp:extent cx="4319999" cy="2749090"/>
                  <wp:effectExtent b="0" l="0" r="0" t="0"/>
                  <wp:docPr descr="" title="" id="33" name="Picture"/>
                  <a:graphic>
                    <a:graphicData uri="http://schemas.openxmlformats.org/drawingml/2006/picture">
                      <pic:pic>
                        <pic:nvPicPr>
                          <pic:cNvPr descr="../figures/SM/FigS3_north_south_eeco.png" id="34" name="Picture"/>
                          <pic:cNvPicPr>
                            <a:picLocks noChangeArrowheads="1" noChangeAspect="1"/>
                          </pic:cNvPicPr>
                        </pic:nvPicPr>
                        <pic:blipFill>
                          <a:blip r:embed="rId32"/>
                          <a:stretch>
                            <a:fillRect/>
                          </a:stretch>
                        </pic:blipFill>
                        <pic:spPr bwMode="auto">
                          <a:xfrm>
                            <a:off x="0" y="0"/>
                            <a:ext cx="4319999" cy="27490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4: Estimated latitudinal temperature gradients for each hemisphere, showing the medians (lines) and 95% credible intervals (shadings) in the Southern (red) and Northern Hemisphere (blue). Symbols with vertical lines show the median and 95% credible intervals of</w:t>
            </w:r>
            <w:r>
              <w:t xml:space="preserve"> </w:t>
            </w:r>
            <m:oMath>
              <m:sSub>
                <m:e>
                  <m:r>
                    <m:t>μ</m:t>
                  </m:r>
                </m:e>
                <m:sub>
                  <m:r>
                    <m:t>j</m:t>
                  </m:r>
                </m:sub>
              </m:sSub>
            </m:oMath>
            <w:r>
              <w:t xml:space="preserve">. Turquoise symbols in the Northern Hemisphere highlight the ecological proxy data. The grey line and shading in the background show the latitudinal temperature gradient with the data from both hemispheres combined, plotted in both hemispheres. The dotted lines show the empirical, modern gradient, averaged across bins of 1&amp;deg, for both hemispheres combined (black), and for the Northern hemisphere (blue) and Southern hemisphere (red), separately.</w:t>
            </w:r>
          </w:p>
          <w:bookmarkEnd w:id="35"/>
        </w:tc>
      </w:tr>
    </w:tbl>
    <w:bookmarkStart w:id="45" w:name="X8316e4fe306ed53291c10fa3c01e5f1aa3b4a00"/>
    <w:p>
      <w:pPr>
        <w:pStyle w:val="Heading2"/>
      </w:pPr>
      <w:r>
        <w:t xml:space="preserve">EECO gradient with uncertainty on proxy observations</w:t>
      </w:r>
    </w:p>
    <w:p>
      <w:pPr>
        <w:pStyle w:val="FirstParagraph"/>
      </w:pPr>
      <w:r>
        <w:t xml:space="preserve">Most of the geochemical proxy data used in the EECO analysis (300 of 308) come with uncertainties around their temperature estimates. Due to their negligible influence on the model results, we have not included them in the main analysis, but we show a comparison between the main EECO model output (see Fig. 4) and an the results of an expanded model, including uncertainties, below.</w:t>
      </w:r>
    </w:p>
    <w:p>
      <w:pPr>
        <w:pStyle w:val="BodyText"/>
      </w:pPr>
      <w:r>
        <w:t xml:space="preserve">Specifically, we took the 95 or 90% confidence intervals of the temperature estimates to calculate the standard deviation representative of this uncertainty (</w:t>
      </w:r>
      <m:oMath>
        <m:sSub>
          <m:e>
            <m:r>
              <m:t>t</m:t>
            </m:r>
          </m:e>
          <m:sub>
            <m:r>
              <m:t>σ</m:t>
            </m:r>
            <m:r>
              <m:rPr>
                <m:sty m:val="p"/>
              </m:rPr>
              <m:t>,</m:t>
            </m:r>
            <m:r>
              <m:t>i</m:t>
            </m:r>
            <m:r>
              <m:rPr>
                <m:sty m:val="p"/>
              </m:rPr>
              <m:t>,</m:t>
            </m:r>
            <m:r>
              <m:t>j</m:t>
            </m:r>
          </m:sub>
        </m:sSub>
      </m:oMath>
      <w:r>
        <w:t xml:space="preserve">), which we used for the analysis. Instead of using fixed mean proxy temperature observations</w:t>
      </w:r>
      <w:r>
        <w:t xml:space="preserve"> </w:t>
      </w:r>
      <m:oMath>
        <m:sSub>
          <m:e>
            <m:r>
              <m:t>t</m:t>
            </m:r>
          </m:e>
          <m:sub>
            <m:r>
              <m:t>i</m:t>
            </m:r>
            <m:r>
              <m:rPr>
                <m:sty m:val="p"/>
              </m:rPr>
              <m:t>,</m:t>
            </m:r>
            <m:r>
              <m:t>j</m:t>
            </m:r>
          </m:sub>
        </m:sSub>
      </m:oMath>
      <w:r>
        <w:t xml:space="preserve"> </w:t>
      </w:r>
      <w:r>
        <w:t xml:space="preserve">directly in Equation 3, we let</w:t>
      </w:r>
      <w:r>
        <w:t xml:space="preserve"> </w:t>
      </w:r>
      <m:oMath>
        <m:sSub>
          <m:e>
            <m:r>
              <m:t>t</m:t>
            </m:r>
          </m:e>
          <m:sub>
            <m:r>
              <m:t>i</m:t>
            </m:r>
            <m:r>
              <m:rPr>
                <m:sty m:val="p"/>
              </m:rPr>
              <m:t>,</m:t>
            </m:r>
            <m:r>
              <m:t>j</m:t>
            </m:r>
          </m:sub>
        </m:sSub>
      </m:oMath>
      <w:r>
        <w:t xml:space="preserve"> </w:t>
      </w:r>
      <w:r>
        <w:t xml:space="preserve">be the function of a normal distribution with mean</w:t>
      </w:r>
      <w:r>
        <w:t xml:space="preserve"> </w:t>
      </w:r>
      <m:oMath>
        <m:sSub>
          <m:e>
            <m:r>
              <m:t>t</m:t>
            </m:r>
          </m:e>
          <m:sub>
            <m:r>
              <m:t>μ</m:t>
            </m:r>
            <m:r>
              <m:rPr>
                <m:sty m:val="p"/>
              </m:rPr>
              <m:t>,</m:t>
            </m:r>
            <m:r>
              <m:t>i</m:t>
            </m:r>
            <m:r>
              <m:rPr>
                <m:sty m:val="p"/>
              </m:rPr>
              <m:t>,</m:t>
            </m:r>
            <m:r>
              <m:t>j</m:t>
            </m:r>
          </m:sub>
        </m:sSub>
      </m:oMath>
      <w:r>
        <w:t xml:space="preserve"> </w:t>
      </w:r>
      <w:r>
        <w:t xml:space="preserve">and standard deviation</w:t>
      </w:r>
      <w:r>
        <w:t xml:space="preserve"> </w:t>
      </w:r>
      <m:oMath>
        <m:sSub>
          <m:e>
            <m:r>
              <m:t>t</m:t>
            </m:r>
          </m:e>
          <m:sub>
            <m:r>
              <m:t>σ</m:t>
            </m:r>
            <m:r>
              <m:rPr>
                <m:sty m:val="p"/>
              </m:rPr>
              <m:t>,</m:t>
            </m:r>
            <m:r>
              <m:t>i</m:t>
            </m:r>
            <m:r>
              <m:rPr>
                <m:sty m:val="p"/>
              </m:rPr>
              <m:t>,</m:t>
            </m:r>
            <m:r>
              <m:t>j</m:t>
            </m:r>
          </m:sub>
        </m:sSub>
      </m:oMath>
      <w:r>
        <w:t xml:space="preserve">, where</w:t>
      </w:r>
      <w:r>
        <w:t xml:space="preserve"> </w:t>
      </w:r>
      <m:oMath>
        <m:sSub>
          <m:e>
            <m:r>
              <m:t>t</m:t>
            </m:r>
          </m:e>
          <m:sub>
            <m:r>
              <m:t>μ</m:t>
            </m:r>
            <m:r>
              <m:rPr>
                <m:sty m:val="p"/>
              </m:rPr>
              <m:t>,</m:t>
            </m:r>
            <m:r>
              <m:t>i</m:t>
            </m:r>
            <m:r>
              <m:rPr>
                <m:sty m:val="p"/>
              </m:rPr>
              <m:t>,</m:t>
            </m:r>
            <m:r>
              <m:t>j</m:t>
            </m:r>
          </m:sub>
        </m:sSub>
      </m:oMath>
      <w:r>
        <w:t xml:space="preserve"> </w:t>
      </w:r>
      <w:r>
        <w:t xml:space="preserve">and</w:t>
      </w:r>
      <w:r>
        <w:t xml:space="preserve"> </w:t>
      </w:r>
      <m:oMath>
        <m:sSub>
          <m:e>
            <m:r>
              <m:t>t</m:t>
            </m:r>
          </m:e>
          <m:sub>
            <m:r>
              <m:t>σ</m:t>
            </m:r>
            <m:r>
              <m:rPr>
                <m:sty m:val="p"/>
              </m:rPr>
              <m:t>,</m:t>
            </m:r>
            <m:r>
              <m:t>i</m:t>
            </m:r>
            <m:r>
              <m:rPr>
                <m:sty m:val="p"/>
              </m:rPr>
              <m:t>,</m:t>
            </m:r>
            <m:r>
              <m:t>j</m:t>
            </m:r>
          </m:sub>
        </m:sSub>
      </m:oMath>
      <w:r>
        <w:t xml:space="preserve"> </w:t>
      </w:r>
      <w:r>
        <w:t xml:space="preserve">are provided by the proxy data set:</w:t>
      </w:r>
    </w:p>
    <w:p>
      <w:pPr>
        <w:pStyle w:val="BodyText"/>
      </w:pPr>
      <w:bookmarkStart w:id="36" w:name="eq-obs"/>
      <m:oMathPara>
        <m:oMathParaPr>
          <m:jc m:val="center"/>
        </m:oMathParaPr>
        <m:oMath>
          <m:sSub>
            <m:e>
              <m:r>
                <m:t>t</m:t>
              </m:r>
            </m:e>
            <m:sub>
              <m:r>
                <m:t>μ</m:t>
              </m:r>
              <m:r>
                <m:rPr>
                  <m:sty m:val="p"/>
                </m:rPr>
                <m:t>,</m:t>
              </m:r>
              <m:r>
                <m:t>i</m:t>
              </m:r>
              <m:r>
                <m:rPr>
                  <m:sty m:val="p"/>
                </m:rPr>
                <m:t>,</m:t>
              </m:r>
              <m:r>
                <m:t>j</m:t>
              </m:r>
            </m:sub>
          </m:sSub>
          <m:r>
            <m:rPr>
              <m:sty m:val="p"/>
            </m:rPr>
            <m:t>∼</m:t>
          </m:r>
          <m:r>
            <m:t>N</m:t>
          </m:r>
          <m:d>
            <m:dPr>
              <m:begChr m:val="("/>
              <m:endChr m:val=")"/>
              <m:sepChr m:val=""/>
              <m:grow/>
            </m:dPr>
            <m:e>
              <m:sSub>
                <m:e>
                  <m:r>
                    <m:t>t</m:t>
                  </m:r>
                </m:e>
                <m:sub>
                  <m:r>
                    <m:t>i</m:t>
                  </m:r>
                  <m:r>
                    <m:rPr>
                      <m:sty m:val="p"/>
                    </m:rPr>
                    <m:t>,</m:t>
                  </m:r>
                  <m:r>
                    <m:t>j</m:t>
                  </m:r>
                </m:sub>
              </m:sSub>
              <m:r>
                <m:rPr>
                  <m:sty m:val="p"/>
                </m:rPr>
                <m:t>,</m:t>
              </m:r>
              <m:sSub>
                <m:e>
                  <m:r>
                    <m:t>t</m:t>
                  </m:r>
                </m:e>
                <m:sub>
                  <m:r>
                    <m:t>σ</m:t>
                  </m:r>
                  <m:r>
                    <m:rPr>
                      <m:sty m:val="p"/>
                    </m:rPr>
                    <m:t>,</m:t>
                  </m:r>
                  <m:r>
                    <m:t>i</m:t>
                  </m:r>
                  <m:r>
                    <m:rPr>
                      <m:sty m:val="p"/>
                    </m:rPr>
                    <m:t>,</m:t>
                  </m:r>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r>
            <m:t>  </m:t>
          </m:r>
          <m:d>
            <m:dPr>
              <m:begChr m:val="("/>
              <m:endChr m:val=")"/>
              <m:sepChr m:val=""/>
              <m:grow/>
            </m:dPr>
            <m:e>
              <m:r>
                <m:t>1</m:t>
              </m:r>
            </m:e>
          </m:d>
        </m:oMath>
      </m:oMathPara>
      <w:bookmarkEnd w:id="36"/>
    </w:p>
    <w:p>
      <w:pPr>
        <w:pStyle w:val="FirstParagraph"/>
      </w:pPr>
      <w:r>
        <w:t xml:space="preserve">where</w:t>
      </w:r>
      <w:r>
        <w:t xml:space="preserve"> </w:t>
      </w:r>
      <m:oMath>
        <m:r>
          <m:t>m</m:t>
        </m:r>
      </m:oMath>
      <w:r>
        <w:t xml:space="preserve"> </w:t>
      </w:r>
      <w:r>
        <w:t xml:space="preserve">is the number of observations at each location, and</w:t>
      </w:r>
      <w:r>
        <w:t xml:space="preserve"> </w:t>
      </w:r>
      <m:oMath>
        <m:r>
          <m:t>n</m:t>
        </m:r>
      </m:oMath>
      <w:r>
        <w:t xml:space="preserve"> </w:t>
      </w:r>
      <w:r>
        <w:t xml:space="preserve">denotes the number of locations.</w:t>
      </w:r>
    </w:p>
    <w:p>
      <w:pPr>
        <w:pStyle w:val="BodyText"/>
      </w:pPr>
      <w:r>
        <w:t xml:space="preserve">The resulting gradient estimated with this expanded model is very similar to that estimated with the original model (Fig. S2). The uncertainty around the proxy temperatures allows the estimated location mean temperatures to be drawn closer to the gradient line, resulting in a slightly lower median residual standard deviation (4.7 as opposed to 4.9 in the original model).</w:t>
      </w:r>
    </w:p>
    <w:tbl>
      <w:tblPr>
        <w:tblStyle w:val="Table"/>
        <w:tblW w:type="pct" w:w="5000"/>
        <w:tblLook w:firstRow="0" w:lastRow="0" w:firstColumn="0" w:lastColumn="0" w:noHBand="0" w:noVBand="0" w:val="0000"/>
        <w:jc w:val="start"/>
      </w:tblPr>
      <w:tblGrid>
        <w:gridCol w:w="7920"/>
      </w:tblGrid>
      <w:tr>
        <w:tc>
          <w:tcPr/>
          <w:bookmarkStart w:id="40" w:name="fig-S5"/>
          <w:p>
            <w:pPr>
              <w:jc w:val="center"/>
            </w:pPr>
            <w:r>
              <w:drawing>
                <wp:inline>
                  <wp:extent cx="3779999" cy="2785263"/>
                  <wp:effectExtent b="0" l="0" r="0" t="0"/>
                  <wp:docPr descr="" title="" id="38" name="Picture"/>
                  <a:graphic>
                    <a:graphicData uri="http://schemas.openxmlformats.org/drawingml/2006/picture">
                      <pic:pic>
                        <pic:nvPicPr>
                          <pic:cNvPr descr="../figures/SM/FigS_sd_included.png" id="39" name="Picture"/>
                          <pic:cNvPicPr>
                            <a:picLocks noChangeArrowheads="1" noChangeAspect="1"/>
                          </pic:cNvPicPr>
                        </pic:nvPicPr>
                        <pic:blipFill>
                          <a:blip r:embed="rId37"/>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5: Estimated latitudinal temperature gradient using only the geochemical proxy data (orange), showing the median (line) and 95% credible interval (shading). Symbols with vertical lines show the median and 95% credible intervals of</w:t>
            </w:r>
            <w:r>
              <w:t xml:space="preserve"> </w:t>
            </w:r>
            <m:oMath>
              <m:sSub>
                <m:e>
                  <m:r>
                    <m:t>μ</m:t>
                  </m:r>
                </m:e>
                <m:sub>
                  <m:r>
                    <m:t>j</m:t>
                  </m:r>
                </m:sub>
              </m:sSub>
            </m:oMath>
            <w:r>
              <w:t xml:space="preserve">. The blue line and shading in the background show the latitudinal temperature gradient with the geochemical and ecological proxy data, as in Figure 4.</w:t>
            </w:r>
          </w:p>
          <w:bookmarkEnd w:id="4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S6"/>
          <w:p>
            <w:pPr>
              <w:jc w:val="center"/>
            </w:pPr>
            <w:r>
              <w:drawing>
                <wp:inline>
                  <wp:extent cx="3059999" cy="2972571"/>
                  <wp:effectExtent b="0" l="0" r="0" t="0"/>
                  <wp:docPr descr="" title="" id="42" name="Picture"/>
                  <a:graphic>
                    <a:graphicData uri="http://schemas.openxmlformats.org/drawingml/2006/picture">
                      <pic:pic>
                        <pic:nvPicPr>
                          <pic:cNvPr descr="../figures/SM/FigS_temp_location_sd.png" id="43" name="Picture"/>
                          <pic:cNvPicPr>
                            <a:picLocks noChangeArrowheads="1" noChangeAspect="1"/>
                          </pic:cNvPicPr>
                        </pic:nvPicPr>
                        <pic:blipFill>
                          <a:blip r:embed="rId41"/>
                          <a:stretch>
                            <a:fillRect/>
                          </a:stretch>
                        </pic:blipFill>
                        <pic:spPr bwMode="auto">
                          <a:xfrm>
                            <a:off x="0" y="0"/>
                            <a:ext cx="3059999" cy="2972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6: Standard deviation of temperature estimates from individual localities of the EECO geochemical proxy data from Hollis et al. (2019) with more than one sample, against the absolute latitude of the locality (n = 17). The line shows a linear regression, suggesting a moderate effect of absolute latitude on proxy data variability, with mid- and hight-latitude data being more variable than low-latitude data.</w:t>
            </w:r>
          </w:p>
          <w:bookmarkEnd w:id="44"/>
        </w:tc>
      </w:tr>
    </w:tbl>
    <w:bookmarkEnd w:id="45"/>
    <w:sectPr w:rsidR="009B58D4" w:rsidRPr="009D7010" w:rsidSect="00B138AE">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15660"/>
      <w:docPartObj>
        <w:docPartGallery w:val="Page Numbers (Bottom of Page)"/>
        <w:docPartUnique/>
      </w:docPartObj>
    </w:sdtPr>
    <w:sdtEndPr>
      <w:rPr>
        <w:noProof/>
      </w:rPr>
    </w:sdtEndPr>
    <w:sdtContent>
      <w:p w14:paraId="20823A51" w14:textId="21933526" w:rsidR="00E867B8" w:rsidRDefault="00E867B8" w:rsidP="00E867B8">
        <w:pPr>
          <w:pStyle w:val="FootnoteText"/>
        </w:pPr>
        <w:r>
          <w:fldChar w:fldCharType="begin"/>
        </w:r>
        <w:r>
          <w:instrText xml:space="preserve"> PAGE   \* MERGEFORMAT </w:instrText>
        </w:r>
        <w:r>
          <w:fldChar w:fldCharType="separate"/>
        </w:r>
        <w:r>
          <w:rPr>
            <w:noProof/>
          </w:rPr>
          <w:t>2</w:t>
        </w:r>
        <w:r>
          <w:rPr>
            <w:noProof/>
          </w:rPr>
          <w:fldChar w:fldCharType="end"/>
        </w:r>
      </w:p>
    </w:sdtContent>
  </w:sdt>
  <w:p w14:paraId="030F27C8" w14:textId="77777777" w:rsidR="00E867B8" w:rsidRDefault="00E867B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867B8"/>
    <w:pPr>
      <w:spacing w:after="0"/>
      <w:jc w:val="right"/>
    </w:pPr>
    <w:rPr>
      <w:color w:themeColor="text1" w:val="00000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uiPriority w:val="99"/>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uiPriority w:val="99"/>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 w:styleId="Header" w:type="paragraph">
    <w:name w:val="header"/>
    <w:basedOn w:val="Normal"/>
    <w:link w:val="HeaderChar"/>
    <w:unhideWhenUsed/>
    <w:rsid w:val="00E867B8"/>
    <w:pPr>
      <w:tabs>
        <w:tab w:pos="4513" w:val="center"/>
        <w:tab w:pos="9026" w:val="right"/>
      </w:tabs>
      <w:spacing w:after="0"/>
    </w:pPr>
  </w:style>
  <w:style w:customStyle="1" w:styleId="HeaderChar" w:type="character">
    <w:name w:val="Header Char"/>
    <w:basedOn w:val="DefaultParagraphFont"/>
    <w:link w:val="Header"/>
    <w:rsid w:val="00E867B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jp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dcterms:created xsi:type="dcterms:W3CDTF">2023-09-21T17:05:13Z</dcterms:created>
  <dcterms:modified xsi:type="dcterms:W3CDTF">2023-09-21T17:05:13Z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climate-of-the-past.csl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