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r>
        <w:t xml:space="preserve"> </w:t>
      </w:r>
      <w:r>
        <w:t xml:space="preserve">Bayesian</w:t>
      </w:r>
      <w:r>
        <w:t xml:space="preserve"> </w:t>
      </w:r>
      <w:r>
        <w:t xml:space="preserve">multi-proxy</w:t>
      </w:r>
      <w:r>
        <w:t xml:space="preserve"> </w:t>
      </w:r>
      <w:r>
        <w:t xml:space="preserve">reconstruction</w:t>
      </w:r>
      <w:r>
        <w:t xml:space="preserve"> </w:t>
      </w:r>
      <w:r>
        <w:t xml:space="preserve">of</w:t>
      </w:r>
      <w:r>
        <w:t xml:space="preserve"> </w:t>
      </w:r>
      <w:r>
        <w:t xml:space="preserve">early</w:t>
      </w:r>
      <w:r>
        <w:t xml:space="preserve"> </w:t>
      </w:r>
      <w:r>
        <w:t xml:space="preserve">Eocene</w:t>
      </w:r>
      <w:r>
        <w:t xml:space="preserve"> </w:t>
      </w:r>
      <w:r>
        <w:t xml:space="preserve">latitudinal</w:t>
      </w:r>
      <w:r>
        <w:t xml:space="preserve"> </w:t>
      </w:r>
      <w:r>
        <w:t xml:space="preserve">temperature</w:t>
      </w:r>
      <w:r>
        <w:t xml:space="preserve"> </w:t>
      </w:r>
      <w:r>
        <w:t xml:space="preserve">gradients</w:t>
      </w:r>
    </w:p>
    <w:p>
      <w:pPr>
        <w:pStyle w:val="Author"/>
      </w:pPr>
      <w:r>
        <w:t xml:space="preserve">—</w:t>
      </w:r>
    </w:p>
    <w:p>
      <w:pPr>
        <w:pStyle w:val="Author"/>
      </w:pPr>
      <w:r>
        <w:t xml:space="preserve">Kilian</w:t>
      </w:r>
      <w:r>
        <w:t xml:space="preserve"> </w:t>
      </w:r>
      <w:r>
        <w:t xml:space="preserve">Eichenseer</w:t>
      </w:r>
      <w:r>
        <w:rPr>
          <w:vertAlign w:val="superscript"/>
        </w:rPr>
        <w:t xml:space="preserve">1</w:t>
      </w:r>
      <w:r>
        <w:t xml:space="preserve"> </w:t>
      </w:r>
      <w:r>
        <w:t xml:space="preserve">and</w:t>
      </w:r>
      <w:r>
        <w:t xml:space="preserve"> </w:t>
      </w:r>
      <w:r>
        <w:t xml:space="preserve">Lewis</w:t>
      </w:r>
      <w:r>
        <w:t xml:space="preserve"> </w:t>
      </w:r>
      <w:r>
        <w:t xml:space="preserve">A.</w:t>
      </w:r>
      <w:r>
        <w:t xml:space="preserve"> </w:t>
      </w:r>
      <w:r>
        <w:t xml:space="preserve">Jones</w:t>
      </w:r>
      <w:r>
        <w:rPr>
          <w:vertAlign w:val="superscript"/>
        </w:rPr>
        <w:t xml:space="preserve">2</w:t>
      </w:r>
    </w:p>
    <w:p>
      <w:pPr>
        <w:pStyle w:val="Author"/>
      </w:pPr>
      <w:r>
        <w:t xml:space="preserve">—</w:t>
      </w:r>
    </w:p>
    <w:p>
      <w:pPr>
        <w:pStyle w:val="Author"/>
      </w:pPr>
      <w:r>
        <w:rPr>
          <w:vertAlign w:val="superscript"/>
        </w:rPr>
        <w:t xml:space="preserve">1</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p>
      <w:pPr>
        <w:pStyle w:val="Author"/>
      </w:pPr>
      <w:r>
        <w:rPr>
          <w:vertAlign w:val="superscript"/>
        </w:rPr>
        <w:t xml:space="preserve">2</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Departamento</w:t>
      </w:r>
      <w:r>
        <w:t xml:space="preserve"> </w:t>
      </w:r>
      <w:r>
        <w:t xml:space="preserve">de</w:t>
      </w:r>
      <w:r>
        <w:t xml:space="preserve"> </w:t>
      </w:r>
      <w:r>
        <w:t xml:space="preserve">Ecoloxía</w:t>
      </w:r>
      <w:r>
        <w:t xml:space="preserve"> </w:t>
      </w:r>
      <w:r>
        <w:t xml:space="preserve">e</w:t>
      </w:r>
      <w:r>
        <w:t xml:space="preserve"> </w:t>
      </w:r>
      <w:r>
        <w:t xml:space="preserve">Bioloxía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kilian.eichenseer@durham.ac.uk</w:t>
      </w:r>
    </w:p>
    <w:tbl>
      <w:tblPr>
        <w:tblStyle w:val="Table"/>
        <w:tblW w:type="pct" w:w="5000"/>
        <w:tblLook w:firstRow="0" w:lastRow="0" w:firstColumn="0" w:lastColumn="0" w:noHBand="0" w:noVBand="0" w:val="0000"/>
      </w:tblPr>
      <w:tblGrid>
        <w:gridCol w:w="7920"/>
      </w:tblGrid>
      <w:tr>
        <w:tc>
          <w:tcPr/>
          <w:bookmarkStart w:id="23" w:name="fig-S1"/>
          <w:p>
            <w:pPr>
              <w:jc w:val="center"/>
            </w:pPr>
            <w:r>
              <w:drawing>
                <wp:inline>
                  <wp:extent cx="5759999" cy="2795085"/>
                  <wp:effectExtent b="0" l="0" r="0" t="0"/>
                  <wp:docPr descr="" title="" id="21" name="Picture"/>
                  <a:graphic>
                    <a:graphicData uri="http://schemas.openxmlformats.org/drawingml/2006/picture">
                      <pic:pic>
                        <pic:nvPicPr>
                          <pic:cNvPr descr="../figures/SM/FigS1-Traceplot.jpg" id="22" name="Picture"/>
                          <pic:cNvPicPr>
                            <a:picLocks noChangeArrowheads="1" noChangeAspect="1"/>
                          </pic:cNvPicPr>
                        </pic:nvPicPr>
                        <pic:blipFill>
                          <a:blip r:embed="rId20"/>
                          <a:stretch>
                            <a:fillRect/>
                          </a:stretch>
                        </pic:blipFill>
                        <pic:spPr bwMode="auto">
                          <a:xfrm>
                            <a:off x="0" y="0"/>
                            <a:ext cx="5759999" cy="2795085"/>
                          </a:xfrm>
                          <a:prstGeom prst="rect">
                            <a:avLst/>
                          </a:prstGeom>
                          <a:noFill/>
                          <a:ln w="9525">
                            <a:noFill/>
                            <a:headEnd/>
                            <a:tailEnd/>
                          </a:ln>
                        </pic:spPr>
                      </pic:pic>
                    </a:graphicData>
                  </a:graphic>
                </wp:inline>
              </w:drawing>
            </w:r>
          </w:p>
          <w:p>
            <w:pPr>
              <w:jc w:val="center"/>
            </w:pPr>
            <w:pPr>
              <w:jc w:val="start"/>
              <w:spacing w:before="200"/>
              <w:pStyle w:val="ImageCaption"/>
            </w:pPr>
            <w:r>
              <w:t xml:space="preserve">Figure S 1: Traceplots of a subset of the unknown model parameters. The four colours correspond to the four independent model runs. a) Traceplot of A, K-A, M, B and</w:t>
            </w:r>
            <w:r>
              <w:t xml:space="preserve"> </w:t>
            </w:r>
            <m:oMath>
              <m:r>
                <m:t>σ</m:t>
              </m:r>
            </m:oMath>
            <w:r>
              <w:t xml:space="preserve">; b) Traceplot of five selected</w:t>
            </w:r>
            <w:r>
              <w:t xml:space="preserve"> </w:t>
            </w:r>
            <m:oMath>
              <m:sSub>
                <m:e>
                  <m:r>
                    <m:t>μ</m:t>
                  </m:r>
                </m:e>
                <m:sub>
                  <m:r>
                    <m:t>j</m:t>
                  </m:r>
                </m:sub>
              </m:sSub>
            </m:oMath>
            <w:r>
              <w:t xml:space="preserve">; c) Traceplot of five selected</w:t>
            </w:r>
            <w:r>
              <w:t xml:space="preserve"> </w:t>
            </w:r>
            <m:oMath>
              <m:sSub>
                <m:e>
                  <m:r>
                    <m:t>σ</m:t>
                  </m:r>
                </m:e>
                <m:sub>
                  <m:r>
                    <m:t>j</m:t>
                  </m:r>
                </m:sub>
              </m:sSub>
            </m:oMath>
            <w:r>
              <w:t xml:space="preserve">. All traceplots display mixing of the chains, and relatively quick convergence.</w:t>
            </w:r>
          </w:p>
          <w:bookmarkEnd w:id="23"/>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27" w:name="fig-S2"/>
          <w:p>
            <w:pPr>
              <w:jc w:val="center"/>
            </w:pPr>
            <w:r>
              <w:drawing>
                <wp:inline>
                  <wp:extent cx="3779999" cy="2785263"/>
                  <wp:effectExtent b="0" l="0" r="0" t="0"/>
                  <wp:docPr descr="" title="" id="25" name="Picture"/>
                  <a:graphic>
                    <a:graphicData uri="http://schemas.openxmlformats.org/drawingml/2006/picture">
                      <pic:pic>
                        <pic:nvPicPr>
                          <pic:cNvPr descr="../figures/SM/FigS2_geochem_eeco.png" id="26" name="Picture"/>
                          <pic:cNvPicPr>
                            <a:picLocks noChangeArrowheads="1" noChangeAspect="1"/>
                          </pic:cNvPicPr>
                        </pic:nvPicPr>
                        <pic:blipFill>
                          <a:blip r:embed="rId24"/>
                          <a:stretch>
                            <a:fillRect/>
                          </a:stretch>
                        </pic:blipFill>
                        <pic:spPr bwMode="auto">
                          <a:xfrm>
                            <a:off x="0" y="0"/>
                            <a:ext cx="3779999" cy="27852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S 2: Estimated latitudinal temperature gradient using only the geochemical proxy data (orange), showing the median (line) and 95% credible interval (shading). Symbols with vertical lines show the median and 95% credible intervals of</w:t>
            </w:r>
            <w:r>
              <w:t xml:space="preserve"> </w:t>
            </w:r>
            <m:oMath>
              <m:sSub>
                <m:e>
                  <m:r>
                    <m:t>μ</m:t>
                  </m:r>
                </m:e>
                <m:sub>
                  <m:r>
                    <m:t>j</m:t>
                  </m:r>
                </m:sub>
              </m:sSub>
            </m:oMath>
            <w:r>
              <w:t xml:space="preserve">. The blue line and shading in the background show the latitudinal temperature gradient with the geochemical and ecological proxy data, as in Figure 4.</w:t>
            </w:r>
          </w:p>
          <w:bookmarkEnd w:id="27"/>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31" w:name="fig-S3"/>
          <w:p>
            <w:pPr>
              <w:jc w:val="center"/>
            </w:pPr>
            <w:r>
              <w:drawing>
                <wp:inline>
                  <wp:extent cx="4319999" cy="2749090"/>
                  <wp:effectExtent b="0" l="0" r="0" t="0"/>
                  <wp:docPr descr="" title="" id="29" name="Picture"/>
                  <a:graphic>
                    <a:graphicData uri="http://schemas.openxmlformats.org/drawingml/2006/picture">
                      <pic:pic>
                        <pic:nvPicPr>
                          <pic:cNvPr descr="../figures/SM/FigS3_north_south_eeco.png" id="30" name="Picture"/>
                          <pic:cNvPicPr>
                            <a:picLocks noChangeArrowheads="1" noChangeAspect="1"/>
                          </pic:cNvPicPr>
                        </pic:nvPicPr>
                        <pic:blipFill>
                          <a:blip r:embed="rId28"/>
                          <a:stretch>
                            <a:fillRect/>
                          </a:stretch>
                        </pic:blipFill>
                        <pic:spPr bwMode="auto">
                          <a:xfrm>
                            <a:off x="0" y="0"/>
                            <a:ext cx="4319999" cy="27490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 3: Estimated latitudinal temperature gradients for each hemisphere, showing the medians (lines) and 95% credible intervals (shadings) in the Southern (red) and Northern Hemisphere (blue). Symbols with vertical lines show the median and 95% credible intervals of</w:t>
            </w:r>
            <w:r>
              <w:t xml:space="preserve"> </w:t>
            </w:r>
            <m:oMath>
              <m:sSub>
                <m:e>
                  <m:r>
                    <m:t>μ</m:t>
                  </m:r>
                </m:e>
                <m:sub>
                  <m:r>
                    <m:t>j</m:t>
                  </m:r>
                </m:sub>
              </m:sSub>
            </m:oMath>
            <w:r>
              <w:t xml:space="preserve">. Turquoise symbols in the Northern Hemisphere highlight the ecological proxy data. The grey line and shading in the background show the latitudinal temperature gradient with the data from both hemispheres combined, plotted in both hemispheres.</w:t>
            </w:r>
          </w:p>
          <w:bookmarkEnd w:id="31"/>
        </w:tc>
      </w:tr>
    </w:tbl>
    <w:sectPr w:rsidR="009B58D4" w:rsidRPr="009D7010"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Number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Number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4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Heading1" w:type="paragraph">
    <w:name w:val="heading 1"/>
    <w:basedOn w:val="Normal"/>
    <w:next w:val="BodyText"/>
    <w:uiPriority w:val="9"/>
    <w:qFormat/>
    <w:rsid w:val="00E4579E"/>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E4579E"/>
    <w:pPr>
      <w:keepNext/>
      <w:keepLines/>
      <w:spacing w:after="0" w:before="200"/>
      <w:outlineLvl w:val="2"/>
    </w:pPr>
    <w:rPr>
      <w:rFonts w:cs="Times New Roman" w:eastAsiaTheme="majorEastAsia"/>
      <w:b/>
      <w:bCs/>
      <w:color w:themeColor="text1" w:val="000000"/>
    </w:rPr>
  </w:style>
  <w:style w:styleId="Heading4" w:type="paragraph">
    <w:name w:val="heading 4"/>
    <w:basedOn w:val="Normal"/>
    <w:next w:val="BodyText"/>
    <w:uiPriority w:val="9"/>
    <w:unhideWhenUsed/>
    <w:qFormat/>
    <w:rsid w:val="00E4579E"/>
    <w:pPr>
      <w:keepNext/>
      <w:keepLines/>
      <w:spacing w:after="0" w:before="200"/>
      <w:outlineLvl w:val="3"/>
    </w:pPr>
    <w:rPr>
      <w:rFonts w:cs="Times New Roman" w:eastAsiaTheme="majorEastAsia"/>
      <w:bCs/>
      <w:color w:themeColor="text1" w:val="000000"/>
    </w:rPr>
  </w:style>
  <w:style w:styleId="Heading5" w:type="paragraph">
    <w:name w:val="heading 5"/>
    <w:basedOn w:val="Normal"/>
    <w:next w:val="BodyText"/>
    <w:uiPriority w:val="9"/>
    <w:unhideWhenUsed/>
    <w:qFormat/>
    <w:rsid w:val="00E4579E"/>
    <w:pPr>
      <w:keepNext/>
      <w:keepLines/>
      <w:spacing w:after="0" w:before="200"/>
      <w:outlineLvl w:val="4"/>
    </w:pPr>
    <w:rPr>
      <w:rFonts w:cs="Times New Roman" w:eastAsiaTheme="majorEastAsia"/>
      <w:color w:themeColor="text1" w:val="000000"/>
    </w:rPr>
  </w:style>
  <w:style w:styleId="Heading6" w:type="paragraph">
    <w:name w:val="heading 6"/>
    <w:basedOn w:val="Normal"/>
    <w:next w:val="BodyText"/>
    <w:uiPriority w:val="9"/>
    <w:unhideWhenUsed/>
    <w:qFormat/>
    <w:rsid w:val="00E4579E"/>
    <w:pPr>
      <w:keepNext/>
      <w:keepLines/>
      <w:spacing w:after="0" w:before="200"/>
      <w:outlineLvl w:val="5"/>
    </w:pPr>
    <w:rPr>
      <w:rFonts w:cs="Times New Roman" w:eastAsiaTheme="majorEastAsia"/>
      <w:color w:themeColor="text1" w:val="000000"/>
    </w:rPr>
  </w:style>
  <w:style w:styleId="Heading7" w:type="paragraph">
    <w:name w:val="heading 7"/>
    <w:basedOn w:val="Normal"/>
    <w:next w:val="BodyText"/>
    <w:uiPriority w:val="9"/>
    <w:unhideWhenUsed/>
    <w:qFormat/>
    <w:rsid w:val="00E4579E"/>
    <w:pPr>
      <w:keepNext/>
      <w:keepLines/>
      <w:spacing w:after="0" w:before="200"/>
      <w:outlineLvl w:val="6"/>
    </w:pPr>
    <w:rPr>
      <w:rFonts w:cs="Times New Roman" w:eastAsiaTheme="majorEastAsia"/>
      <w:color w:themeColor="text1" w:val="000000"/>
    </w:rPr>
  </w:style>
  <w:style w:styleId="Heading8" w:type="paragraph">
    <w:name w:val="heading 8"/>
    <w:basedOn w:val="Normal"/>
    <w:next w:val="BodyText"/>
    <w:uiPriority w:val="9"/>
    <w:unhideWhenUsed/>
    <w:qFormat/>
    <w:rsid w:val="00E4579E"/>
    <w:pPr>
      <w:keepNext/>
      <w:keepLines/>
      <w:spacing w:after="0" w:before="200"/>
      <w:outlineLvl w:val="7"/>
    </w:pPr>
    <w:rPr>
      <w:rFonts w:cs="Times New Roman" w:eastAsiaTheme="majorEastAsia"/>
      <w:color w:themeColor="tex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F7947"/>
    <w:pPr>
      <w:spacing w:after="180" w:before="180" w:line="360" w:lineRule="auto"/>
      <w:jc w:val="both"/>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E3FD0"/>
    <w:pPr>
      <w:keepNext/>
      <w:keepLines/>
      <w:spacing w:after="120" w:line="360" w:lineRule="auto"/>
      <w:jc w:val="center"/>
    </w:pPr>
    <w:rPr>
      <w:rFonts w:cs="Angsana New" w:eastAsiaTheme="majorEastAsia"/>
      <w:b/>
      <w:bCs/>
      <w:color w:themeColor="text1" w:val="000000"/>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E6DDD"/>
    <w:pPr>
      <w:keepNext/>
      <w:keepLines/>
      <w:spacing w:after="0" w:line="360" w:lineRule="auto"/>
      <w:jc w:val="center"/>
    </w:pPr>
    <w:rPr>
      <w:rFonts w:ascii="Times New Roman" w:hAnsi="Times New Roman"/>
      <w:sz w:val="22"/>
    </w:rPr>
  </w:style>
  <w:style w:styleId="Date" w:type="paragraph">
    <w:name w:val="Date"/>
    <w:next w:val="BodyText"/>
    <w:qFormat/>
    <w:pPr>
      <w:keepNext/>
      <w:keepLines/>
      <w:jc w:val="center"/>
    </w:pPr>
  </w:style>
  <w:style w:customStyle="1" w:styleId="Abstract" w:type="paragraph">
    <w:name w:val="Abstract"/>
    <w:basedOn w:val="Normal"/>
    <w:next w:val="BodyText"/>
    <w:qFormat/>
    <w:rsid w:val="00AD55A2"/>
    <w:pPr>
      <w:keepNext/>
      <w:keepLines/>
      <w:spacing w:after="300" w:before="300"/>
      <w:jc w:val="center"/>
    </w:pPr>
    <w:rPr>
      <w:b/>
      <w:bCs/>
      <w:sz w:val="32"/>
      <w:szCs w:val="32"/>
    </w:rPr>
  </w:style>
  <w:style w:styleId="Bibliography" w:type="paragraph">
    <w:name w:val="Bibliography"/>
    <w:basedOn w:val="Normal"/>
    <w:qFormat/>
    <w:rsid w:val="00E25B66"/>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CaptionedFigure"/>
    <w:link w:val="CaptionChar"/>
    <w:rsid w:val="00F94E32"/>
  </w:style>
  <w:style w:customStyle="1" w:styleId="TableCaption" w:type="paragraph">
    <w:name w:val="Table Caption"/>
    <w:basedOn w:val="BodyText"/>
    <w:rsid w:val="001571EA"/>
    <w:pPr>
      <w:spacing w:line="240" w:lineRule="auto"/>
    </w:pPr>
  </w:style>
  <w:style w:customStyle="1" w:styleId="ImageCaption" w:type="paragraph">
    <w:name w:val="Image Caption"/>
    <w:basedOn w:val="Caption"/>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CaptionChar" w:type="character">
    <w:name w:val="Caption Char"/>
    <w:basedOn w:val="DefaultParagraphFont"/>
    <w:link w:val="Caption"/>
    <w:rsid w:val="00F94E32"/>
    <w:rPr>
      <w:rFonts w:ascii="Times New Roman" w:cs="Times New Roman" w:hAnsi="Times New Roman"/>
      <w:sz w:val="22"/>
      <w:szCs w:val="22"/>
    </w:rPr>
  </w:style>
  <w:style w:customStyle="1" w:styleId="VerbatimChar" w:type="character">
    <w:name w:val="Verbatim Char"/>
    <w:basedOn w:val="CaptionChar"/>
    <w:link w:val="SourceCode"/>
    <w:rPr>
      <w:rFonts w:ascii="Consolas" w:cs="Times New Roman" w:hAnsi="Consolas"/>
      <w:sz w:val="22"/>
      <w:szCs w:val="22"/>
    </w:rPr>
  </w:style>
  <w:style w:customStyle="1" w:styleId="SectionNumber" w:type="character">
    <w:name w:val="Section Number"/>
    <w:basedOn w:val="CaptionChar"/>
    <w:rPr>
      <w:rFonts w:ascii="Times New Roman" w:cs="Times New Roman" w:hAnsi="Times New Roman"/>
      <w:sz w:val="22"/>
      <w:szCs w:val="22"/>
    </w:rPr>
  </w:style>
  <w:style w:styleId="FootnoteReference" w:type="character">
    <w:name w:val="footnote reference"/>
    <w:basedOn w:val="CaptionChar"/>
    <w:rsid w:val="00E25B66"/>
    <w:rPr>
      <w:rFonts w:ascii="Times New Roman" w:cs="Times New Roman" w:hAnsi="Times New Roman"/>
      <w:sz w:val="24"/>
      <w:szCs w:val="22"/>
      <w:vertAlign w:val="superscript"/>
    </w:rPr>
  </w:style>
  <w:style w:styleId="Hyperlink" w:type="character">
    <w:name w:val="Hyperlink"/>
    <w:basedOn w:val="CaptionChar"/>
    <w:rsid w:val="00174DC2"/>
    <w:rPr>
      <w:rFonts w:ascii="Times New Roman" w:cs="Times New Roman" w:hAnsi="Times New Roman"/>
      <w:color w:themeColor="text1" w:val="000000"/>
      <w:sz w:val="22"/>
      <w:szCs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BodyTextChar" w:type="character">
    <w:name w:val="Body Text Char"/>
    <w:basedOn w:val="DefaultParagraphFont"/>
    <w:link w:val="BodyText"/>
    <w:rsid w:val="00CF7947"/>
    <w:rPr>
      <w:rFonts w:ascii="Times New Roman" w:hAnsi="Times New Roman"/>
      <w:sz w:val="22"/>
    </w:rPr>
  </w:style>
  <w:style w:styleId="Footer" w:type="paragraph">
    <w:name w:val="footer"/>
    <w:basedOn w:val="Normal"/>
    <w:link w:val="FooterChar"/>
    <w:semiHidden/>
    <w:unhideWhenUsed/>
    <w:rsid w:val="00E25B66"/>
    <w:pPr>
      <w:tabs>
        <w:tab w:pos="4513" w:val="center"/>
        <w:tab w:pos="9026" w:val="right"/>
      </w:tabs>
      <w:spacing w:after="0"/>
    </w:pPr>
    <w:rPr>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 w:styleId="BodyTextFirstIndent" w:type="paragraph">
    <w:name w:val="Body Text First Indent"/>
    <w:basedOn w:val="BodyText"/>
    <w:link w:val="BodyTextFirstIndentChar"/>
    <w:unhideWhenUsed/>
    <w:rsid w:val="00A63A6B"/>
    <w:pPr>
      <w:spacing w:after="200" w:before="0" w:line="240" w:lineRule="auto"/>
      <w:ind w:firstLine="360"/>
      <w:jc w:val="left"/>
    </w:pPr>
    <w:rPr>
      <w:rFonts w:asciiTheme="minorHAnsi" w:hAnsiTheme="minorHAnsi"/>
      <w:sz w:val="24"/>
    </w:rPr>
  </w:style>
  <w:style w:customStyle="1" w:styleId="BodyTextFirstIndentChar" w:type="character">
    <w:name w:val="Body Text First Indent Char"/>
    <w:basedOn w:val="BodyTextChar"/>
    <w:link w:val="BodyTextFirstIndent"/>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 w:type="paragraph">
    <w:name w:val="List"/>
    <w:basedOn w:val="Normal"/>
    <w:unhideWhenUsed/>
    <w:rsid w:val="00ED1205"/>
    <w:pPr>
      <w:ind w:hanging="283" w:left="283"/>
      <w:contextualSpacing/>
    </w:pPr>
  </w:style>
  <w:style w:styleId="List2" w:type="paragraph">
    <w:name w:val="List 2"/>
    <w:basedOn w:val="Normal"/>
    <w:unhideWhenUsed/>
    <w:rsid w:val="00ED1205"/>
    <w:pPr>
      <w:ind w:hanging="283" w:left="566"/>
      <w:contextualSpacing/>
    </w:pPr>
  </w:style>
  <w:style w:styleId="List3" w:type="paragraph">
    <w:name w:val="List 3"/>
    <w:basedOn w:val="Normal"/>
    <w:unhideWhenUsed/>
    <w:rsid w:val="00EA0107"/>
    <w:pPr>
      <w:ind w:hanging="283" w:left="849"/>
      <w:contextualSpacing/>
    </w:pPr>
  </w:style>
  <w:style w:styleId="ListNumber" w:type="paragraph">
    <w:name w:val="List Number"/>
    <w:basedOn w:val="Normal"/>
    <w:unhideWhenUsed/>
    <w:rsid w:val="00F66C3D"/>
    <w:pPr>
      <w:numPr>
        <w:numId w:val="6"/>
      </w:numPr>
      <w:contextualSpacing/>
    </w:pPr>
  </w:style>
  <w:style w:styleId="ListNumber2" w:type="paragraph">
    <w:name w:val="List Number 2"/>
    <w:basedOn w:val="Normal"/>
    <w:unhideWhenUsed/>
    <w:rsid w:val="00F66C3D"/>
    <w:pPr>
      <w:numPr>
        <w:numId w:val="5"/>
      </w:numPr>
      <w:contextualSpacing/>
    </w:pPr>
  </w:style>
  <w:style w:styleId="ListNumber3" w:type="paragraph">
    <w:name w:val="List Number 3"/>
    <w:basedOn w:val="Normal"/>
    <w:unhideWhenUsed/>
    <w:rsid w:val="00F647AB"/>
    <w:pPr>
      <w:numPr>
        <w:numId w:val="4"/>
      </w:numPr>
      <w:contextualSpacing/>
    </w:pPr>
  </w:style>
  <w:style w:styleId="ListContinue" w:type="paragraph">
    <w:name w:val="List Continue"/>
    <w:basedOn w:val="Normal"/>
    <w:unhideWhenUsed/>
    <w:rsid w:val="00ED1205"/>
    <w:pPr>
      <w:spacing w:after="120"/>
      <w:ind w:left="283"/>
      <w:contextualSpacing/>
    </w:pPr>
  </w:style>
  <w:style w:styleId="ListContinue2" w:type="paragraph">
    <w:name w:val="List Continue 2"/>
    <w:basedOn w:val="Normal"/>
    <w:unhideWhenUsed/>
    <w:rsid w:val="00ED1205"/>
    <w:pPr>
      <w:spacing w:after="120"/>
      <w:ind w:left="566"/>
      <w:contextualSpacing/>
    </w:pPr>
  </w:style>
  <w:style w:styleId="ListContinue3" w:type="paragraph">
    <w:name w:val="List Continue 3"/>
    <w:basedOn w:val="Normal"/>
    <w:unhideWhenUsed/>
    <w:rsid w:val="000A63C5"/>
    <w:pPr>
      <w:spacing w:after="120"/>
      <w:ind w:left="849"/>
      <w:contextualSpacing/>
    </w:pPr>
  </w:style>
  <w:style w:styleId="ListBullet" w:type="paragraph">
    <w:name w:val="List Bullet"/>
    <w:basedOn w:val="Normal"/>
    <w:semiHidden/>
    <w:unhideWhenUsed/>
    <w:rsid w:val="00ED1205"/>
    <w:pPr>
      <w:numPr>
        <w:numId w:val="11"/>
      </w:numPr>
      <w:contextualSpacing/>
    </w:pPr>
  </w:style>
  <w:style w:styleId="ListBullet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164</Words>
  <Characters>993</Characters>
  <Application>Microsoft Office Word</Application>
  <DocSecurity>0</DocSecurity>
  <Lines>16</Lines>
  <Paragraphs>9</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Bayesian multi-proxy reconstruction of early Eocene latitudinal temperature gradients</dc:title>
  <dc:creator>—; Kilian Eichenseer1 and Lewis A. Jones2; —; 1Department of Earth Sciences, Durham University, South Road, DH1 3LE, Durham, United Kingdom; 2Centro de Investigación Mariña, Grupo de Ecoloxía Animal, Departamento de Ecoloxía e Bioloxía Animal, Universidade de Vigo, 36310 Vigo, Spain.; —; Corresponding author: kilian.eichenseer@durham.ac.uk</dc:creator>
  <cp:keywords/>
  <dcterms:created xsi:type="dcterms:W3CDTF">2023-06-01T12:29:40Z</dcterms:created>
  <dcterms:modified xsi:type="dcterms:W3CDTF">2023-06-01T12:29:40Z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climate-of-the-past.csl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