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  <w:r>
        <w:t xml:space="preserve"> </w:t>
      </w:r>
      <w:r>
        <w:t xml:space="preserve">for</w:t>
      </w:r>
      <w:r>
        <w:br/>
      </w:r>
      <w:r>
        <w:t xml:space="preserve">Bayesian</w:t>
      </w:r>
      <w:r>
        <w:t xml:space="preserve"> </w:t>
      </w:r>
      <w:r>
        <w:t xml:space="preserve">multi-proxy</w:t>
      </w:r>
      <w:r>
        <w:t xml:space="preserve"> </w:t>
      </w:r>
      <w:r>
        <w:t xml:space="preserve">reconstruction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early</w:t>
      </w:r>
      <w:r>
        <w:t xml:space="preserve"> </w:t>
      </w:r>
      <w:r>
        <w:t xml:space="preserve">Eocene</w:t>
      </w:r>
      <w:r>
        <w:t xml:space="preserve"> </w:t>
      </w:r>
      <w:r>
        <w:t xml:space="preserve">latitudinal</w:t>
      </w:r>
      <w:r>
        <w:t xml:space="preserve"> </w:t>
      </w:r>
      <w:r>
        <w:t xml:space="preserve">temperature</w:t>
      </w:r>
      <w:r>
        <w:t xml:space="preserve"> </w:t>
      </w:r>
      <w:r>
        <w:t xml:space="preserve">gradient</w:t>
      </w:r>
    </w:p>
    <w:p>
      <w:pPr>
        <w:pStyle w:val="Author"/>
      </w:pPr>
      <w:r>
        <w:t xml:space="preserve">Kilian</w:t>
      </w:r>
      <w:r>
        <w:t xml:space="preserve"> </w:t>
      </w:r>
      <w:r>
        <w:t xml:space="preserve">Eichenseer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and</w:t>
      </w:r>
      <w:r>
        <w:t xml:space="preserve"> </w:t>
      </w: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rStyle w:val="FootnoteReference"/>
        </w:rPr>
        <w:footnoteReference w:id="21"/>
      </w:r>
    </w:p>
    <w:bookmarkStart w:id="22" w:name="Xfa10360f3527184e3e1e0774648bb68d2efed4e"/>
    <w:p>
      <w:pPr>
        <w:pStyle w:val="Heading2"/>
      </w:pPr>
      <w:r>
        <w:t xml:space="preserve">Hierarchical, Bayesian model for latitudinal temperature gradients</w:t>
      </w:r>
    </w:p>
    <w:p>
      <w:pPr>
        <w:pStyle w:val="FirstParagraph"/>
      </w:pPr>
      <w:r>
        <w:rPr>
          <w:bCs/>
          <w:b/>
        </w:rPr>
        <w:t xml:space="preserve">Model structure (Fig 2).</w:t>
      </w:r>
      <w:r>
        <w:t xml:space="preserve"> </w:t>
      </w:r>
      <w:r>
        <w:t xml:space="preserve">We model the mean temperature (</w:t>
      </w:r>
      <m:oMath>
        <m:r>
          <m:t>μ</m:t>
        </m:r>
      </m:oMath>
      <w:r>
        <w:t xml:space="preserve">) at location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as a function of absolute latitude (</w:t>
      </w:r>
      <m:oMath>
        <m:r>
          <m:t>a</m:t>
        </m:r>
        <m:r>
          <m:t>b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</m:e>
        </m:d>
      </m:oMath>
      <w:r>
        <w:t xml:space="preserve">) with a logistic regression (</w:t>
      </w:r>
      <w:r>
        <w:rPr>
          <w:rStyle w:val="VerbatimChar"/>
        </w:rPr>
        <w:t xml:space="preserve">growth curve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Richard's curve</w:t>
      </w:r>
      <w:r>
        <w:t xml:space="preserve">) of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ν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 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A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r>
                        <m:t>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M</m:t>
                      </m:r>
                    </m:e>
                  </m:d>
                </m:sup>
              </m:sSup>
            </m:den>
          </m:f>
          <m:r>
            <m:t> 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denote the lower and upper asymptote, respectively,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specifies the latitude of maximal growth, the most quickly with latitude,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denotes the growth rate (Fig. 2),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denotes the residual standard deviation,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number of locations.</w:t>
      </w:r>
    </w:p>
    <w:p>
      <w:pPr>
        <w:pStyle w:val="BodyText"/>
      </w:pPr>
      <w:r>
        <w:t xml:space="preserve">We infer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individual temperature observations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m</m:t>
            </m:r>
          </m:sub>
        </m:sSub>
      </m:oMath>
      <w:r>
        <w:t xml:space="preserve">, derived from geochemical data, at location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σ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observations at each location, and</w:t>
      </w:r>
      <w:r>
        <w:t xml:space="preserve"> </w:t>
      </w:r>
      <m:oMath>
        <m:sSub>
          <m:e>
            <m:r>
              <m:t>σ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estimated standard deviation of the temperatures at location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BodyText"/>
      </w:pPr>
      <w:r>
        <w:t xml:space="preserve">Similarly,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inferred for locations with ecological proxies from the associated normal temperature distributions with a given mean and standard deviation,</w:t>
      </w:r>
      <w:r>
        <w:t xml:space="preserve"> </w:t>
      </w:r>
      <m:oMath>
        <m:sSub>
          <m:e>
            <m:r>
              <m:t>t</m:t>
            </m:r>
          </m:e>
          <m:sub>
            <m:r>
              <m:t>μ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σ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,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μ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σ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structure implies that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not fixed at the mean proxy temperature at location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  <w:r>
        <w:t xml:space="preserve">, but is drawn towards the overall logistic regression curve, i.e. towards</w:t>
      </w:r>
      <w:r>
        <w:t xml:space="preserve"> </w:t>
      </w:r>
      <m:oMath>
        <m:sSub>
          <m:e>
            <m:r>
              <m:t>ν</m:t>
            </m:r>
          </m:e>
          <m:sub>
            <m:r>
              <m:t>j</m:t>
            </m:r>
          </m:sub>
        </m:sSub>
      </m:oMath>
      <w:r>
        <w:t xml:space="preserve">. The pull towards</w:t>
      </w:r>
      <w:r>
        <w:t xml:space="preserve"> </w:t>
      </w:r>
      <m:oMath>
        <m:sSub>
          <m:e>
            <m:r>
              <m:t>ν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tends to be high when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low, when the observations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 </m:t>
            </m:r>
            <m:r>
              <m:t>j</m:t>
            </m:r>
          </m:sub>
        </m:sSub>
      </m:oMath>
      <w:r>
        <w:t xml:space="preserve"> </w:t>
      </w:r>
      <w:r>
        <w:t xml:space="preserve">are scattered, i.e. </w:t>
      </w:r>
      <m:oMath>
        <m:sSub>
          <m:e>
            <m:r>
              <m:t>σ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high, and/or when the overall standard deviation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low. In practice, this has the desirable consequence that locations with few observations and large temperature differences between observations have less influence on the overall regression than well-sampled locations with consistent temperature observations.</w:t>
      </w:r>
    </w:p>
    <w:p>
      <w:pPr>
        <w:pStyle w:val="BodyText"/>
      </w:pPr>
      <w:r>
        <w:rPr>
          <w:bCs/>
          <w:b/>
        </w:rPr>
        <w:t xml:space="preserve">Priors (Fig2x).</w:t>
      </w:r>
      <w:r>
        <w:t xml:space="preserve"> </w:t>
      </w:r>
      <w:r>
        <w:t xml:space="preserve">In the Bayesian framework, priors need to be placed on the unknown parameters of a model. We placed weakly informative, conjugate inverse-gamma priors 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∼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v</m:t>
              </m:r>
              <m:r>
                <m:rPr>
                  <m:sty m:val="p"/>
                </m:rPr>
                <m:t>−</m:t>
              </m:r>
              <m:r>
                <m:t>G</m:t>
              </m:r>
              <m:r>
                <m:t>a</m:t>
              </m:r>
              <m:r>
                <m:t>m</m:t>
              </m:r>
              <m:r>
                <m:t>m</m:t>
              </m:r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  <m:r>
                    <m:rPr>
                      <m:sty m:val="p"/>
                    </m:rPr>
                    <m:t>+</m:t>
                  </m:r>
                  <m:r>
                    <m:t>0.5</m:t>
                  </m:r>
                  <m:r>
                    <m:rPr>
                      <m:sty m:val="p"/>
                    </m:rPr>
                    <m:t>×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ν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rad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∼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v</m:t>
              </m:r>
              <m:r>
                <m:rPr>
                  <m:sty m:val="p"/>
                </m:rPr>
                <m:t>−</m:t>
              </m:r>
              <m:r>
                <m:t>G</m:t>
              </m:r>
              <m:r>
                <m:t>a</m:t>
              </m:r>
              <m:r>
                <m:t>m</m:t>
              </m:r>
              <m:r>
                <m:t>m</m:t>
              </m:r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  <m:r>
                    <m:rPr>
                      <m:sty m:val="p"/>
                    </m:rPr>
                    <m:t>+</m:t>
                  </m:r>
                  <m:r>
                    <m:t>0.5</m:t>
                  </m:r>
                  <m:r>
                    <m:rPr>
                      <m:sty m:val="p"/>
                    </m:rPr>
                    <m:t>×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rad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set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 allowing these priors to be quickly overwhelmed by the data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increase, as we have little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knowledge of these parameters.</w:t>
      </w:r>
    </w:p>
    <w:p>
      <w:pPr>
        <w:pStyle w:val="BodyText"/>
      </w:pPr>
      <w:r>
        <w:t xml:space="preserve">In contrast, we put informative priors on the regression coefficients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, based on physical principles, and vaguely based on the modern climate system:</w:t>
      </w:r>
    </w:p>
    <w:p>
      <w:pPr>
        <w:pStyle w:val="BodyText"/>
      </w:pPr>
      <w:r>
        <w:rPr>
          <w:bCs/>
          <w:b/>
        </w:rPr>
        <w:t xml:space="preserve">A.</w:t>
      </w:r>
      <w:r>
        <w:t xml:space="preserve"> </w:t>
      </w:r>
      <w:r>
        <w:t xml:space="preserve">Predicted seawater surface temperatures are not allowed to be</w:t>
      </w:r>
      <w:r>
        <w:t xml:space="preserve"> </w:t>
      </w:r>
      <m:oMath>
        <m:r>
          <m:rPr>
            <m:sty m:val="p"/>
          </m:rPr>
          <m:t>&lt;</m:t>
        </m:r>
        <m:r>
          <m:rPr>
            <m:sty m:val="p"/>
          </m:rPr>
          <m:t>&lt;</m:t>
        </m:r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rPr>
                <m:sty m:val="p"/>
              </m:rPr>
              <m:t>∘</m:t>
            </m:r>
          </m:sup>
        </m:sSup>
        <m:r>
          <m:t>C</m:t>
        </m:r>
      </m:oMath>
      <w:r>
        <w:t xml:space="preserve">, the freezing point of sea water. The highest prior density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placed around</w:t>
      </w:r>
      <w:r>
        <w:t xml:space="preserve"> </w:t>
      </w:r>
      <m:oMath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  <m:r>
          <m:t>C</m:t>
        </m:r>
      </m:oMath>
      <w:r>
        <w:t xml:space="preserve">, and it slowly tapers off towards higher temperatures. This shape is achieved by placing a skew-normal prior on the lower asymptote, specified as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∼</m:t>
          </m:r>
          <m:r>
            <m:t>S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3.0</m:t>
              </m:r>
              <m:r>
                <m:rPr>
                  <m:sty m:val="p"/>
                </m:rPr>
                <m:t>,</m:t>
              </m:r>
              <m:r>
                <m:t>ω</m:t>
              </m:r>
              <m:r>
                <m:rPr>
                  <m:sty m:val="p"/>
                </m:rPr>
                <m:t>=</m:t>
              </m:r>
              <m:r>
                <m:t>12</m:t>
              </m:r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S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30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ξ</m:t>
        </m:r>
      </m:oMath>
      <w:r>
        <w:t xml:space="preserve">,</w:t>
      </w:r>
      <w:r>
        <w:t xml:space="preserve"> </w:t>
      </w:r>
      <m:oMath>
        <m:r>
          <m:t>ω</m:t>
        </m:r>
      </m:oMath>
      <w:r>
        <w:t xml:space="preserve">, and</w:t>
      </w:r>
      <w:r>
        <w:t xml:space="preserve"> </w:t>
      </w:r>
      <m:oMath>
        <m:sSub>
          <m:e>
            <m:r>
              <m:t>α</m:t>
            </m:r>
          </m:e>
          <m:sub>
            <m:r>
              <m:t>S</m:t>
            </m:r>
            <m:r>
              <m:t>N</m:t>
            </m:r>
          </m:sub>
        </m:sSub>
      </m:oMath>
      <w:r>
        <w:t xml:space="preserve"> </w:t>
      </w:r>
      <w:r>
        <w:t xml:space="preserve">are the location, scale and shape parameters.</w:t>
      </w:r>
    </w:p>
    <w:p>
      <w:pPr>
        <w:pStyle w:val="BodyText"/>
      </w:pPr>
      <w:r>
        <w:rPr>
          <w:bCs/>
          <w:b/>
        </w:rPr>
        <w:t xml:space="preserve">K.</w:t>
      </w:r>
      <w:r>
        <w:t xml:space="preserve"> </w:t>
      </w:r>
      <w:r>
        <w:t xml:space="preserve">Input of solar energy decreases from the tropics to the poles. Hence, the latitudinal temperature gradient is broadly negative, i.e. temperature decreases with absolute latitude. This is achieved by setting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A</m:t>
        </m:r>
      </m:oMath>
      <w:r>
        <w:t xml:space="preserve">. The prior on the upper asymptote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truncated normal distribution with the mean set to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of the modern SST gradient, with a broad standard deviation: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∼</m:t>
          </m:r>
          <m:r>
            <m:t>T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28</m:t>
              </m:r>
              <m:r>
                <m:rPr>
                  <m:sty m:val="p"/>
                </m:rPr>
                <m:t>,</m:t>
              </m:r>
              <m:sSub>
                <m:e>
                  <m:r>
                    <m:t>σ</m:t>
                  </m:r>
                </m:e>
                <m:sub>
                  <m:r>
                    <m:t>T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10</m:t>
              </m:r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T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,</m:t>
              </m:r>
              <m:sSub>
                <m:e>
                  <m:r>
                    <m:t>β</m:t>
                  </m:r>
                </m:e>
                <m:sub>
                  <m:r>
                    <m:t>T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∞</m:t>
              </m:r>
            </m:e>
          </m:d>
        </m:oMath>
      </m:oMathPara>
    </w:p>
    <w:p>
      <w:pPr>
        <w:pStyle w:val="FirstParagraph"/>
      </w:pPr>
      <w:r>
        <w:t xml:space="preserve">The distribution is truncated to the left at</w:t>
      </w:r>
      <w:r>
        <w:t xml:space="preserve"> </w:t>
      </w:r>
      <m:oMath>
        <m:sSub>
          <m:e>
            <m:r>
              <m:t>α</m:t>
            </m:r>
          </m:e>
          <m:sub>
            <m:r>
              <m:t>T</m:t>
            </m:r>
            <m:r>
              <m:t>N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 but not truncated to the right (</w:t>
      </w:r>
      <m:oMath>
        <m:sSub>
          <m:e>
            <m:r>
              <m:t>β</m:t>
            </m:r>
          </m:e>
          <m:sub>
            <m:r>
              <m:t>T</m:t>
            </m:r>
            <m:r>
              <m:t>N</m:t>
            </m:r>
          </m:sub>
        </m:sSub>
      </m:oMath>
      <w:r>
        <w:t xml:space="preserve">).</w:t>
      </w:r>
    </w:p>
    <w:p>
      <w:pPr>
        <w:pStyle w:val="BodyText"/>
      </w:pPr>
      <w:r>
        <w:rPr>
          <w:bCs/>
          <w:b/>
        </w:rPr>
        <w:t xml:space="preserve">M.</w:t>
      </w:r>
      <w:r>
        <w:t xml:space="preserve"> </w:t>
      </w:r>
      <w:r>
        <w:t xml:space="preserve">The steepness of the gradient is presumed to be highest in mid-latitudes; this is expressed with a normal prior on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 mean set to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of the modern SST gradient: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42</m:t>
              </m:r>
              <m:r>
                <m:rPr>
                  <m:sty m:val="p"/>
                </m:rPr>
                <m:t>,</m:t>
              </m:r>
              <m:r>
                <m:t>10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B.</w:t>
      </w:r>
      <w:r>
        <w:t xml:space="preserve"> </w:t>
      </w:r>
      <w:r>
        <w:t xml:space="preserve">The steepness or growth rate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of the gradient is constrained to be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to not be exceedingly high, as oceanic and atmospheric heat transfer is bound to prevent very abrupt SST changes across latitudes. A gamma-distributed prior of the form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∼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4.3</m:t>
              </m:r>
              <m:r>
                <m:rPr>
                  <m:sty m:val="p"/>
                </m:rPr>
                <m:t>,</m:t>
              </m:r>
              <m:sSub>
                <m:e>
                  <m:r>
                    <m:t>β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=</m:t>
              </m:r>
              <m:r>
                <m:t>30</m:t>
              </m:r>
            </m:e>
          </m:d>
        </m:oMath>
      </m:oMathPara>
    </w:p>
    <w:p>
      <w:pPr>
        <w:pStyle w:val="FirstParagraph"/>
      </w:pPr>
      <w:r>
        <w:t xml:space="preserve">was placed on</w:t>
      </w:r>
      <w:r>
        <w:t xml:space="preserve"> </w:t>
      </w:r>
      <m:oMath>
        <m:r>
          <m:t>B</m:t>
        </m:r>
      </m:oMath>
      <w:r>
        <w:t xml:space="preserve">. The shape and rate parameters</w:t>
      </w:r>
      <w:r>
        <w:t xml:space="preserve"> </w:t>
      </w:r>
      <m:oMath>
        <m:sSub>
          <m:e>
            <m:r>
              <m:t>α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were chosen such that the highest prior density is at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of the modern SST gradient,</w:t>
      </w:r>
      <w:r>
        <w:t xml:space="preserve"> </w:t>
      </w:r>
      <m:oMath>
        <m:r>
          <m:t>0.11</m:t>
        </m:r>
      </m:oMath>
      <w:r>
        <w:t xml:space="preserve">.</w:t>
      </w:r>
    </w:p>
    <w:bookmarkEnd w:id="22"/>
    <w:bookmarkStart w:id="23" w:name="convergence-checks"/>
    <w:p>
      <w:pPr>
        <w:pStyle w:val="Heading2"/>
      </w:pPr>
      <w:r>
        <w:t xml:space="preserve">Convergence checks</w:t>
      </w:r>
    </w:p>
    <w:p>
      <w:pPr>
        <w:pStyle w:val="FirstParagraph"/>
      </w:pPr>
      <w:r>
        <w:t xml:space="preserve">To ensure the convergence and mixing of the chains, we inspected traceplots of all the unknown parameters of the model. [Add figures]</w:t>
      </w:r>
    </w:p>
    <w:bookmarkEnd w:id="23"/>
    <w:bookmarkStart w:id="24" w:name="references"/>
    <w:p>
      <w:pPr>
        <w:pStyle w:val="Heading1"/>
      </w:pPr>
      <w:r>
        <w:t xml:space="preserve">References</w:t>
      </w:r>
    </w:p>
    <w:bookmarkEnd w:id="24"/>
    <w:sectPr w:rsidR="009B58D4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Earth</w:t>
      </w:r>
      <w:r>
        <w:t xml:space="preserve"> </w:t>
      </w:r>
      <w:r>
        <w:t xml:space="preserve">Sciences,</w:t>
      </w:r>
      <w:r>
        <w:t xml:space="preserve"> </w:t>
      </w:r>
      <w:r>
        <w:t xml:space="preserve">Durham</w:t>
      </w:r>
      <w:r>
        <w:t xml:space="preserve"> </w:t>
      </w:r>
      <w:r>
        <w:t xml:space="preserve">University,</w:t>
      </w:r>
      <w:r>
        <w:t xml:space="preserve"> </w:t>
      </w:r>
      <w:r>
        <w:t xml:space="preserve">South</w:t>
      </w:r>
      <w:r>
        <w:t xml:space="preserve"> </w:t>
      </w:r>
      <w:r>
        <w:t xml:space="preserve">Road,</w:t>
      </w:r>
      <w:r>
        <w:t xml:space="preserve"> </w:t>
      </w:r>
      <w:r>
        <w:t xml:space="preserve">DH1</w:t>
      </w:r>
      <w:r>
        <w:t xml:space="preserve"> </w:t>
      </w:r>
      <w:r>
        <w:t xml:space="preserve">3LE,</w:t>
      </w:r>
      <w:r>
        <w:t xml:space="preserve"> </w:t>
      </w:r>
      <w:r>
        <w:t xml:space="preserve">Durham,</w:t>
      </w:r>
      <w:r>
        <w:t xml:space="preserve"> </w:t>
      </w:r>
      <w:r>
        <w:t xml:space="preserve">United</w:t>
      </w:r>
      <w:r>
        <w:t xml:space="preserve"> </w:t>
      </w:r>
      <w:r>
        <w:t xml:space="preserve">Kingdom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Mariña,</w:t>
      </w:r>
      <w:r>
        <w:t xml:space="preserve"> 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50A18B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CB8961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26C02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69E6E5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FC0BBE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1609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867D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0D6D2E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2C682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C5C177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A2973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A2973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25B66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FC1D2F"/>
    <w:pPr>
      <w:keepNext/>
      <w:keepLines/>
      <w:spacing w:after="240" w:before="480"/>
      <w:jc w:val="center"/>
    </w:pPr>
    <w:rPr>
      <w:rFonts w:ascii="Times New Roman" w:cs="Angsana New" w:eastAsiaTheme="majorEastAsia" w:hAnsi="Times New Roman"/>
      <w:b/>
      <w:bCs/>
      <w:color w:val="C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503C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25B66"/>
    <w:pPr>
      <w:keepNext/>
      <w:keepLines/>
      <w:spacing w:after="300" w:before="3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E25B66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rFonts w:ascii="Times New Roman" w:hAnsi="Times New Roman"/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25B66"/>
    <w:rPr>
      <w:rFonts w:ascii="Times New Roman" w:hAnsi="Times New Roman"/>
      <w:sz w:val="24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25B66"/>
    <w:rPr>
      <w:rFonts w:ascii="Times New Roman" w:hAnsi="Times New Roman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rFonts w:ascii="Times New Roman" w:hAnsi="Times New Roman"/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 for Bayesian multi-proxy reconstruction of the early Eocene latitudinal temperature gradient</dc:title>
  <dc:creator>Kilian Eichenseer and Lewis A. Jones</dc:creator>
  <cp:keywords/>
  <dcterms:created xsi:type="dcterms:W3CDTF">2023-01-15T22:00:31Z</dcterms:created>
  <dcterms:modified xsi:type="dcterms:W3CDTF">2023-01-15T22:00:31Z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palaeontology.csl</vt:lpwstr>
  </property>
  <property fmtid="{D5CDD505-2E9C-101B-9397-08002B2CF9AE}" pid="4" name="output">
    <vt:lpwstr/>
  </property>
</Properties>
</file>