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png" ContentType="image/png"/>
  <Override PartName="/word/media/rId30.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br/>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5" w:name="s1.-convergence-checks"/>
    <w:p>
      <w:pPr>
        <w:pStyle w:val="Heading2"/>
      </w:pPr>
      <w:r>
        <w:t xml:space="preserve">S1. Convergence checks</w:t>
      </w:r>
    </w:p>
    <w:p>
      <w:pPr>
        <w:pStyle w:val="CaptionedFigure"/>
      </w:pPr>
      <w:r>
        <w:drawing>
          <wp:inline>
            <wp:extent cx="5943600" cy="2884179"/>
            <wp:effectExtent b="0" l="0" r="0" t="0"/>
            <wp:docPr descr="Fig S1. Traceplots of a subset of the unknown model parameters. The four colours correspond to the four independent model runs. a) Traceplot of A, K-A, M, B and \sigma; b) Traceplot of five selected \mu_j; c) Traceplot of five selected \sigma_j. All traceplots display mixing of the chains, and relatively quick convergence." title="" id="23" name="Picture"/>
            <a:graphic>
              <a:graphicData uri="http://schemas.openxmlformats.org/drawingml/2006/picture">
                <pic:pic>
                  <pic:nvPicPr>
                    <pic:cNvPr descr="../figures/SM/FigS1-Traceplot.jpg" id="24" name="Picture"/>
                    <pic:cNvPicPr>
                      <a:picLocks noChangeArrowheads="1" noChangeAspect="1"/>
                    </pic:cNvPicPr>
                  </pic:nvPicPr>
                  <pic:blipFill>
                    <a:blip r:embed="rId22"/>
                    <a:stretch>
                      <a:fillRect/>
                    </a:stretch>
                  </pic:blipFill>
                  <pic:spPr bwMode="auto">
                    <a:xfrm>
                      <a:off x="0" y="0"/>
                      <a:ext cx="5943600" cy="2884179"/>
                    </a:xfrm>
                    <a:prstGeom prst="rect">
                      <a:avLst/>
                    </a:prstGeom>
                    <a:noFill/>
                    <a:ln w="9525">
                      <a:noFill/>
                      <a:headEnd/>
                      <a:tailEnd/>
                    </a:ln>
                  </pic:spPr>
                </pic:pic>
              </a:graphicData>
            </a:graphic>
          </wp:inline>
        </w:drawing>
      </w:r>
    </w:p>
    <w:p>
      <w:pPr>
        <w:pStyle w:val="ImageCaption"/>
      </w:pPr>
      <w:r>
        <w:t xml:space="preserve">Fig S1.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5"/>
    <w:bookmarkStart w:id="29" w:name="Xca6915365feac0456bd652b25a7c3800a6cc7b9"/>
    <w:p>
      <w:pPr>
        <w:pStyle w:val="Heading2"/>
      </w:pPr>
      <w:r>
        <w:t xml:space="preserve">S2. Gradient with just the geochemical proxy data</w:t>
      </w:r>
    </w:p>
    <w:p>
      <w:pPr>
        <w:pStyle w:val="CaptionedFigure"/>
      </w:pPr>
      <w:r>
        <w:drawing>
          <wp:inline>
            <wp:extent cx="4354285" cy="3208421"/>
            <wp:effectExtent b="0" l="0" r="0" t="0"/>
            <wp:docPr descr="Fig S2. Latitudinal temperature gradient with just the geochemical proxies (orange), showing the median (line) and 95% credibal interval (shading). Symbols with vertical lines show the median and 95% credible intervals of \mu. The blue line and shading in the background show the latitudinal temperature gradient with the geochemical and ecological proxy data." title="" id="27" name="Picture"/>
            <a:graphic>
              <a:graphicData uri="http://schemas.openxmlformats.org/drawingml/2006/picture">
                <pic:pic>
                  <pic:nvPicPr>
                    <pic:cNvPr descr="../figures/SM/FigS2_geochem_eeco.png" id="28" name="Picture"/>
                    <pic:cNvPicPr>
                      <a:picLocks noChangeArrowheads="1" noChangeAspect="1"/>
                    </pic:cNvPicPr>
                  </pic:nvPicPr>
                  <pic:blipFill>
                    <a:blip r:embed="rId26"/>
                    <a:stretch>
                      <a:fillRect/>
                    </a:stretch>
                  </pic:blipFill>
                  <pic:spPr bwMode="auto">
                    <a:xfrm>
                      <a:off x="0" y="0"/>
                      <a:ext cx="4354285" cy="3208421"/>
                    </a:xfrm>
                    <a:prstGeom prst="rect">
                      <a:avLst/>
                    </a:prstGeom>
                    <a:noFill/>
                    <a:ln w="9525">
                      <a:noFill/>
                      <a:headEnd/>
                      <a:tailEnd/>
                    </a:ln>
                  </pic:spPr>
                </pic:pic>
              </a:graphicData>
            </a:graphic>
          </wp:inline>
        </w:drawing>
      </w:r>
    </w:p>
    <w:p>
      <w:pPr>
        <w:pStyle w:val="ImageCaption"/>
      </w:pPr>
      <w:r>
        <w:t xml:space="preserve">Fig S2. Latitudinal temperature gradient with just the geochemical proxies (orange), showing the median (line) and 95% credibal interval (shading). Symbols with vertical lines show the median and 95% credible intervals of</w:t>
      </w:r>
      <w:r>
        <w:t xml:space="preserve"> </w:t>
      </w:r>
      <m:oMath>
        <m:r>
          <m:t>μ</m:t>
        </m:r>
      </m:oMath>
      <w:r>
        <w:t xml:space="preserve">. The blue line and shading in the background show the latitudinal temperature gradient with the geochemical and ecological proxy data.</w:t>
      </w:r>
    </w:p>
    <w:bookmarkEnd w:id="29"/>
    <w:bookmarkStart w:id="33" w:name="X765454e3b3d185f6b1b4b50bcec99331d5e6bbe"/>
    <w:p>
      <w:pPr>
        <w:pStyle w:val="Heading2"/>
      </w:pPr>
      <w:r>
        <w:t xml:space="preserve">S3. Seperate gradients on the northern and southern hemisphere</w:t>
      </w:r>
    </w:p>
    <w:p>
      <w:pPr>
        <w:pStyle w:val="CaptionedFigure"/>
      </w:pPr>
      <w:r>
        <w:drawing>
          <wp:inline>
            <wp:extent cx="5041804" cy="3208421"/>
            <wp:effectExtent b="0" l="0" r="0" t="0"/>
            <wp:docPr descr="Fig S3. Latitudinal temperature gradient in seperate hemispheres, showing the medians (lines) and 95% credibal intervals (shadings) in the southern (red) and northern hemisphere (blue). Symbols with vertical lines show the median and 95% credible intervals of \mu. Turquoise symbols in the northern hemisphere highlight the ecological proxy data. The grey line and shading in the background show the latitudinal temperature gradient with the data from both hemispheres combined, plotted in both hemispheres." title="" id="31" name="Picture"/>
            <a:graphic>
              <a:graphicData uri="http://schemas.openxmlformats.org/drawingml/2006/picture">
                <pic:pic>
                  <pic:nvPicPr>
                    <pic:cNvPr descr="../figures/SM/FigS3_north_south_eeco.png" id="32" name="Picture"/>
                    <pic:cNvPicPr>
                      <a:picLocks noChangeArrowheads="1" noChangeAspect="1"/>
                    </pic:cNvPicPr>
                  </pic:nvPicPr>
                  <pic:blipFill>
                    <a:blip r:embed="rId30"/>
                    <a:stretch>
                      <a:fillRect/>
                    </a:stretch>
                  </pic:blipFill>
                  <pic:spPr bwMode="auto">
                    <a:xfrm>
                      <a:off x="0" y="0"/>
                      <a:ext cx="5041804" cy="3208421"/>
                    </a:xfrm>
                    <a:prstGeom prst="rect">
                      <a:avLst/>
                    </a:prstGeom>
                    <a:noFill/>
                    <a:ln w="9525">
                      <a:noFill/>
                      <a:headEnd/>
                      <a:tailEnd/>
                    </a:ln>
                  </pic:spPr>
                </pic:pic>
              </a:graphicData>
            </a:graphic>
          </wp:inline>
        </w:drawing>
      </w:r>
    </w:p>
    <w:p>
      <w:pPr>
        <w:pStyle w:val="ImageCaption"/>
      </w:pPr>
      <w:r>
        <w:t xml:space="preserve">Fig S3.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r>
          <m:t>μ</m:t>
        </m:r>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3"/>
    <w:bookmarkStart w:id="37" w:name="Xc4659863a4f8d919f25d9ee9e09c4c7300a7d5c"/>
    <w:p>
      <w:pPr>
        <w:pStyle w:val="Heading2"/>
      </w:pPr>
      <w:r>
        <w:t xml:space="preserve">S4. Different shapes of temperature gradients</w:t>
      </w:r>
    </w:p>
    <w:p>
      <w:pPr>
        <w:pStyle w:val="CaptionedFigure"/>
      </w:pPr>
      <w:r>
        <w:drawing>
          <wp:inline>
            <wp:extent cx="4587290" cy="4128561"/>
            <wp:effectExtent b="0" l="0" r="0" t="0"/>
            <wp:docPr descr="Fig S4. Simulated latitudinal temperature gradients sampled at the absolute latitudes of the EECO data. The dark grey points show the simulated temperature data, the black line shows the shape of the true gradient, and the medians (lines) and 95% credibal intervals (shadings) of the inferred gradients using the model are shown in red. a) linear gradient; SST = 30-|latitude|/3 b) flat gradient; SST = 25 c) quadratic gradient; SST = 30-|latitude|^2/270 d) logit-shaped gradient; SST = 14-3*log(|latitude|/(90-|latitude|)) Except for d), which is very unlike the modern gradient or reconstructed gradients, all latitudinal temperature gradients are well captured by the model in the latitudinal range for which data is provided." title="" id="35" name="Picture"/>
            <a:graphic>
              <a:graphicData uri="http://schemas.openxmlformats.org/drawingml/2006/picture">
                <pic:pic>
                  <pic:nvPicPr>
                    <pic:cNvPr descr="../figures/SM/FigS4_different_gradients.png" id="36" name="Picture"/>
                    <pic:cNvPicPr>
                      <a:picLocks noChangeArrowheads="1" noChangeAspect="1"/>
                    </pic:cNvPicPr>
                  </pic:nvPicPr>
                  <pic:blipFill>
                    <a:blip r:embed="rId34"/>
                    <a:stretch>
                      <a:fillRect/>
                    </a:stretch>
                  </pic:blipFill>
                  <pic:spPr bwMode="auto">
                    <a:xfrm>
                      <a:off x="0" y="0"/>
                      <a:ext cx="4587290" cy="4128561"/>
                    </a:xfrm>
                    <a:prstGeom prst="rect">
                      <a:avLst/>
                    </a:prstGeom>
                    <a:noFill/>
                    <a:ln w="9525">
                      <a:noFill/>
                      <a:headEnd/>
                      <a:tailEnd/>
                    </a:ln>
                  </pic:spPr>
                </pic:pic>
              </a:graphicData>
            </a:graphic>
          </wp:inline>
        </w:drawing>
      </w:r>
    </w:p>
    <w:p>
      <w:pPr>
        <w:pStyle w:val="ImageCaption"/>
      </w:pPr>
      <w:r>
        <w:t xml:space="preserve">Fig S4. Simulated latitudinal temperature gradients sampled at the absolute latitudes of the EECO data. The dark grey points show the simulated temperature data, the black line shows the shape of the true gradient, and the medians (lines) and 95% credibal intervals (shadings) of the inferred gradients using the model are shown in red.</w:t>
      </w:r>
      <w:r>
        <w:br/>
      </w:r>
      <w:r>
        <w:t xml:space="preserve">a) linear gradient;</w:t>
      </w:r>
      <w:r>
        <w:t xml:space="preserve"> </w:t>
      </w:r>
      <m:oMath>
        <m:r>
          <m:t>S</m:t>
        </m:r>
        <m:r>
          <m:t>S</m:t>
        </m:r>
        <m:r>
          <m:t>T</m:t>
        </m:r>
        <m:r>
          <m:rPr>
            <m:sty m:val="p"/>
          </m:rPr>
          <m:t>=</m:t>
        </m:r>
        <m:r>
          <m:t>30</m:t>
        </m:r>
        <m:r>
          <m:rPr>
            <m:sty m:val="p"/>
          </m:rPr>
          <m:t>−</m:t>
        </m:r>
        <m:d>
          <m:dPr>
            <m:begChr m:val="|"/>
            <m:endChr m:val="|"/>
            <m:sepChr m:val=""/>
            <m:grow/>
          </m:dPr>
          <m:e>
            <m:r>
              <m:t>l</m:t>
            </m:r>
            <m:r>
              <m:t>a</m:t>
            </m:r>
            <m:r>
              <m:t>t</m:t>
            </m:r>
            <m:r>
              <m:t>i</m:t>
            </m:r>
            <m:r>
              <m:t>t</m:t>
            </m:r>
            <m:r>
              <m:t>u</m:t>
            </m:r>
            <m:r>
              <m:t>d</m:t>
            </m:r>
            <m:r>
              <m:t>e</m:t>
            </m:r>
          </m:e>
        </m:d>
        <m:r>
          <m:rPr>
            <m:sty m:val="p"/>
          </m:rPr>
          <m:t>/</m:t>
        </m:r>
        <m:r>
          <m:t>3</m:t>
        </m:r>
      </m:oMath>
      <w:r>
        <w:br/>
      </w:r>
      <w:r>
        <w:t xml:space="preserve">b) flat gradient;</w:t>
      </w:r>
      <w:r>
        <w:t xml:space="preserve"> </w:t>
      </w:r>
      <m:oMath>
        <m:r>
          <m:t>S</m:t>
        </m:r>
        <m:r>
          <m:t>S</m:t>
        </m:r>
        <m:r>
          <m:t>T</m:t>
        </m:r>
        <m:r>
          <m:rPr>
            <m:sty m:val="p"/>
          </m:rPr>
          <m:t>=</m:t>
        </m:r>
        <m:r>
          <m:t>25</m:t>
        </m:r>
      </m:oMath>
      <w:r>
        <w:br/>
      </w:r>
      <w:r>
        <w:t xml:space="preserve">c) quadratic gradient;</w:t>
      </w:r>
      <w:r>
        <w:t xml:space="preserve"> </w:t>
      </w:r>
      <m:oMath>
        <m:r>
          <m:t>S</m:t>
        </m:r>
        <m:r>
          <m:t>S</m:t>
        </m:r>
        <m:r>
          <m:t>T</m:t>
        </m:r>
        <m:r>
          <m:rPr>
            <m:sty m:val="p"/>
          </m:rPr>
          <m:t>=</m:t>
        </m:r>
        <m:r>
          <m:t>30</m:t>
        </m:r>
        <m:r>
          <m:rPr>
            <m:sty m:val="p"/>
          </m:rPr>
          <m:t>−</m:t>
        </m:r>
        <m:sSup>
          <m:e>
            <m:d>
              <m:dPr>
                <m:begChr m:val="|"/>
                <m:endChr m:val="|"/>
                <m:sepChr m:val=""/>
                <m:grow/>
              </m:dPr>
              <m:e>
                <m:r>
                  <m:t>l</m:t>
                </m:r>
                <m:r>
                  <m:t>a</m:t>
                </m:r>
                <m:r>
                  <m:t>t</m:t>
                </m:r>
                <m:r>
                  <m:t>i</m:t>
                </m:r>
                <m:r>
                  <m:t>t</m:t>
                </m:r>
                <m:r>
                  <m:t>u</m:t>
                </m:r>
                <m:r>
                  <m:t>d</m:t>
                </m:r>
                <m:r>
                  <m:t>e</m:t>
                </m:r>
              </m:e>
            </m:d>
          </m:e>
          <m:sup>
            <m:r>
              <m:t>2</m:t>
            </m:r>
          </m:sup>
        </m:sSup>
        <m:r>
          <m:rPr>
            <m:sty m:val="p"/>
          </m:rPr>
          <m:t>/</m:t>
        </m:r>
        <m:r>
          <m:t>270</m:t>
        </m:r>
      </m:oMath>
      <w:r>
        <w:br/>
      </w:r>
      <w:r>
        <w:t xml:space="preserve">d) logit-shaped gradient;</w:t>
      </w:r>
      <w:r>
        <w:t xml:space="preserve"> </w:t>
      </w:r>
      <m:oMath>
        <m:r>
          <m:t>S</m:t>
        </m:r>
        <m:r>
          <m:t>S</m:t>
        </m:r>
        <m:r>
          <m:t>T</m:t>
        </m:r>
        <m:r>
          <m:rPr>
            <m:sty m:val="p"/>
          </m:rPr>
          <m:t>=</m:t>
        </m:r>
        <m:r>
          <m:t>14</m:t>
        </m:r>
        <m:r>
          <m:rPr>
            <m:sty m:val="p"/>
          </m:rPr>
          <m:t>−</m:t>
        </m:r>
        <m:r>
          <m:t>3</m:t>
        </m:r>
        <m:r>
          <m:rPr>
            <m:sty m:val="p"/>
          </m:rPr>
          <m:t>*</m:t>
        </m:r>
        <m:r>
          <m:t>l</m:t>
        </m:r>
        <m:r>
          <m:t>o</m:t>
        </m:r>
        <m:r>
          <m:t>g</m:t>
        </m:r>
        <m:d>
          <m:dPr>
            <m:begChr m:val="("/>
            <m:endChr m:val=")"/>
            <m:sepChr m:val=""/>
            <m:grow/>
          </m:dPr>
          <m:e>
            <m:d>
              <m:dPr>
                <m:begChr m:val="|"/>
                <m:endChr m:val="|"/>
                <m:sepChr m:val=""/>
                <m:grow/>
              </m:dPr>
              <m:e>
                <m:r>
                  <m:t>l</m:t>
                </m:r>
                <m:r>
                  <m:t>a</m:t>
                </m:r>
                <m:r>
                  <m:t>t</m:t>
                </m:r>
                <m:r>
                  <m:t>i</m:t>
                </m:r>
                <m:r>
                  <m:t>t</m:t>
                </m:r>
                <m:r>
                  <m:t>u</m:t>
                </m:r>
                <m:r>
                  <m:t>d</m:t>
                </m:r>
                <m:r>
                  <m:t>e</m:t>
                </m:r>
              </m:e>
            </m:d>
            <m:r>
              <m:rPr>
                <m:sty m:val="p"/>
              </m:rPr>
              <m:t>/</m:t>
            </m:r>
            <m:d>
              <m:dPr>
                <m:begChr m:val="("/>
                <m:endChr m:val=")"/>
                <m:sepChr m:val=""/>
                <m:grow/>
              </m:dPr>
              <m:e>
                <m:r>
                  <m:t>90</m:t>
                </m:r>
                <m:r>
                  <m:rPr>
                    <m:sty m:val="p"/>
                  </m:rPr>
                  <m:t>−</m:t>
                </m:r>
                <m:d>
                  <m:dPr>
                    <m:begChr m:val="|"/>
                    <m:endChr m:val="|"/>
                    <m:sepChr m:val=""/>
                    <m:grow/>
                  </m:dPr>
                  <m:e>
                    <m:r>
                      <m:t>l</m:t>
                    </m:r>
                    <m:r>
                      <m:t>a</m:t>
                    </m:r>
                    <m:r>
                      <m:t>t</m:t>
                    </m:r>
                    <m:r>
                      <m:t>i</m:t>
                    </m:r>
                    <m:r>
                      <m:t>t</m:t>
                    </m:r>
                    <m:r>
                      <m:t>u</m:t>
                    </m:r>
                    <m:r>
                      <m:t>d</m:t>
                    </m:r>
                    <m:r>
                      <m:t>e</m:t>
                    </m:r>
                  </m:e>
                </m:d>
              </m:e>
            </m:d>
          </m:e>
        </m:d>
      </m:oMath>
      <w:r>
        <w:br/>
      </w:r>
      <w:r>
        <w:t xml:space="preserve">Except for d), which is very unlike the modern gradient or reconstructed gradients, all latitudinal temperature gradients are well captured by the model in the latitudinal range for which data is provided.</w:t>
      </w:r>
    </w:p>
    <w:bookmarkEnd w:id="37"/>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Bayesian multi-proxy reconstruction of the early Eocene latitudinal temperature gradient</dc:title>
  <dc:creator>Kilian Eichenseer and Lewis A. Jones</dc:creator>
  <cp:keywords/>
  <dcterms:created xsi:type="dcterms:W3CDTF">2023-02-07T13:37:43Z</dcterms:created>
  <dcterms:modified xsi:type="dcterms:W3CDTF">2023-02-07T13:37:43Z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