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Supplementary</w:t>
      </w:r>
      <w:r>
        <w:rPr>
          <w:bCs/>
          <w:b/>
        </w:rPr>
        <w:t xml:space="preserve"> </w:t>
      </w:r>
      <w:r>
        <w:rPr>
          <w:bCs/>
          <w:b/>
        </w:rPr>
        <w:t xml:space="preserve">material</w:t>
      </w:r>
      <w:r>
        <w:rPr>
          <w:bCs/>
          <w:b/>
        </w:rPr>
        <w:t xml:space="preserve"> </w:t>
      </w:r>
      <w:r>
        <w:rPr>
          <w:bCs/>
          <w:b/>
        </w:rPr>
        <w:t xml:space="preserve">for</w:t>
      </w:r>
      <w:r>
        <w:br/>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w:t>
      </w:r>
      <m:oMath>
        <m:r>
          <m:t>n</m:t>
        </m:r>
        <m:r>
          <m:rPr>
            <m:sty m:val="p"/>
          </m:rPr>
          <m:t>=</m:t>
        </m:r>
        <m:r>
          <m:t>34</m:t>
        </m:r>
      </m:oMath>
      <w:r>
        <w:t xml:space="preserve">)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 The inclusion of ecological proxy data only slightly reduces the overall model standard deviation, but helps constrain polar temperature estimates (Supplementary materials).</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Estimation of latitudinal temperature gradients.</w:t>
      </w:r>
      <w:r>
        <w:t xml:space="preserve"> </w:t>
      </w:r>
      <w:r>
        <w:t xml:space="preserve">Our Bayesian, generalised logistic function is</w:t>
      </w:r>
    </w:p>
    <w:p>
      <w:pPr>
        <w:pStyle w:val="BodyText"/>
      </w:pPr>
      <w:r>
        <w:t xml:space="preserve">Latitudinal temperature gradients have been estimated with a variety of statistical techniques, e.g. with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Whilst some of those approaches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Bayesian multi-proxy reconstruction of the early Eocene latitudinal temperature gradient</dc:title>
  <dc:creator>Kilian Eichenseer and Lewis A. Jones</dc:creator>
  <cp:keywords/>
  <dcterms:created xsi:type="dcterms:W3CDTF">2023-01-15T16:35:15Z</dcterms:created>
  <dcterms:modified xsi:type="dcterms:W3CDTF">2023-01-15T16:35:15Z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